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EF465C" w14:textId="77777777" w:rsidR="00E0254E" w:rsidRPr="00FF7E49" w:rsidRDefault="00E0254E" w:rsidP="00E0254E">
      <w:pPr>
        <w:ind w:hanging="2"/>
        <w:jc w:val="both"/>
        <w:rPr>
          <w:rFonts w:ascii="Arial" w:hAnsi="Arial" w:cs="Arial"/>
          <w:b/>
          <w:sz w:val="22"/>
          <w:szCs w:val="22"/>
        </w:rPr>
      </w:pPr>
      <w:bookmarkStart w:id="0" w:name="_GoBack"/>
      <w:bookmarkEnd w:id="0"/>
      <w:r w:rsidRPr="00FF7E49">
        <w:rPr>
          <w:rFonts w:ascii="Arial" w:hAnsi="Arial" w:cs="Arial"/>
          <w:b/>
          <w:sz w:val="22"/>
          <w:szCs w:val="22"/>
        </w:rPr>
        <w:t>Predicting broad-spectrum antiviral drugs against RNA viruses using transcriptional responses to exogenous RNA</w:t>
      </w:r>
    </w:p>
    <w:p w14:paraId="583582FF" w14:textId="77777777" w:rsidR="00E0254E" w:rsidRDefault="00E0254E">
      <w:pPr>
        <w:rPr>
          <w:b/>
        </w:rPr>
      </w:pPr>
    </w:p>
    <w:p w14:paraId="3E5F222B" w14:textId="36E5C90D" w:rsidR="00C666CD" w:rsidRDefault="00367C8B" w:rsidP="009F27F7">
      <w:pPr>
        <w:rPr>
          <w:b/>
        </w:rPr>
      </w:pPr>
      <w:r>
        <w:rPr>
          <w:b/>
        </w:rPr>
        <w:t>Supplementary Materials</w:t>
      </w:r>
    </w:p>
    <w:p w14:paraId="30036A4F" w14:textId="77777777" w:rsidR="00C666CD" w:rsidRDefault="00C666CD" w:rsidP="00C666CD">
      <w:pPr>
        <w:jc w:val="both"/>
        <w:rPr>
          <w:b/>
          <w:bCs/>
        </w:rPr>
      </w:pPr>
    </w:p>
    <w:p w14:paraId="0E122B33" w14:textId="68CD770F" w:rsidR="00C666CD" w:rsidRPr="008D38BA" w:rsidRDefault="00C666CD" w:rsidP="008D38BA">
      <w:pPr>
        <w:pStyle w:val="ListParagraph"/>
        <w:numPr>
          <w:ilvl w:val="0"/>
          <w:numId w:val="1"/>
        </w:numPr>
        <w:rPr>
          <w:b/>
        </w:rPr>
      </w:pPr>
      <w:r w:rsidRPr="008D38BA">
        <w:rPr>
          <w:b/>
        </w:rPr>
        <w:t>Links to Data Sources</w:t>
      </w:r>
    </w:p>
    <w:p w14:paraId="6A0FF67A" w14:textId="1FCD20D1" w:rsidR="00C666CD" w:rsidRPr="00C666CD" w:rsidRDefault="00C666CD" w:rsidP="008D38BA">
      <w:pPr>
        <w:ind w:firstLine="720"/>
      </w:pPr>
      <w:r>
        <w:t xml:space="preserve">Below we provide links to previously published gene lists that were used in this study. </w:t>
      </w:r>
    </w:p>
    <w:p w14:paraId="6140A47D" w14:textId="77777777" w:rsidR="00C666CD" w:rsidRDefault="00C666CD" w:rsidP="00C666CD">
      <w:pPr>
        <w:rPr>
          <w:b/>
        </w:rPr>
      </w:pPr>
    </w:p>
    <w:p w14:paraId="016F93F2" w14:textId="17D44C35" w:rsidR="00C666CD" w:rsidRPr="00584B88" w:rsidRDefault="00C666CD" w:rsidP="008D38BA">
      <w:pPr>
        <w:ind w:left="720"/>
      </w:pPr>
      <w:r>
        <w:rPr>
          <w:b/>
        </w:rPr>
        <w:t xml:space="preserve">Cas9 mRNA signature: </w:t>
      </w:r>
      <w:r w:rsidR="00584B88">
        <w:t xml:space="preserve">The raw data file for differentially expressed genes following Cas9 mRNA and sgRNA delivery into HSPCs was obtained from </w:t>
      </w:r>
      <w:r w:rsidR="007953F0">
        <w:t xml:space="preserve">Supplementary Data S1 of Cromer et al </w:t>
      </w:r>
      <w:r w:rsidR="007953F0">
        <w:fldChar w:fldCharType="begin" w:fldLock="1"/>
      </w:r>
      <w:r w:rsidR="007953F0">
        <w:instrText>ADDIN CSL_CITATION {"citationItems":[{"id":"ITEM-1","itemData":{"DOI":"10.1016/j.ymthe.2018.06.002","ISSN":"15250024","PMID":"30005866","abstract":"Genome-editing technologies are currently being translated to the clinic. However, cellular effects of the editing machinery have yet to be fully elucidated. Here, we performed global microarray-based gene expression measurements on human CD34+ hematopoietic stem and progenitor cells that underwent editing. We probed effects of the entire editing process as well as each component individually, including electroporation, Cas9 (mRNA or protein) with chemically modified sgRNA, and AAV6 transduction. We identified differentially expressed genes relative to control treatments, which displayed enrichment for particular biological processes. All editing machinery components elicited immune, stress, and apoptotic responses. Cas9 mRNA invoked the greatest amount of transcriptional change, eliciting a distinct viral response and global transcriptional downregulation, particularly of metabolic and cell cycle processes. Electroporation also induced significant transcriptional change, with notable downregulation of metabolic processes. Surprisingly, AAV6 evoked no detectable viral response. We also found Cas9/sgRNA ribonucleoprotein treatment to be well tolerated, in spite of eliciting a DNA damage signature. Overall, this data establishes a benchmark for cellular tolerance of CRISPR/Cas9-AAV6-based genome editing, ensuring that the clinical protocol is as safe and efficient as possible. In this issue of Molecular Therapy, Cromer et al. (2018) describe the global transcriptional response to individual components of Cas9/AAV6-mediated genome editing in hematopoietic stem and progenitor cells. They found that Cas9 in the form of mRNA elicits a dramatic viral/interferon response, while AAV6 causes little transcriptional disturbance.","author":[{"dropping-particle":"","family":"Cromer","given":"M. Kyle","non-dropping-particle":"","parse-names":false,"suffix":""},{"dropping-particle":"","family":"Vaidyanathan","given":"Sriram","non-dropping-particle":"","parse-names":false,"suffix":""},{"dropping-particle":"","family":"Ryan","given":"Daniel E.","non-dropping-particle":"","parse-names":false,"suffix":""},{"dropping-particle":"","family":"Curry","given":"Bo","non-dropping-particle":"","parse-names":false,"suffix":""},{"dropping-particle":"","family":"Lucas","given":"Anne Bergstrom","non-dropping-particle":"","parse-names":false,"suffix":""},{"dropping-particle":"","family":"Camarena","given":"Joab","non-dropping-particle":"","parse-names":false,"suffix":""},{"dropping-particle":"","family":"Kaushik","given":"Milan","non-dropping-particle":"","parse-names":false,"suffix":""},{"dropping-particle":"","family":"Hay","given":"Sarah R.","non-dropping-particle":"","parse-names":false,"suffix":""},{"dropping-particle":"","family":"Martin","given":"Renata M.","non-dropping-particle":"","parse-names":false,"suffix":""},{"dropping-particle":"","family":"Steinfeld","given":"Israel","non-dropping-particle":"","parse-names":false,"suffix":""},{"dropping-particle":"","family":"Bak","given":"Rasmus O.","non-dropping-particle":"","parse-names":false,"suffix":""},{"dropping-particle":"","family":"Dever","given":"Daniel P.","non-dropping-particle":"","parse-names":false,"suffix":""},{"dropping-particle":"","family":"Hendel","given":"Ayal","non-dropping-particle":"","parse-names":false,"suffix":""},{"dropping-particle":"","family":"Bruhn","given":"Laurakay","non-dropping-particle":"","parse-names":false,"suffix":""},{"dropping-particle":"","family":"Porteus","given":"Matthew H.","non-dropping-particle":"","parse-names":false,"suffix":""}],"container-title":"Molecular Therapy","id":"ITEM-1","issued":{"date-parts":[["2018"]]},"title":"Global Transcriptional Response to CRISPR/Cas9-AAV6-Based Genome Editing in CD34+ Hematopoietic Stem and Progenitor Cells","type":"article-journal"},"uris":["http://www.mendeley.com/documents/?uuid=49c3eff8-d77d-4a3b-a204-fa20ee823f8d"]}],"mendeley":{"formattedCitation":"(&lt;i&gt;1&lt;/i&gt;)","plainTextFormattedCitation":"(1)","previouslyFormattedCitation":"(&lt;i&gt;1&lt;/i&gt;)"},"properties":{"noteIndex":0},"schema":"https://github.com/citation-style-language/schema/raw/master/csl-citation.json"}</w:instrText>
      </w:r>
      <w:r w:rsidR="007953F0">
        <w:fldChar w:fldCharType="separate"/>
      </w:r>
      <w:r w:rsidR="007953F0" w:rsidRPr="007953F0">
        <w:rPr>
          <w:noProof/>
        </w:rPr>
        <w:t>(</w:t>
      </w:r>
      <w:r w:rsidR="007953F0" w:rsidRPr="007953F0">
        <w:rPr>
          <w:i/>
          <w:noProof/>
        </w:rPr>
        <w:t>1</w:t>
      </w:r>
      <w:r w:rsidR="007953F0" w:rsidRPr="007953F0">
        <w:rPr>
          <w:noProof/>
        </w:rPr>
        <w:t>)</w:t>
      </w:r>
      <w:r w:rsidR="007953F0">
        <w:fldChar w:fldCharType="end"/>
      </w:r>
      <w:r w:rsidR="007953F0">
        <w:t xml:space="preserve"> and is accessible at </w:t>
      </w:r>
      <w:r w:rsidR="007953F0" w:rsidRPr="007953F0">
        <w:t>https://www.ncbi.nlm.nih.gov/pmc/articles/PMC6171165/bin/mmc2.xlsx</w:t>
      </w:r>
    </w:p>
    <w:p w14:paraId="54FB8DFF" w14:textId="75F494F9" w:rsidR="00EC2FB8" w:rsidRDefault="00EC2FB8" w:rsidP="00C666CD">
      <w:pPr>
        <w:rPr>
          <w:b/>
        </w:rPr>
      </w:pPr>
    </w:p>
    <w:p w14:paraId="6DF8856E" w14:textId="5BFED8CB" w:rsidR="00C666CD" w:rsidRPr="007953F0" w:rsidRDefault="00C666CD" w:rsidP="008D38BA">
      <w:pPr>
        <w:ind w:left="720"/>
      </w:pPr>
      <w:r>
        <w:rPr>
          <w:b/>
        </w:rPr>
        <w:t>RNP signature:</w:t>
      </w:r>
      <w:r w:rsidR="007953F0">
        <w:rPr>
          <w:b/>
        </w:rPr>
        <w:t xml:space="preserve"> </w:t>
      </w:r>
      <w:r w:rsidR="007953F0">
        <w:t xml:space="preserve">The raw data file for differentially expressed genes following RNP delivery into HSPCs was obtained from Supplementary Data S1 of Cromer et al </w:t>
      </w:r>
      <w:r w:rsidR="007953F0">
        <w:fldChar w:fldCharType="begin" w:fldLock="1"/>
      </w:r>
      <w:r w:rsidR="00FD7768">
        <w:instrText>ADDIN CSL_CITATION {"citationItems":[{"id":"ITEM-1","itemData":{"DOI":"10.1016/j.ymthe.2018.06.002","ISSN":"15250024","PMID":"30005866","abstract":"Genome-editing technologies are currently being translated to the clinic. However, cellular effects of the editing machinery have yet to be fully elucidated. Here, we performed global microarray-based gene expression measurements on human CD34+ hematopoietic stem and progenitor cells that underwent editing. We probed effects of the entire editing process as well as each component individually, including electroporation, Cas9 (mRNA or protein) with chemically modified sgRNA, and AAV6 transduction. We identified differentially expressed genes relative to control treatments, which displayed enrichment for particular biological processes. All editing machinery components elicited immune, stress, and apoptotic responses. Cas9 mRNA invoked the greatest amount of transcriptional change, eliciting a distinct viral response and global transcriptional downregulation, particularly of metabolic and cell cycle processes. Electroporation also induced significant transcriptional change, with notable downregulation of metabolic processes. Surprisingly, AAV6 evoked no detectable viral response. We also found Cas9/sgRNA ribonucleoprotein treatment to be well tolerated, in spite of eliciting a DNA damage signature. Overall, this data establishes a benchmark for cellular tolerance of CRISPR/Cas9-AAV6-based genome editing, ensuring that the clinical protocol is as safe and efficient as possible. In this issue of Molecular Therapy, Cromer et al. (2018) describe the global transcriptional response to individual components of Cas9/AAV6-mediated genome editing in hematopoietic stem and progenitor cells. They found that Cas9 in the form of mRNA elicits a dramatic viral/interferon response, while AAV6 causes little transcriptional disturbance.","author":[{"dropping-particle":"","family":"Cromer","given":"M. Kyle","non-dropping-particle":"","parse-names":false,"suffix":""},{"dropping-particle":"","family":"Vaidyanathan","given":"Sriram","non-dropping-particle":"","parse-names":false,"suffix":""},{"dropping-particle":"","family":"Ryan","given":"Daniel E.","non-dropping-particle":"","parse-names":false,"suffix":""},{"dropping-particle":"","family":"Curry","given":"Bo","non-dropping-particle":"","parse-names":false,"suffix":""},{"dropping-particle":"","family":"Lucas","given":"Anne Bergstrom","non-dropping-particle":"","parse-names":false,"suffix":""},{"dropping-particle":"","family":"Camarena","given":"Joab","non-dropping-particle":"","parse-names":false,"suffix":""},{"dropping-particle":"","family":"Kaushik","given":"Milan","non-dropping-particle":"","parse-names":false,"suffix":""},{"dropping-particle":"","family":"Hay","given":"Sarah R.","non-dropping-particle":"","parse-names":false,"suffix":""},{"dropping-particle":"","family":"Martin","given":"Renata M.","non-dropping-particle":"","parse-names":false,"suffix":""},{"dropping-particle":"","family":"Steinfeld","given":"Israel","non-dropping-particle":"","parse-names":false,"suffix":""},{"dropping-particle":"","family":"Bak","given":"Rasmus O.","non-dropping-particle":"","parse-names":false,"suffix":""},{"dropping-particle":"","family":"Dever","given":"Daniel P.","non-dropping-particle":"","parse-names":false,"suffix":""},{"dropping-particle":"","family":"Hendel","given":"Ayal","non-dropping-particle":"","parse-names":false,"suffix":""},{"dropping-particle":"","family":"Bruhn","given":"Laurakay","non-dropping-particle":"","parse-names":false,"suffix":""},{"dropping-particle":"","family":"Porteus","given":"Matthew H.","non-dropping-particle":"","parse-names":false,"suffix":""}],"container-title":"Molecular Therapy","id":"ITEM-1","issued":{"date-parts":[["2018"]]},"title":"Global Transcriptional Response to CRISPR/Cas9-AAV6-Based Genome Editing in CD34+ Hematopoietic Stem and Progenitor Cells","type":"article-journal"},"uris":["http://www.mendeley.com/documents/?uuid=49c3eff8-d77d-4a3b-a204-fa20ee823f8d"]}],"mendeley":{"formattedCitation":"(&lt;i&gt;1&lt;/i&gt;)","plainTextFormattedCitation":"(1)","previouslyFormattedCitation":"(&lt;i&gt;1&lt;/i&gt;)"},"properties":{"noteIndex":0},"schema":"https://github.com/citation-style-language/schema/raw/master/csl-citation.json"}</w:instrText>
      </w:r>
      <w:r w:rsidR="007953F0">
        <w:fldChar w:fldCharType="separate"/>
      </w:r>
      <w:r w:rsidR="007953F0" w:rsidRPr="007953F0">
        <w:rPr>
          <w:noProof/>
        </w:rPr>
        <w:t>(</w:t>
      </w:r>
      <w:r w:rsidR="007953F0" w:rsidRPr="007953F0">
        <w:rPr>
          <w:i/>
          <w:noProof/>
        </w:rPr>
        <w:t>1</w:t>
      </w:r>
      <w:r w:rsidR="007953F0" w:rsidRPr="007953F0">
        <w:rPr>
          <w:noProof/>
        </w:rPr>
        <w:t>)</w:t>
      </w:r>
      <w:r w:rsidR="007953F0">
        <w:fldChar w:fldCharType="end"/>
      </w:r>
      <w:r w:rsidR="007953F0">
        <w:t xml:space="preserve"> and is accessible at </w:t>
      </w:r>
      <w:r w:rsidR="007953F0" w:rsidRPr="007953F0">
        <w:t>https://www.ncbi.nlm.nih.gov/pmc/articles/PMC6171165/bin/mmc2.xlsx</w:t>
      </w:r>
    </w:p>
    <w:p w14:paraId="193787B6" w14:textId="77777777" w:rsidR="00C666CD" w:rsidRDefault="00C666CD" w:rsidP="00C666CD">
      <w:pPr>
        <w:jc w:val="both"/>
        <w:rPr>
          <w:b/>
          <w:bCs/>
        </w:rPr>
      </w:pPr>
    </w:p>
    <w:p w14:paraId="0022C925" w14:textId="629A13B7" w:rsidR="00C666CD" w:rsidRPr="00EC2FB8" w:rsidRDefault="00C666CD" w:rsidP="008D38BA">
      <w:pPr>
        <w:ind w:left="720"/>
        <w:sectPr w:rsidR="00C666CD" w:rsidRPr="00EC2FB8" w:rsidSect="00A16D86">
          <w:pgSz w:w="12240" w:h="15840"/>
          <w:pgMar w:top="1440" w:right="1440" w:bottom="1440" w:left="1440" w:header="720" w:footer="720" w:gutter="0"/>
          <w:cols w:space="720"/>
          <w:docGrid w:linePitch="360"/>
        </w:sectPr>
      </w:pPr>
      <w:r>
        <w:rPr>
          <w:b/>
        </w:rPr>
        <w:t xml:space="preserve">Core ISGs gene set: </w:t>
      </w:r>
      <w:r w:rsidR="00EC2FB8">
        <w:rPr>
          <w:b/>
        </w:rPr>
        <w:t xml:space="preserve"> </w:t>
      </w:r>
      <w:r w:rsidR="00EC2FB8">
        <w:t xml:space="preserve">The  core ISGs gene set was obtained from the Supplementary Table S3 of Shaw et al </w:t>
      </w:r>
      <w:r w:rsidR="00FD7768">
        <w:fldChar w:fldCharType="begin" w:fldLock="1"/>
      </w:r>
      <w:r w:rsidR="009B1FDA">
        <w:instrText>ADDIN CSL_CITATION {"citationItems":[{"id":"ITEM-1","itemData":{"DOI":"10.1371/journal.pbio.2004086","ISSN":"15457885","PMID":"29253856","abstract":"The host innate immune response mediated by type I interferon (IFN) and the resulting up-regulation of hundreds of interferon-stimulated genes (ISGs) provide an immediate barrier to virus infection. Studies of the type I ‘interferome’ have mainly been carried out at a single species level, often lacking the power necessary to understand key evolutionary features of this pathway. Here, using a single experimental platform, we determined the properties of the interferomes of multiple vertebrate species and developed a webserver to mine the dataset. This approach revealed a conserved ‘core’ of 62 ISGs, including genes not previously associated with IFN, underscoring the ancestral functions associated with this antiviral host response. We show that gene expansion contributes to the evolution of the IFN system and that interferomes are shaped by lineage-specific pressures. Consequently, each mammal possesses a unique repertoire of ISGs, including genes common to all mammals and others unique to their specific species or phylogenetic lineages. An analysis of genes commonly down-regulated by IFN suggests that epigenetic regulation of transcription is a fundamental aspect of the IFN response. Our study provides a resource for the scientific community highlighting key paradigms of the type I IFN response.","author":[{"dropping-particle":"","family":"Shaw","given":"Andrew E.","non-dropping-particle":"","parse-names":false,"suffix":""},{"dropping-particle":"","family":"Hughes","given":"Joseph","non-dropping-particle":"","parse-names":false,"suffix":""},{"dropping-particle":"","family":"Gu","given":"Quan","non-dropping-particle":"","parse-names":false,"suffix":""},{"dropping-particle":"","family":"Behdenna","given":"Abdelkader","non-dropping-particle":"","parse-names":false,"suffix":""},{"dropping-particle":"","family":"Singer","given":"Joshua B.","non-dropping-particle":"","parse-names":false,"suffix":""},{"dropping-particle":"","family":"Dennis","given":"Tristan","non-dropping-particle":"","parse-names":false,"suffix":""},{"dropping-particle":"","family":"Orton","given":"Richard J.","non-dropping-particle":"","parse-names":false,"suffix":""},{"dropping-particle":"","family":"Varela","given":"Mariana","non-dropping-particle":"","parse-names":false,"suffix":""},{"dropping-particle":"","family":"Gifford","given":"Robert J.","non-dropping-particle":"","parse-names":false,"suffix":""},{"dropping-particle":"","family":"Wilson","given":"Sam J.","non-dropping-particle":"","parse-names":false,"suffix":""},{"dropping-particle":"","family":"Palmarini","given":"Massimo","non-dropping-particle":"","parse-names":false,"suffix":""}],"container-title":"PLoS Biology","id":"ITEM-1","issued":{"date-parts":[["2017"]]},"title":"Fundamental properties of the mammalian innate immune system revealed by multispecies comparison of type I interferon responses","type":"article-journal"},"uris":["http://www.mendeley.com/documents/?uuid=04b3c064-ce65-473b-a33e-5cfa50ae8f00"]}],"mendeley":{"formattedCitation":"(&lt;i&gt;2&lt;/i&gt;)","plainTextFormattedCitation":"(2)","previouslyFormattedCitation":"(&lt;i&gt;2&lt;/i&gt;)"},"properties":{"noteIndex":0},"schema":"https://github.com/citation-style-language/schema/raw/master/csl-citation.json"}</w:instrText>
      </w:r>
      <w:r w:rsidR="00FD7768">
        <w:fldChar w:fldCharType="separate"/>
      </w:r>
      <w:r w:rsidR="00FD7768" w:rsidRPr="00FD7768">
        <w:rPr>
          <w:noProof/>
        </w:rPr>
        <w:t>(</w:t>
      </w:r>
      <w:r w:rsidR="00FD7768" w:rsidRPr="00FD7768">
        <w:rPr>
          <w:i/>
          <w:noProof/>
        </w:rPr>
        <w:t>2</w:t>
      </w:r>
      <w:r w:rsidR="00FD7768" w:rsidRPr="00FD7768">
        <w:rPr>
          <w:noProof/>
        </w:rPr>
        <w:t>)</w:t>
      </w:r>
      <w:r w:rsidR="00FD7768">
        <w:fldChar w:fldCharType="end"/>
      </w:r>
      <w:r w:rsidR="00EC2FB8">
        <w:t xml:space="preserve"> and is accessible at </w:t>
      </w:r>
      <w:r w:rsidR="00EC2FB8" w:rsidRPr="00EC2FB8">
        <w:t>https://doi.org/10.1371/journal.pbio.2004086.s008</w:t>
      </w:r>
    </w:p>
    <w:p w14:paraId="2F9EFE0C" w14:textId="1C999A77" w:rsidR="008D38BA" w:rsidRPr="008D38BA" w:rsidRDefault="008D38BA" w:rsidP="008D38BA">
      <w:pPr>
        <w:pStyle w:val="ListParagraph"/>
        <w:numPr>
          <w:ilvl w:val="0"/>
          <w:numId w:val="1"/>
        </w:numPr>
        <w:rPr>
          <w:b/>
          <w:bCs/>
        </w:rPr>
      </w:pPr>
      <w:r>
        <w:rPr>
          <w:b/>
          <w:bCs/>
        </w:rPr>
        <w:lastRenderedPageBreak/>
        <w:t>Supplementary Figures</w:t>
      </w:r>
    </w:p>
    <w:p w14:paraId="41F71E2E" w14:textId="77777777" w:rsidR="008D38BA" w:rsidRDefault="008D38BA" w:rsidP="009F27F7">
      <w:pPr>
        <w:rPr>
          <w:b/>
          <w:bCs/>
        </w:rPr>
      </w:pPr>
    </w:p>
    <w:p w14:paraId="6BE04AAA" w14:textId="4BC79049" w:rsidR="009F27F7" w:rsidRPr="004E5A32" w:rsidRDefault="006D04C3" w:rsidP="009F27F7">
      <w:pPr>
        <w:rPr>
          <w:b/>
        </w:rPr>
      </w:pPr>
      <w:r>
        <w:rPr>
          <w:b/>
          <w:bCs/>
        </w:rPr>
        <w:t>Supplementary Figure</w:t>
      </w:r>
      <w:r w:rsidR="009F27F7">
        <w:rPr>
          <w:b/>
          <w:bCs/>
        </w:rPr>
        <w:t xml:space="preserve"> 1: Full list of genes with significant c</w:t>
      </w:r>
      <w:r w:rsidR="009F27F7" w:rsidRPr="004E5A32">
        <w:rPr>
          <w:b/>
          <w:bCs/>
        </w:rPr>
        <w:t>onnectivity</w:t>
      </w:r>
      <w:r w:rsidR="00B7070E">
        <w:rPr>
          <w:b/>
          <w:bCs/>
        </w:rPr>
        <w:t xml:space="preserve"> (</w:t>
      </w:r>
      <w:r w:rsidR="00B7070E" w:rsidRPr="00B7070E">
        <w:rPr>
          <w:rFonts w:ascii="Arial" w:hAnsi="Arial" w:cs="Arial"/>
          <w:b/>
        </w:rPr>
        <w:t xml:space="preserve">tau, </w:t>
      </w:r>
      <w:r w:rsidR="00B7070E" w:rsidRPr="00B7070E">
        <w:rPr>
          <w:rFonts w:ascii="Arial" w:hAnsi="Arial" w:cs="Arial"/>
          <w:b/>
        </w:rPr>
        <w:sym w:font="Symbol" w:char="F074"/>
      </w:r>
      <w:r w:rsidR="00B7070E">
        <w:rPr>
          <w:b/>
        </w:rPr>
        <w:t xml:space="preserve"> &gt; 90)</w:t>
      </w:r>
      <w:r w:rsidR="009F27F7" w:rsidRPr="004E5A32">
        <w:rPr>
          <w:b/>
          <w:bCs/>
        </w:rPr>
        <w:t xml:space="preserve"> to Interferon Stimulated Genes (ISGs)</w:t>
      </w:r>
    </w:p>
    <w:p w14:paraId="169D4E67" w14:textId="77777777" w:rsidR="009F27F7" w:rsidRDefault="009F27F7" w:rsidP="009F27F7">
      <w:pPr>
        <w:rPr>
          <w:b/>
        </w:rPr>
      </w:pPr>
    </w:p>
    <w:p w14:paraId="2BD57599" w14:textId="77777777" w:rsidR="009F27F7" w:rsidRDefault="009F27F7" w:rsidP="009F27F7">
      <w:pPr>
        <w:rPr>
          <w:b/>
        </w:rPr>
      </w:pPr>
    </w:p>
    <w:p w14:paraId="370D408E" w14:textId="77777777" w:rsidR="009F27F7" w:rsidRDefault="009F27F7" w:rsidP="009F27F7">
      <w:pPr>
        <w:rPr>
          <w:b/>
        </w:rPr>
      </w:pPr>
      <w:r w:rsidRPr="004E5A32">
        <w:rPr>
          <w:b/>
          <w:noProof/>
        </w:rPr>
        <w:drawing>
          <wp:anchor distT="0" distB="0" distL="114300" distR="114300" simplePos="0" relativeHeight="251667456" behindDoc="0" locked="0" layoutInCell="1" allowOverlap="1" wp14:anchorId="17F6253F" wp14:editId="58FFAC4A">
            <wp:simplePos x="914400" y="914400"/>
            <wp:positionH relativeFrom="column">
              <wp:align>left</wp:align>
            </wp:positionH>
            <wp:positionV relativeFrom="paragraph">
              <wp:align>top</wp:align>
            </wp:positionV>
            <wp:extent cx="4660900" cy="3746500"/>
            <wp:effectExtent l="0" t="0" r="0" b="0"/>
            <wp:wrapSquare wrapText="bothSides"/>
            <wp:docPr id="7" name="Picture 6">
              <a:extLst xmlns:a="http://schemas.openxmlformats.org/drawingml/2006/main">
                <a:ext uri="{FF2B5EF4-FFF2-40B4-BE49-F238E27FC236}">
                  <a16:creationId xmlns:a16="http://schemas.microsoft.com/office/drawing/2014/main" id="{58913747-D249-944A-8567-835706F753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8913747-D249-944A-8567-835706F75339}"/>
                        </a:ext>
                      </a:extLst>
                    </pic:cNvPr>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4660900" cy="3746500"/>
                    </a:xfrm>
                    <a:prstGeom prst="rect">
                      <a:avLst/>
                    </a:prstGeom>
                  </pic:spPr>
                </pic:pic>
              </a:graphicData>
            </a:graphic>
          </wp:anchor>
        </w:drawing>
      </w:r>
    </w:p>
    <w:p w14:paraId="1272567D" w14:textId="77777777" w:rsidR="009F27F7" w:rsidRPr="004E5A32" w:rsidRDefault="009F27F7" w:rsidP="009F27F7"/>
    <w:p w14:paraId="476CB727" w14:textId="77777777" w:rsidR="009F27F7" w:rsidRPr="004E5A32" w:rsidRDefault="009F27F7" w:rsidP="009F27F7"/>
    <w:p w14:paraId="30BB206C" w14:textId="77777777" w:rsidR="009F27F7" w:rsidRPr="004E5A32" w:rsidRDefault="009F27F7" w:rsidP="009F27F7"/>
    <w:p w14:paraId="15D78D21" w14:textId="77777777" w:rsidR="009F27F7" w:rsidRPr="004E5A32" w:rsidRDefault="009F27F7" w:rsidP="009F27F7"/>
    <w:p w14:paraId="094DDFD1" w14:textId="77777777" w:rsidR="009F27F7" w:rsidRPr="004E5A32" w:rsidRDefault="009F27F7" w:rsidP="009F27F7"/>
    <w:p w14:paraId="0B900A94" w14:textId="77777777" w:rsidR="009F27F7" w:rsidRPr="004E5A32" w:rsidRDefault="009F27F7" w:rsidP="009F27F7"/>
    <w:p w14:paraId="2FF28557" w14:textId="77777777" w:rsidR="009F27F7" w:rsidRPr="004E5A32" w:rsidRDefault="009F27F7" w:rsidP="009F27F7"/>
    <w:p w14:paraId="05F22F94" w14:textId="77777777" w:rsidR="009F27F7" w:rsidRPr="004E5A32" w:rsidRDefault="009F27F7" w:rsidP="009F27F7"/>
    <w:p w14:paraId="3717F37E" w14:textId="77777777" w:rsidR="009F27F7" w:rsidRPr="004E5A32" w:rsidRDefault="009F27F7" w:rsidP="009F27F7"/>
    <w:p w14:paraId="2CE5017D" w14:textId="77777777" w:rsidR="009F27F7" w:rsidRPr="004E5A32" w:rsidRDefault="009F27F7" w:rsidP="009F27F7"/>
    <w:p w14:paraId="6876F4A5" w14:textId="77777777" w:rsidR="009F27F7" w:rsidRPr="004E5A32" w:rsidRDefault="009F27F7" w:rsidP="009F27F7"/>
    <w:p w14:paraId="36944EC9" w14:textId="77777777" w:rsidR="009F27F7" w:rsidRPr="004E5A32" w:rsidRDefault="009F27F7" w:rsidP="009F27F7"/>
    <w:p w14:paraId="729F3D9F" w14:textId="77777777" w:rsidR="009F27F7" w:rsidRPr="004E5A32" w:rsidRDefault="009F27F7" w:rsidP="009F27F7"/>
    <w:p w14:paraId="620BFD56" w14:textId="77777777" w:rsidR="009F27F7" w:rsidRPr="004E5A32" w:rsidRDefault="009F27F7" w:rsidP="009F27F7"/>
    <w:p w14:paraId="0102C0C3" w14:textId="77777777" w:rsidR="009F27F7" w:rsidRPr="004E5A32" w:rsidRDefault="009F27F7" w:rsidP="009F27F7"/>
    <w:p w14:paraId="61A99742" w14:textId="77777777" w:rsidR="009F27F7" w:rsidRPr="004E5A32" w:rsidRDefault="009F27F7" w:rsidP="009F27F7"/>
    <w:p w14:paraId="421CB571" w14:textId="77777777" w:rsidR="009F27F7" w:rsidRPr="004E5A32" w:rsidRDefault="009F27F7" w:rsidP="009F27F7"/>
    <w:p w14:paraId="626975A8" w14:textId="77777777" w:rsidR="009F27F7" w:rsidRDefault="009F27F7" w:rsidP="009F27F7">
      <w:pPr>
        <w:rPr>
          <w:b/>
        </w:rPr>
      </w:pPr>
    </w:p>
    <w:p w14:paraId="02D3A46C" w14:textId="77777777" w:rsidR="009F27F7" w:rsidRDefault="009F27F7" w:rsidP="009F27F7">
      <w:pPr>
        <w:rPr>
          <w:b/>
        </w:rPr>
      </w:pPr>
    </w:p>
    <w:p w14:paraId="0C57766A" w14:textId="77777777" w:rsidR="009F27F7" w:rsidRDefault="009F27F7" w:rsidP="009F27F7">
      <w:pPr>
        <w:rPr>
          <w:b/>
        </w:rPr>
      </w:pPr>
    </w:p>
    <w:p w14:paraId="12667650" w14:textId="404DA680" w:rsidR="009F27F7" w:rsidRDefault="009F27F7">
      <w:pPr>
        <w:rPr>
          <w:b/>
        </w:rPr>
        <w:sectPr w:rsidR="009F27F7" w:rsidSect="00A16D86">
          <w:pgSz w:w="12240" w:h="15840"/>
          <w:pgMar w:top="1440" w:right="1440" w:bottom="1440" w:left="1440" w:header="720" w:footer="720" w:gutter="0"/>
          <w:cols w:space="720"/>
          <w:docGrid w:linePitch="360"/>
        </w:sectPr>
      </w:pPr>
      <w:r w:rsidRPr="004E5A32">
        <w:rPr>
          <w:b/>
          <w:noProof/>
        </w:rPr>
        <w:drawing>
          <wp:inline distT="0" distB="0" distL="0" distR="0" wp14:anchorId="63817AE2" wp14:editId="79540E6F">
            <wp:extent cx="4711700" cy="191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11700" cy="1917700"/>
                    </a:xfrm>
                    <a:prstGeom prst="rect">
                      <a:avLst/>
                    </a:prstGeom>
                  </pic:spPr>
                </pic:pic>
              </a:graphicData>
            </a:graphic>
          </wp:inline>
        </w:drawing>
      </w:r>
    </w:p>
    <w:p w14:paraId="7FD58F33" w14:textId="77777777" w:rsidR="00367C8B" w:rsidRDefault="00367C8B">
      <w:pPr>
        <w:rPr>
          <w:b/>
        </w:rPr>
      </w:pPr>
    </w:p>
    <w:p w14:paraId="3EE398AB" w14:textId="51C8D002" w:rsidR="00492D69" w:rsidRDefault="006D04C3">
      <w:pPr>
        <w:rPr>
          <w:b/>
        </w:rPr>
      </w:pPr>
      <w:r>
        <w:rPr>
          <w:b/>
        </w:rPr>
        <w:t>Supplementary Figure</w:t>
      </w:r>
      <w:r w:rsidR="009F27F7">
        <w:rPr>
          <w:b/>
        </w:rPr>
        <w:t xml:space="preserve"> 2</w:t>
      </w:r>
      <w:r w:rsidR="0078779A">
        <w:rPr>
          <w:b/>
        </w:rPr>
        <w:t xml:space="preserve">: </w:t>
      </w:r>
      <w:r w:rsidR="008635CE">
        <w:rPr>
          <w:b/>
        </w:rPr>
        <w:t xml:space="preserve">Full list of small molecules with significant </w:t>
      </w:r>
      <w:r w:rsidR="007F146B">
        <w:rPr>
          <w:b/>
        </w:rPr>
        <w:t xml:space="preserve">connectivity </w:t>
      </w:r>
      <w:r w:rsidR="007F146B" w:rsidRPr="00B7070E">
        <w:rPr>
          <w:rFonts w:ascii="Arial" w:hAnsi="Arial" w:cs="Arial"/>
          <w:b/>
        </w:rPr>
        <w:t>(</w:t>
      </w:r>
      <w:r w:rsidR="00B7070E" w:rsidRPr="00B7070E">
        <w:rPr>
          <w:rFonts w:ascii="Arial" w:hAnsi="Arial" w:cs="Arial"/>
          <w:b/>
        </w:rPr>
        <w:t xml:space="preserve">tau, </w:t>
      </w:r>
      <w:r w:rsidR="00B7070E" w:rsidRPr="00B7070E">
        <w:rPr>
          <w:rFonts w:ascii="Arial" w:hAnsi="Arial" w:cs="Arial"/>
          <w:b/>
        </w:rPr>
        <w:sym w:font="Symbol" w:char="F074"/>
      </w:r>
      <w:r w:rsidR="007F146B">
        <w:rPr>
          <w:b/>
        </w:rPr>
        <w:t xml:space="preserve"> &gt; 90) to CRISPR/</w:t>
      </w:r>
      <w:r w:rsidR="00F84532">
        <w:rPr>
          <w:b/>
        </w:rPr>
        <w:t>C</w:t>
      </w:r>
      <w:r w:rsidR="007F146B">
        <w:rPr>
          <w:b/>
        </w:rPr>
        <w:t xml:space="preserve">as9 </w:t>
      </w:r>
      <w:r w:rsidR="00492D69">
        <w:rPr>
          <w:b/>
        </w:rPr>
        <w:t>mRNA</w:t>
      </w:r>
    </w:p>
    <w:p w14:paraId="3C64A107" w14:textId="77777777" w:rsidR="00492D69" w:rsidRDefault="00492D69">
      <w:pPr>
        <w:rPr>
          <w:b/>
        </w:rPr>
      </w:pPr>
    </w:p>
    <w:p w14:paraId="7B825943" w14:textId="77777777" w:rsidR="00016258" w:rsidRDefault="001071F8">
      <w:pPr>
        <w:rPr>
          <w:b/>
        </w:rPr>
      </w:pPr>
      <w:r>
        <w:rPr>
          <w:b/>
          <w:noProof/>
        </w:rPr>
        <mc:AlternateContent>
          <mc:Choice Requires="wps">
            <w:drawing>
              <wp:anchor distT="0" distB="0" distL="114300" distR="114300" simplePos="0" relativeHeight="251661312" behindDoc="0" locked="0" layoutInCell="1" allowOverlap="1" wp14:anchorId="28BAAC77" wp14:editId="1C7719B0">
                <wp:simplePos x="0" y="0"/>
                <wp:positionH relativeFrom="column">
                  <wp:posOffset>1244813</wp:posOffset>
                </wp:positionH>
                <wp:positionV relativeFrom="paragraph">
                  <wp:posOffset>188595</wp:posOffset>
                </wp:positionV>
                <wp:extent cx="437525" cy="207469"/>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37525" cy="207469"/>
                        </a:xfrm>
                        <a:prstGeom prst="rect">
                          <a:avLst/>
                        </a:prstGeom>
                        <a:solidFill>
                          <a:schemeClr val="lt1"/>
                        </a:solidFill>
                        <a:ln w="6350">
                          <a:noFill/>
                        </a:ln>
                      </wps:spPr>
                      <wps:txbx>
                        <w:txbxContent>
                          <w:p w14:paraId="38C76A8A" w14:textId="77777777" w:rsidR="001071F8" w:rsidRPr="001071F8" w:rsidRDefault="001071F8" w:rsidP="001071F8">
                            <w:pPr>
                              <w:rPr>
                                <w:rFonts w:ascii="Arial" w:hAnsi="Arial" w:cs="Arial"/>
                                <w:sz w:val="13"/>
                                <w:szCs w:val="13"/>
                              </w:rPr>
                            </w:pPr>
                            <w:r w:rsidRPr="001071F8">
                              <w:rPr>
                                <w:rFonts w:ascii="Arial" w:hAnsi="Arial" w:cs="Arial"/>
                                <w:sz w:val="13"/>
                                <w:szCs w:val="13"/>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2DEC7B" id="_x0000_t202" coordsize="21600,21600" o:spt="202" path="m,l,21600r21600,l21600,xe">
                <v:stroke joinstyle="miter"/>
                <v:path gradientshapeok="t" o:connecttype="rect"/>
              </v:shapetype>
              <v:shape id="Text Box 25" o:spid="_x0000_s1026" type="#_x0000_t202" style="position:absolute;margin-left:98pt;margin-top:14.85pt;width:34.45pt;height:1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" fillcolor="white [3201]" stroked="f" strokeweight=".5pt">
                <v:textbox>
                  <w:txbxContent>
                    <w:p w:rsidR="001071F8" w:rsidRPr="001071F8" w:rsidRDefault="001071F8" w:rsidP="001071F8">
                      <w:pPr>
                        <w:rPr>
                          <w:rFonts w:ascii="Arial" w:hAnsi="Arial" w:cs="Arial"/>
                          <w:sz w:val="13"/>
                          <w:szCs w:val="13"/>
                        </w:rPr>
                      </w:pPr>
                      <w:r w:rsidRPr="001071F8">
                        <w:rPr>
                          <w:rFonts w:ascii="Arial" w:hAnsi="Arial" w:cs="Arial"/>
                          <w:sz w:val="13"/>
                          <w:szCs w:val="13"/>
                        </w:rPr>
                        <w:t>100</w:t>
                      </w:r>
                    </w:p>
                  </w:txbxContent>
                </v:textbox>
              </v:shape>
            </w:pict>
          </mc:Fallback>
        </mc:AlternateContent>
      </w:r>
      <w:r>
        <w:rPr>
          <w:b/>
          <w:noProof/>
        </w:rPr>
        <mc:AlternateContent>
          <mc:Choice Requires="wps">
            <w:drawing>
              <wp:anchor distT="0" distB="0" distL="114300" distR="114300" simplePos="0" relativeHeight="251659264" behindDoc="0" locked="0" layoutInCell="1" allowOverlap="1" wp14:anchorId="20214137" wp14:editId="36CFB160">
                <wp:simplePos x="0" y="0"/>
                <wp:positionH relativeFrom="column">
                  <wp:posOffset>-307340</wp:posOffset>
                </wp:positionH>
                <wp:positionV relativeFrom="paragraph">
                  <wp:posOffset>188600</wp:posOffset>
                </wp:positionV>
                <wp:extent cx="437525" cy="207469"/>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37525" cy="207469"/>
                        </a:xfrm>
                        <a:prstGeom prst="rect">
                          <a:avLst/>
                        </a:prstGeom>
                        <a:solidFill>
                          <a:schemeClr val="lt1"/>
                        </a:solidFill>
                        <a:ln w="6350">
                          <a:noFill/>
                        </a:ln>
                      </wps:spPr>
                      <wps:txbx>
                        <w:txbxContent>
                          <w:p w14:paraId="546F44EE" w14:textId="77777777" w:rsidR="001872CF" w:rsidRPr="001071F8" w:rsidRDefault="001872CF">
                            <w:pPr>
                              <w:rPr>
                                <w:rFonts w:ascii="Arial" w:hAnsi="Arial" w:cs="Arial"/>
                                <w:sz w:val="13"/>
                                <w:szCs w:val="13"/>
                              </w:rPr>
                            </w:pPr>
                            <w:r w:rsidRPr="001071F8">
                              <w:rPr>
                                <w:sz w:val="13"/>
                                <w:szCs w:val="13"/>
                              </w:rPr>
                              <w:t>-</w:t>
                            </w:r>
                            <w:r w:rsidRPr="001071F8">
                              <w:rPr>
                                <w:rFonts w:ascii="Arial" w:hAnsi="Arial" w:cs="Arial"/>
                                <w:sz w:val="13"/>
                                <w:szCs w:val="13"/>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7" type="#_x0000_t202" style="position:absolute;margin-left:-24.2pt;margin-top:14.85pt;width:34.45pt;height:1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" fillcolor="white [3201]" stroked="f" strokeweight=".5pt">
                <v:textbox>
                  <w:txbxContent>
                    <w:p w:rsidR="001872CF" w:rsidRPr="001071F8" w:rsidRDefault="001872CF">
                      <w:pPr>
                        <w:rPr>
                          <w:rFonts w:ascii="Arial" w:hAnsi="Arial" w:cs="Arial"/>
                          <w:sz w:val="13"/>
                          <w:szCs w:val="13"/>
                        </w:rPr>
                      </w:pPr>
                      <w:r w:rsidRPr="001071F8">
                        <w:rPr>
                          <w:sz w:val="13"/>
                          <w:szCs w:val="13"/>
                        </w:rPr>
                        <w:t>-</w:t>
                      </w:r>
                      <w:r w:rsidRPr="001071F8">
                        <w:rPr>
                          <w:rFonts w:ascii="Arial" w:hAnsi="Arial" w:cs="Arial"/>
                          <w:sz w:val="13"/>
                          <w:szCs w:val="13"/>
                        </w:rPr>
                        <w:t>100</w:t>
                      </w:r>
                    </w:p>
                  </w:txbxContent>
                </v:textbox>
              </v:shape>
            </w:pict>
          </mc:Fallback>
        </mc:AlternateContent>
      </w:r>
      <w:r w:rsidR="00016258" w:rsidRPr="00016258">
        <w:rPr>
          <w:b/>
          <w:noProof/>
        </w:rPr>
        <w:drawing>
          <wp:inline distT="0" distB="0" distL="0" distR="0" wp14:anchorId="58D473E9" wp14:editId="696F88C9">
            <wp:extent cx="1367758" cy="100080"/>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66003" cy="107269"/>
                    </a:xfrm>
                    <a:prstGeom prst="rect">
                      <a:avLst/>
                    </a:prstGeom>
                  </pic:spPr>
                </pic:pic>
              </a:graphicData>
            </a:graphic>
          </wp:inline>
        </w:drawing>
      </w:r>
    </w:p>
    <w:p w14:paraId="52A769BB" w14:textId="77777777" w:rsidR="00492D69" w:rsidRDefault="00016258">
      <w:pPr>
        <w:rPr>
          <w:b/>
        </w:rPr>
      </w:pPr>
      <w:r w:rsidRPr="00016258">
        <w:rPr>
          <w:b/>
          <w:noProof/>
        </w:rPr>
        <w:drawing>
          <wp:inline distT="0" distB="0" distL="0" distR="0" wp14:anchorId="76DF6A5F" wp14:editId="7400B92B">
            <wp:extent cx="5461000" cy="4191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61000" cy="4191000"/>
                    </a:xfrm>
                    <a:prstGeom prst="rect">
                      <a:avLst/>
                    </a:prstGeom>
                  </pic:spPr>
                </pic:pic>
              </a:graphicData>
            </a:graphic>
          </wp:inline>
        </w:drawing>
      </w:r>
    </w:p>
    <w:p w14:paraId="7B9017A7" w14:textId="77777777" w:rsidR="00016258" w:rsidRDefault="00016258">
      <w:pPr>
        <w:rPr>
          <w:b/>
        </w:rPr>
      </w:pPr>
    </w:p>
    <w:p w14:paraId="61E85102" w14:textId="77777777" w:rsidR="00016258" w:rsidRDefault="003F01A7">
      <w:pPr>
        <w:rPr>
          <w:b/>
        </w:rPr>
      </w:pPr>
      <w:r w:rsidRPr="003F01A7">
        <w:rPr>
          <w:b/>
          <w:noProof/>
        </w:rPr>
        <w:lastRenderedPageBreak/>
        <w:drawing>
          <wp:inline distT="0" distB="0" distL="0" distR="0" wp14:anchorId="5ACC8DCC" wp14:editId="7468A997">
            <wp:extent cx="5435600" cy="4051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35600" cy="4051300"/>
                    </a:xfrm>
                    <a:prstGeom prst="rect">
                      <a:avLst/>
                    </a:prstGeom>
                  </pic:spPr>
                </pic:pic>
              </a:graphicData>
            </a:graphic>
          </wp:inline>
        </w:drawing>
      </w:r>
    </w:p>
    <w:p w14:paraId="2878B6EF" w14:textId="77777777" w:rsidR="00016258" w:rsidRDefault="00016258">
      <w:pPr>
        <w:rPr>
          <w:b/>
        </w:rPr>
      </w:pPr>
    </w:p>
    <w:p w14:paraId="3A0EB64E" w14:textId="77777777" w:rsidR="005750B5" w:rsidRDefault="005750B5">
      <w:pPr>
        <w:rPr>
          <w:b/>
        </w:rPr>
      </w:pPr>
      <w:r w:rsidRPr="005750B5">
        <w:rPr>
          <w:b/>
          <w:noProof/>
        </w:rPr>
        <w:lastRenderedPageBreak/>
        <w:drawing>
          <wp:inline distT="0" distB="0" distL="0" distR="0" wp14:anchorId="6E3F07EE" wp14:editId="03201BE4">
            <wp:extent cx="5448300" cy="4152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48300" cy="4152900"/>
                    </a:xfrm>
                    <a:prstGeom prst="rect">
                      <a:avLst/>
                    </a:prstGeom>
                  </pic:spPr>
                </pic:pic>
              </a:graphicData>
            </a:graphic>
          </wp:inline>
        </w:drawing>
      </w:r>
    </w:p>
    <w:p w14:paraId="6174B31D" w14:textId="77777777" w:rsidR="005750B5" w:rsidRDefault="005750B5">
      <w:pPr>
        <w:rPr>
          <w:b/>
        </w:rPr>
      </w:pPr>
    </w:p>
    <w:p w14:paraId="55084523" w14:textId="77777777" w:rsidR="00CD042F" w:rsidRDefault="003E0A8D">
      <w:pPr>
        <w:rPr>
          <w:b/>
        </w:rPr>
      </w:pPr>
      <w:r w:rsidRPr="003E0A8D">
        <w:rPr>
          <w:b/>
          <w:noProof/>
        </w:rPr>
        <w:drawing>
          <wp:inline distT="0" distB="0" distL="0" distR="0" wp14:anchorId="01DAB8FF" wp14:editId="3EF7C6D6">
            <wp:extent cx="5549900" cy="2019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49900" cy="2019300"/>
                    </a:xfrm>
                    <a:prstGeom prst="rect">
                      <a:avLst/>
                    </a:prstGeom>
                  </pic:spPr>
                </pic:pic>
              </a:graphicData>
            </a:graphic>
          </wp:inline>
        </w:drawing>
      </w:r>
    </w:p>
    <w:p w14:paraId="3951353E" w14:textId="77777777" w:rsidR="00CD042F" w:rsidRDefault="00CD042F">
      <w:pPr>
        <w:rPr>
          <w:b/>
        </w:rPr>
      </w:pPr>
    </w:p>
    <w:p w14:paraId="7B746A14" w14:textId="77777777" w:rsidR="00CD042F" w:rsidRDefault="00CD042F">
      <w:pPr>
        <w:rPr>
          <w:b/>
        </w:rPr>
      </w:pPr>
    </w:p>
    <w:p w14:paraId="3C168A4F" w14:textId="77777777" w:rsidR="00CD042F" w:rsidRDefault="00CD042F">
      <w:pPr>
        <w:rPr>
          <w:b/>
        </w:rPr>
      </w:pPr>
    </w:p>
    <w:p w14:paraId="47C4DB14" w14:textId="77777777" w:rsidR="00460635" w:rsidRDefault="00460635">
      <w:pPr>
        <w:rPr>
          <w:b/>
        </w:rPr>
      </w:pPr>
    </w:p>
    <w:p w14:paraId="66157B0F" w14:textId="77777777" w:rsidR="00460635" w:rsidRDefault="00460635">
      <w:pPr>
        <w:rPr>
          <w:b/>
        </w:rPr>
      </w:pPr>
    </w:p>
    <w:p w14:paraId="611EE4C2" w14:textId="77777777" w:rsidR="00460635" w:rsidRDefault="00460635">
      <w:pPr>
        <w:rPr>
          <w:b/>
        </w:rPr>
      </w:pPr>
    </w:p>
    <w:p w14:paraId="793ADF68" w14:textId="77777777" w:rsidR="00460635" w:rsidRDefault="00460635">
      <w:pPr>
        <w:rPr>
          <w:b/>
        </w:rPr>
      </w:pPr>
    </w:p>
    <w:p w14:paraId="62999F6D" w14:textId="77777777" w:rsidR="00460635" w:rsidRDefault="00460635">
      <w:pPr>
        <w:rPr>
          <w:b/>
        </w:rPr>
      </w:pPr>
    </w:p>
    <w:p w14:paraId="3A86022C" w14:textId="77777777" w:rsidR="00460635" w:rsidRDefault="00460635">
      <w:pPr>
        <w:rPr>
          <w:b/>
        </w:rPr>
      </w:pPr>
    </w:p>
    <w:p w14:paraId="420E2933" w14:textId="77777777" w:rsidR="00460635" w:rsidRDefault="00460635">
      <w:pPr>
        <w:rPr>
          <w:b/>
        </w:rPr>
      </w:pPr>
    </w:p>
    <w:p w14:paraId="344F73DA" w14:textId="3F9EA5A5" w:rsidR="00684152" w:rsidRPr="007B5846" w:rsidRDefault="006D04C3">
      <w:pPr>
        <w:rPr>
          <w:b/>
        </w:rPr>
      </w:pPr>
      <w:r>
        <w:rPr>
          <w:b/>
        </w:rPr>
        <w:lastRenderedPageBreak/>
        <w:t>Supplementary Figure</w:t>
      </w:r>
      <w:r w:rsidR="009F27F7">
        <w:rPr>
          <w:b/>
        </w:rPr>
        <w:t xml:space="preserve"> 3</w:t>
      </w:r>
      <w:r w:rsidR="0078779A">
        <w:rPr>
          <w:b/>
        </w:rPr>
        <w:t xml:space="preserve">: </w:t>
      </w:r>
      <w:r w:rsidR="007F146B">
        <w:rPr>
          <w:b/>
        </w:rPr>
        <w:t>Full list of small molecules with significant connectivity (</w:t>
      </w:r>
      <w:r w:rsidR="00B7070E" w:rsidRPr="00B7070E">
        <w:rPr>
          <w:rFonts w:ascii="Arial" w:hAnsi="Arial" w:cs="Arial"/>
          <w:b/>
        </w:rPr>
        <w:t xml:space="preserve">tau, </w:t>
      </w:r>
      <w:r w:rsidR="00B7070E" w:rsidRPr="00B7070E">
        <w:rPr>
          <w:rFonts w:ascii="Arial" w:hAnsi="Arial" w:cs="Arial"/>
          <w:b/>
        </w:rPr>
        <w:sym w:font="Symbol" w:char="F074"/>
      </w:r>
      <w:r w:rsidR="00B7070E">
        <w:rPr>
          <w:b/>
        </w:rPr>
        <w:t xml:space="preserve"> &gt; 90</w:t>
      </w:r>
      <w:r w:rsidR="007F146B">
        <w:rPr>
          <w:b/>
        </w:rPr>
        <w:t>) to</w:t>
      </w:r>
      <w:r w:rsidR="007F146B" w:rsidRPr="007B5846">
        <w:rPr>
          <w:b/>
        </w:rPr>
        <w:t xml:space="preserve"> </w:t>
      </w:r>
      <w:r w:rsidR="007B5846" w:rsidRPr="007B5846">
        <w:rPr>
          <w:b/>
        </w:rPr>
        <w:t>Core ISGs</w:t>
      </w:r>
    </w:p>
    <w:p w14:paraId="671C425E" w14:textId="77777777" w:rsidR="0030459F" w:rsidRDefault="0030459F"/>
    <w:p w14:paraId="422AF7A0" w14:textId="77777777" w:rsidR="0030459F" w:rsidRDefault="00367C8B">
      <w:r>
        <w:rPr>
          <w:b/>
          <w:noProof/>
        </w:rPr>
        <mc:AlternateContent>
          <mc:Choice Requires="wps">
            <w:drawing>
              <wp:anchor distT="0" distB="0" distL="114300" distR="114300" simplePos="0" relativeHeight="251665408" behindDoc="0" locked="0" layoutInCell="1" allowOverlap="1" wp14:anchorId="4293D30F" wp14:editId="3C14B80C">
                <wp:simplePos x="0" y="0"/>
                <wp:positionH relativeFrom="column">
                  <wp:posOffset>1481455</wp:posOffset>
                </wp:positionH>
                <wp:positionV relativeFrom="paragraph">
                  <wp:posOffset>187517</wp:posOffset>
                </wp:positionV>
                <wp:extent cx="437525" cy="207469"/>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37525" cy="207469"/>
                        </a:xfrm>
                        <a:prstGeom prst="rect">
                          <a:avLst/>
                        </a:prstGeom>
                        <a:solidFill>
                          <a:schemeClr val="lt1"/>
                        </a:solidFill>
                        <a:ln w="6350">
                          <a:noFill/>
                        </a:ln>
                      </wps:spPr>
                      <wps:txbx>
                        <w:txbxContent>
                          <w:p w14:paraId="5CCF48E9" w14:textId="77777777" w:rsidR="00367C8B" w:rsidRPr="001071F8" w:rsidRDefault="00367C8B" w:rsidP="00367C8B">
                            <w:pPr>
                              <w:rPr>
                                <w:rFonts w:ascii="Arial" w:hAnsi="Arial" w:cs="Arial"/>
                                <w:sz w:val="13"/>
                                <w:szCs w:val="13"/>
                              </w:rPr>
                            </w:pPr>
                            <w:r w:rsidRPr="001071F8">
                              <w:rPr>
                                <w:rFonts w:ascii="Arial" w:hAnsi="Arial" w:cs="Arial"/>
                                <w:sz w:val="13"/>
                                <w:szCs w:val="13"/>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EE385" id="Text Box 28" o:spid="_x0000_s1028" type="#_x0000_t202" style="position:absolute;margin-left:116.65pt;margin-top:14.75pt;width:34.45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" fillcolor="white [3201]" stroked="f" strokeweight=".5pt">
                <v:textbox>
                  <w:txbxContent>
                    <w:p w:rsidR="00367C8B" w:rsidRPr="001071F8" w:rsidRDefault="00367C8B" w:rsidP="00367C8B">
                      <w:pPr>
                        <w:rPr>
                          <w:rFonts w:ascii="Arial" w:hAnsi="Arial" w:cs="Arial"/>
                          <w:sz w:val="13"/>
                          <w:szCs w:val="13"/>
                        </w:rPr>
                      </w:pPr>
                      <w:r w:rsidRPr="001071F8">
                        <w:rPr>
                          <w:rFonts w:ascii="Arial" w:hAnsi="Arial" w:cs="Arial"/>
                          <w:sz w:val="13"/>
                          <w:szCs w:val="13"/>
                        </w:rPr>
                        <w:t>100</w:t>
                      </w:r>
                    </w:p>
                  </w:txbxContent>
                </v:textbox>
              </v:shape>
            </w:pict>
          </mc:Fallback>
        </mc:AlternateContent>
      </w:r>
      <w:r>
        <w:rPr>
          <w:b/>
          <w:noProof/>
        </w:rPr>
        <mc:AlternateContent>
          <mc:Choice Requires="wps">
            <w:drawing>
              <wp:anchor distT="0" distB="0" distL="114300" distR="114300" simplePos="0" relativeHeight="251663360" behindDoc="0" locked="0" layoutInCell="1" allowOverlap="1" wp14:anchorId="01E576C9" wp14:editId="5B0AA900">
                <wp:simplePos x="0" y="0"/>
                <wp:positionH relativeFrom="column">
                  <wp:posOffset>-161364</wp:posOffset>
                </wp:positionH>
                <wp:positionV relativeFrom="paragraph">
                  <wp:posOffset>185420</wp:posOffset>
                </wp:positionV>
                <wp:extent cx="437525" cy="20746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37525" cy="207469"/>
                        </a:xfrm>
                        <a:prstGeom prst="rect">
                          <a:avLst/>
                        </a:prstGeom>
                        <a:solidFill>
                          <a:schemeClr val="lt1"/>
                        </a:solidFill>
                        <a:ln w="6350">
                          <a:noFill/>
                        </a:ln>
                      </wps:spPr>
                      <wps:txbx>
                        <w:txbxContent>
                          <w:p w14:paraId="31E37DEF" w14:textId="77777777" w:rsidR="00367C8B" w:rsidRPr="001071F8" w:rsidRDefault="00367C8B" w:rsidP="00367C8B">
                            <w:pPr>
                              <w:rPr>
                                <w:rFonts w:ascii="Arial" w:hAnsi="Arial" w:cs="Arial"/>
                                <w:sz w:val="13"/>
                                <w:szCs w:val="13"/>
                              </w:rPr>
                            </w:pPr>
                            <w:r w:rsidRPr="001071F8">
                              <w:rPr>
                                <w:sz w:val="13"/>
                                <w:szCs w:val="13"/>
                              </w:rPr>
                              <w:t>-</w:t>
                            </w:r>
                            <w:r w:rsidRPr="001071F8">
                              <w:rPr>
                                <w:rFonts w:ascii="Arial" w:hAnsi="Arial" w:cs="Arial"/>
                                <w:sz w:val="13"/>
                                <w:szCs w:val="13"/>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DE631" id="Text Box 27" o:spid="_x0000_s1029" type="#_x0000_t202" style="position:absolute;margin-left:-12.7pt;margin-top:14.6pt;width:34.45pt;height:16.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" fillcolor="white [3201]" stroked="f" strokeweight=".5pt">
                <v:textbox>
                  <w:txbxContent>
                    <w:p w:rsidR="00367C8B" w:rsidRPr="001071F8" w:rsidRDefault="00367C8B" w:rsidP="00367C8B">
                      <w:pPr>
                        <w:rPr>
                          <w:rFonts w:ascii="Arial" w:hAnsi="Arial" w:cs="Arial"/>
                          <w:sz w:val="13"/>
                          <w:szCs w:val="13"/>
                        </w:rPr>
                      </w:pPr>
                      <w:r w:rsidRPr="001071F8">
                        <w:rPr>
                          <w:sz w:val="13"/>
                          <w:szCs w:val="13"/>
                        </w:rPr>
                        <w:t>-</w:t>
                      </w:r>
                      <w:r w:rsidRPr="001071F8">
                        <w:rPr>
                          <w:rFonts w:ascii="Arial" w:hAnsi="Arial" w:cs="Arial"/>
                          <w:sz w:val="13"/>
                          <w:szCs w:val="13"/>
                        </w:rPr>
                        <w:t>100</w:t>
                      </w:r>
                    </w:p>
                  </w:txbxContent>
                </v:textbox>
              </v:shape>
            </w:pict>
          </mc:Fallback>
        </mc:AlternateContent>
      </w:r>
      <w:r w:rsidR="00A55A4F" w:rsidRPr="00A55A4F">
        <w:rPr>
          <w:noProof/>
        </w:rPr>
        <w:drawing>
          <wp:inline distT="0" distB="0" distL="0" distR="0" wp14:anchorId="430256BE" wp14:editId="4BC69D86">
            <wp:extent cx="1636699" cy="112322"/>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36699" cy="112322"/>
                    </a:xfrm>
                    <a:prstGeom prst="rect">
                      <a:avLst/>
                    </a:prstGeom>
                  </pic:spPr>
                </pic:pic>
              </a:graphicData>
            </a:graphic>
          </wp:inline>
        </w:drawing>
      </w:r>
    </w:p>
    <w:p w14:paraId="056A890C" w14:textId="77777777" w:rsidR="00367C8B" w:rsidRDefault="00367C8B"/>
    <w:p w14:paraId="6318559E" w14:textId="77777777" w:rsidR="0030459F" w:rsidRDefault="00CD042F" w:rsidP="00CD042F">
      <w:r w:rsidRPr="00CD042F">
        <w:rPr>
          <w:noProof/>
        </w:rPr>
        <w:drawing>
          <wp:inline distT="0" distB="0" distL="0" distR="0" wp14:anchorId="1D960A1A" wp14:editId="200E5AEB">
            <wp:extent cx="5130800" cy="4102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30800" cy="4102100"/>
                    </a:xfrm>
                    <a:prstGeom prst="rect">
                      <a:avLst/>
                    </a:prstGeom>
                  </pic:spPr>
                </pic:pic>
              </a:graphicData>
            </a:graphic>
          </wp:inline>
        </w:drawing>
      </w:r>
    </w:p>
    <w:p w14:paraId="37997A72" w14:textId="77777777" w:rsidR="00D9092B" w:rsidRDefault="00D9092B" w:rsidP="0030459F">
      <w:pPr>
        <w:jc w:val="center"/>
      </w:pPr>
    </w:p>
    <w:p w14:paraId="15FB3E69" w14:textId="77777777" w:rsidR="00945162" w:rsidRDefault="00945162" w:rsidP="0030459F">
      <w:pPr>
        <w:jc w:val="center"/>
        <w:rPr>
          <w:b/>
        </w:rPr>
      </w:pPr>
    </w:p>
    <w:p w14:paraId="6295F133" w14:textId="77777777" w:rsidR="00D11BD6" w:rsidRDefault="0047400D" w:rsidP="0047400D">
      <w:pPr>
        <w:rPr>
          <w:b/>
        </w:rPr>
      </w:pPr>
      <w:r w:rsidRPr="0047400D">
        <w:rPr>
          <w:b/>
          <w:noProof/>
        </w:rPr>
        <w:lastRenderedPageBreak/>
        <w:drawing>
          <wp:inline distT="0" distB="0" distL="0" distR="0" wp14:anchorId="61C2AA2F" wp14:editId="0407AB7D">
            <wp:extent cx="5156200" cy="382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56200" cy="3822700"/>
                    </a:xfrm>
                    <a:prstGeom prst="rect">
                      <a:avLst/>
                    </a:prstGeom>
                  </pic:spPr>
                </pic:pic>
              </a:graphicData>
            </a:graphic>
          </wp:inline>
        </w:drawing>
      </w:r>
    </w:p>
    <w:p w14:paraId="2D530E11" w14:textId="77777777" w:rsidR="00B45FCD" w:rsidRDefault="00B45FCD" w:rsidP="0030459F">
      <w:pPr>
        <w:jc w:val="center"/>
        <w:rPr>
          <w:b/>
        </w:rPr>
      </w:pPr>
    </w:p>
    <w:p w14:paraId="664F622A" w14:textId="77777777" w:rsidR="00460635" w:rsidRDefault="00460635" w:rsidP="00B45FCD">
      <w:pPr>
        <w:rPr>
          <w:b/>
        </w:rPr>
      </w:pPr>
    </w:p>
    <w:p w14:paraId="0E75C3BF" w14:textId="77777777" w:rsidR="00460635" w:rsidRDefault="00460635" w:rsidP="00B45FCD">
      <w:pPr>
        <w:rPr>
          <w:b/>
        </w:rPr>
      </w:pPr>
    </w:p>
    <w:p w14:paraId="56E32BBC" w14:textId="77777777" w:rsidR="00367C8B" w:rsidRDefault="00367C8B" w:rsidP="00B45FCD">
      <w:pPr>
        <w:rPr>
          <w:b/>
        </w:rPr>
      </w:pPr>
    </w:p>
    <w:p w14:paraId="6411B1B9" w14:textId="77777777" w:rsidR="00367C8B" w:rsidRPr="00367C8B" w:rsidRDefault="00367C8B" w:rsidP="00367C8B"/>
    <w:p w14:paraId="15DBEBAA" w14:textId="77777777" w:rsidR="00367C8B" w:rsidRPr="00367C8B" w:rsidRDefault="00367C8B" w:rsidP="00367C8B"/>
    <w:p w14:paraId="30EC89FD" w14:textId="77777777" w:rsidR="00367C8B" w:rsidRPr="00367C8B" w:rsidRDefault="00367C8B" w:rsidP="00367C8B"/>
    <w:p w14:paraId="7D766F58" w14:textId="77777777" w:rsidR="00367C8B" w:rsidRPr="00367C8B" w:rsidRDefault="00367C8B" w:rsidP="00367C8B"/>
    <w:p w14:paraId="439A8B43" w14:textId="77777777" w:rsidR="00367C8B" w:rsidRPr="00367C8B" w:rsidRDefault="00367C8B" w:rsidP="00367C8B"/>
    <w:p w14:paraId="1ADD72C4" w14:textId="77777777" w:rsidR="00367C8B" w:rsidRPr="00367C8B" w:rsidRDefault="00367C8B" w:rsidP="00367C8B"/>
    <w:p w14:paraId="3C88927C" w14:textId="77777777" w:rsidR="00367C8B" w:rsidRPr="00367C8B" w:rsidRDefault="00367C8B" w:rsidP="00367C8B"/>
    <w:p w14:paraId="5E686B3F" w14:textId="77777777" w:rsidR="00367C8B" w:rsidRPr="00367C8B" w:rsidRDefault="00367C8B" w:rsidP="00367C8B"/>
    <w:p w14:paraId="66E745AC" w14:textId="77777777" w:rsidR="00367C8B" w:rsidRPr="00367C8B" w:rsidRDefault="00367C8B" w:rsidP="00367C8B"/>
    <w:p w14:paraId="5168C601" w14:textId="77777777" w:rsidR="00367C8B" w:rsidRPr="00367C8B" w:rsidRDefault="00367C8B" w:rsidP="00367C8B"/>
    <w:p w14:paraId="3B80EB21" w14:textId="77777777" w:rsidR="00367C8B" w:rsidRPr="00367C8B" w:rsidRDefault="00367C8B" w:rsidP="00367C8B"/>
    <w:p w14:paraId="5BC937DD" w14:textId="77777777" w:rsidR="00367C8B" w:rsidRPr="00367C8B" w:rsidRDefault="00367C8B" w:rsidP="00367C8B"/>
    <w:p w14:paraId="5171022F" w14:textId="77777777" w:rsidR="00367C8B" w:rsidRPr="00367C8B" w:rsidRDefault="00367C8B" w:rsidP="00367C8B"/>
    <w:p w14:paraId="776DAA4D" w14:textId="77777777" w:rsidR="00367C8B" w:rsidRPr="00367C8B" w:rsidRDefault="00367C8B" w:rsidP="00367C8B"/>
    <w:p w14:paraId="452B3506" w14:textId="77777777" w:rsidR="00367C8B" w:rsidRPr="00367C8B" w:rsidRDefault="00367C8B" w:rsidP="00367C8B"/>
    <w:p w14:paraId="259DF422" w14:textId="77777777" w:rsidR="00367C8B" w:rsidRPr="00367C8B" w:rsidRDefault="00367C8B" w:rsidP="00367C8B"/>
    <w:p w14:paraId="37AB84BC" w14:textId="77777777" w:rsidR="00367C8B" w:rsidRDefault="00367C8B" w:rsidP="00367C8B"/>
    <w:p w14:paraId="4A0FE59B" w14:textId="77777777" w:rsidR="00460635" w:rsidRDefault="00367C8B" w:rsidP="00367C8B">
      <w:pPr>
        <w:tabs>
          <w:tab w:val="left" w:pos="908"/>
        </w:tabs>
      </w:pPr>
      <w:r>
        <w:tab/>
      </w:r>
    </w:p>
    <w:p w14:paraId="5EE845D2" w14:textId="77777777" w:rsidR="00367C8B" w:rsidRDefault="00367C8B" w:rsidP="00367C8B">
      <w:pPr>
        <w:tabs>
          <w:tab w:val="left" w:pos="908"/>
        </w:tabs>
      </w:pPr>
    </w:p>
    <w:p w14:paraId="0FCB7351" w14:textId="0E6EF53E" w:rsidR="00367C8B" w:rsidRPr="007F146B" w:rsidRDefault="00383534" w:rsidP="007F146B">
      <w:pPr>
        <w:rPr>
          <w:b/>
        </w:rPr>
      </w:pPr>
      <w:r>
        <w:rPr>
          <w:b/>
        </w:rPr>
        <w:lastRenderedPageBreak/>
        <w:t>Supp</w:t>
      </w:r>
      <w:r w:rsidR="009F27F7">
        <w:rPr>
          <w:b/>
        </w:rPr>
        <w:t xml:space="preserve">lementary </w:t>
      </w:r>
      <w:r w:rsidR="006D04C3">
        <w:rPr>
          <w:b/>
        </w:rPr>
        <w:t>Figure</w:t>
      </w:r>
      <w:r w:rsidR="009F27F7">
        <w:rPr>
          <w:b/>
        </w:rPr>
        <w:t xml:space="preserve"> 4</w:t>
      </w:r>
      <w:r>
        <w:rPr>
          <w:b/>
        </w:rPr>
        <w:t xml:space="preserve">: </w:t>
      </w:r>
      <w:r w:rsidR="007F146B">
        <w:rPr>
          <w:b/>
        </w:rPr>
        <w:t xml:space="preserve">Full </w:t>
      </w:r>
      <w:r w:rsidR="00645793">
        <w:rPr>
          <w:b/>
        </w:rPr>
        <w:t xml:space="preserve">top 30 </w:t>
      </w:r>
      <w:r w:rsidR="007F146B">
        <w:rPr>
          <w:b/>
        </w:rPr>
        <w:t xml:space="preserve">list of small molecules </w:t>
      </w:r>
      <w:r w:rsidR="00645793">
        <w:rPr>
          <w:b/>
        </w:rPr>
        <w:t xml:space="preserve">including those </w:t>
      </w:r>
      <w:r w:rsidR="007F146B">
        <w:rPr>
          <w:b/>
        </w:rPr>
        <w:t>with significant connectivity (score &gt; 90) to RNPs</w:t>
      </w:r>
    </w:p>
    <w:p w14:paraId="0B139EBB" w14:textId="77777777" w:rsidR="00367C8B" w:rsidRPr="00367C8B" w:rsidRDefault="00367C8B" w:rsidP="00367C8B">
      <w:pPr>
        <w:tabs>
          <w:tab w:val="left" w:pos="908"/>
        </w:tabs>
      </w:pPr>
    </w:p>
    <w:p w14:paraId="0ABD172C" w14:textId="77777777" w:rsidR="00BA469B" w:rsidRDefault="00BA469B" w:rsidP="00B45FCD">
      <w:pPr>
        <w:rPr>
          <w:b/>
        </w:rPr>
      </w:pPr>
      <w:r w:rsidRPr="00BA469B">
        <w:rPr>
          <w:b/>
          <w:noProof/>
        </w:rPr>
        <w:drawing>
          <wp:inline distT="0" distB="0" distL="0" distR="0" wp14:anchorId="354A88CB" wp14:editId="076E97EF">
            <wp:extent cx="5473700" cy="4203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73700" cy="4203700"/>
                    </a:xfrm>
                    <a:prstGeom prst="rect">
                      <a:avLst/>
                    </a:prstGeom>
                  </pic:spPr>
                </pic:pic>
              </a:graphicData>
            </a:graphic>
          </wp:inline>
        </w:drawing>
      </w:r>
    </w:p>
    <w:p w14:paraId="132E9F0C" w14:textId="77777777" w:rsidR="00873535" w:rsidRDefault="00873535" w:rsidP="00B45FCD">
      <w:pPr>
        <w:rPr>
          <w:b/>
        </w:rPr>
      </w:pPr>
    </w:p>
    <w:p w14:paraId="7E983B57" w14:textId="77777777" w:rsidR="00873535" w:rsidRDefault="00873535" w:rsidP="00B45FCD">
      <w:pPr>
        <w:rPr>
          <w:b/>
        </w:rPr>
      </w:pPr>
    </w:p>
    <w:p w14:paraId="31296A59" w14:textId="77777777" w:rsidR="00873535" w:rsidRDefault="00873535" w:rsidP="00B45FCD">
      <w:pPr>
        <w:rPr>
          <w:b/>
        </w:rPr>
      </w:pPr>
    </w:p>
    <w:p w14:paraId="5D0B210D" w14:textId="0EFFD5EE" w:rsidR="00C666CD" w:rsidRDefault="00C666CD" w:rsidP="00B45FCD">
      <w:pPr>
        <w:rPr>
          <w:b/>
        </w:rPr>
      </w:pPr>
    </w:p>
    <w:p w14:paraId="07BEB5A6" w14:textId="336A7674" w:rsidR="00C666CD" w:rsidRDefault="009B1FDA" w:rsidP="00B45FCD">
      <w:pPr>
        <w:rPr>
          <w:b/>
        </w:rPr>
      </w:pPr>
      <w:r>
        <w:rPr>
          <w:b/>
        </w:rPr>
        <w:t>References</w:t>
      </w:r>
    </w:p>
    <w:p w14:paraId="164F06E0" w14:textId="70C784D5" w:rsidR="009B1FDA" w:rsidRDefault="009B1FDA" w:rsidP="00B45FCD">
      <w:pPr>
        <w:rPr>
          <w:b/>
        </w:rPr>
      </w:pPr>
    </w:p>
    <w:p w14:paraId="43C64A36" w14:textId="557AADCE" w:rsidR="009B1FDA" w:rsidRPr="009B1FDA" w:rsidRDefault="009B1FDA" w:rsidP="009B1FDA">
      <w:pPr>
        <w:widowControl w:val="0"/>
        <w:autoSpaceDE w:val="0"/>
        <w:autoSpaceDN w:val="0"/>
        <w:adjustRightInd w:val="0"/>
        <w:ind w:left="640" w:hanging="640"/>
        <w:rPr>
          <w:rFonts w:ascii="Calibri" w:hAnsi="Calibri" w:cs="Times New Roman"/>
          <w:noProof/>
        </w:rPr>
      </w:pPr>
      <w:r>
        <w:rPr>
          <w:b/>
        </w:rPr>
        <w:fldChar w:fldCharType="begin" w:fldLock="1"/>
      </w:r>
      <w:r>
        <w:rPr>
          <w:b/>
        </w:rPr>
        <w:instrText xml:space="preserve">ADDIN Mendeley Bibliography CSL_BIBLIOGRAPHY </w:instrText>
      </w:r>
      <w:r>
        <w:rPr>
          <w:b/>
        </w:rPr>
        <w:fldChar w:fldCharType="separate"/>
      </w:r>
      <w:r w:rsidRPr="009B1FDA">
        <w:rPr>
          <w:rFonts w:ascii="Calibri" w:hAnsi="Calibri" w:cs="Times New Roman"/>
          <w:noProof/>
        </w:rPr>
        <w:t xml:space="preserve">1. </w:t>
      </w:r>
      <w:r w:rsidRPr="009B1FDA">
        <w:rPr>
          <w:rFonts w:ascii="Calibri" w:hAnsi="Calibri" w:cs="Times New Roman"/>
          <w:noProof/>
        </w:rPr>
        <w:tab/>
        <w:t xml:space="preserve">M. K. Cromer </w:t>
      </w:r>
      <w:r w:rsidRPr="009B1FDA">
        <w:rPr>
          <w:rFonts w:ascii="Calibri" w:hAnsi="Calibri" w:cs="Times New Roman"/>
          <w:i/>
          <w:iCs/>
          <w:noProof/>
        </w:rPr>
        <w:t>et al.</w:t>
      </w:r>
      <w:r w:rsidRPr="009B1FDA">
        <w:rPr>
          <w:rFonts w:ascii="Calibri" w:hAnsi="Calibri" w:cs="Times New Roman"/>
          <w:noProof/>
        </w:rPr>
        <w:t xml:space="preserve">, Global Transcriptional Response to CRISPR/Cas9-AAV6-Based Genome Editing in CD34+ Hematopoietic Stem and Progenitor Cells. </w:t>
      </w:r>
      <w:r w:rsidRPr="009B1FDA">
        <w:rPr>
          <w:rFonts w:ascii="Calibri" w:hAnsi="Calibri" w:cs="Times New Roman"/>
          <w:i/>
          <w:iCs/>
          <w:noProof/>
        </w:rPr>
        <w:t>Mol. Ther.</w:t>
      </w:r>
      <w:r w:rsidRPr="009B1FDA">
        <w:rPr>
          <w:rFonts w:ascii="Calibri" w:hAnsi="Calibri" w:cs="Times New Roman"/>
          <w:noProof/>
        </w:rPr>
        <w:t xml:space="preserve"> (2018), doi:10.1016/j.ymthe.2018.06.002.</w:t>
      </w:r>
    </w:p>
    <w:p w14:paraId="2919C3A6" w14:textId="77777777" w:rsidR="009B1FDA" w:rsidRPr="009B1FDA" w:rsidRDefault="009B1FDA" w:rsidP="009B1FDA">
      <w:pPr>
        <w:widowControl w:val="0"/>
        <w:autoSpaceDE w:val="0"/>
        <w:autoSpaceDN w:val="0"/>
        <w:adjustRightInd w:val="0"/>
        <w:ind w:left="640" w:hanging="640"/>
        <w:rPr>
          <w:rFonts w:ascii="Calibri" w:hAnsi="Calibri"/>
          <w:noProof/>
        </w:rPr>
      </w:pPr>
      <w:r w:rsidRPr="009B1FDA">
        <w:rPr>
          <w:rFonts w:ascii="Calibri" w:hAnsi="Calibri" w:cs="Times New Roman"/>
          <w:noProof/>
        </w:rPr>
        <w:t xml:space="preserve">2. </w:t>
      </w:r>
      <w:r w:rsidRPr="009B1FDA">
        <w:rPr>
          <w:rFonts w:ascii="Calibri" w:hAnsi="Calibri" w:cs="Times New Roman"/>
          <w:noProof/>
        </w:rPr>
        <w:tab/>
        <w:t xml:space="preserve">A. E. Shaw </w:t>
      </w:r>
      <w:r w:rsidRPr="009B1FDA">
        <w:rPr>
          <w:rFonts w:ascii="Calibri" w:hAnsi="Calibri" w:cs="Times New Roman"/>
          <w:i/>
          <w:iCs/>
          <w:noProof/>
        </w:rPr>
        <w:t>et al.</w:t>
      </w:r>
      <w:r w:rsidRPr="009B1FDA">
        <w:rPr>
          <w:rFonts w:ascii="Calibri" w:hAnsi="Calibri" w:cs="Times New Roman"/>
          <w:noProof/>
        </w:rPr>
        <w:t xml:space="preserve">, Fundamental properties of the mammalian innate immune system revealed by multispecies comparison of type I interferon responses. </w:t>
      </w:r>
      <w:r w:rsidRPr="009B1FDA">
        <w:rPr>
          <w:rFonts w:ascii="Calibri" w:hAnsi="Calibri" w:cs="Times New Roman"/>
          <w:i/>
          <w:iCs/>
          <w:noProof/>
        </w:rPr>
        <w:t>PLoS Biol.</w:t>
      </w:r>
      <w:r w:rsidRPr="009B1FDA">
        <w:rPr>
          <w:rFonts w:ascii="Calibri" w:hAnsi="Calibri" w:cs="Times New Roman"/>
          <w:noProof/>
        </w:rPr>
        <w:t xml:space="preserve"> (2017), doi:10.1371/journal.pbio.2004086.</w:t>
      </w:r>
    </w:p>
    <w:p w14:paraId="313FC7D5" w14:textId="4BF34B11" w:rsidR="009B1FDA" w:rsidRDefault="009B1FDA" w:rsidP="00B45FCD">
      <w:pPr>
        <w:rPr>
          <w:b/>
        </w:rPr>
      </w:pPr>
      <w:r>
        <w:rPr>
          <w:b/>
        </w:rPr>
        <w:fldChar w:fldCharType="end"/>
      </w:r>
    </w:p>
    <w:sectPr w:rsidR="009B1FDA" w:rsidSect="00A16D8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5D761F"/>
    <w:multiLevelType w:val="hybridMultilevel"/>
    <w:tmpl w:val="0A08582E"/>
    <w:lvl w:ilvl="0" w:tplc="C2B4E51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459F"/>
    <w:rsid w:val="00016258"/>
    <w:rsid w:val="000208AC"/>
    <w:rsid w:val="00067DB6"/>
    <w:rsid w:val="00067F71"/>
    <w:rsid w:val="001071F8"/>
    <w:rsid w:val="001872CF"/>
    <w:rsid w:val="0030459F"/>
    <w:rsid w:val="00367C8B"/>
    <w:rsid w:val="00383534"/>
    <w:rsid w:val="003E0A8D"/>
    <w:rsid w:val="003E66BA"/>
    <w:rsid w:val="003F01A7"/>
    <w:rsid w:val="00460635"/>
    <w:rsid w:val="0047400D"/>
    <w:rsid w:val="00492D69"/>
    <w:rsid w:val="004E5A32"/>
    <w:rsid w:val="005750B5"/>
    <w:rsid w:val="00584B88"/>
    <w:rsid w:val="00645793"/>
    <w:rsid w:val="006502D3"/>
    <w:rsid w:val="00684152"/>
    <w:rsid w:val="006D04C3"/>
    <w:rsid w:val="0078779A"/>
    <w:rsid w:val="007953F0"/>
    <w:rsid w:val="007B5846"/>
    <w:rsid w:val="007F146B"/>
    <w:rsid w:val="00854E41"/>
    <w:rsid w:val="008635CE"/>
    <w:rsid w:val="00873535"/>
    <w:rsid w:val="008D38BA"/>
    <w:rsid w:val="00945162"/>
    <w:rsid w:val="009578F6"/>
    <w:rsid w:val="00961EBD"/>
    <w:rsid w:val="00973321"/>
    <w:rsid w:val="009B1FDA"/>
    <w:rsid w:val="009F27F7"/>
    <w:rsid w:val="00A16D86"/>
    <w:rsid w:val="00A55A4F"/>
    <w:rsid w:val="00B45FCD"/>
    <w:rsid w:val="00B7070E"/>
    <w:rsid w:val="00BA469B"/>
    <w:rsid w:val="00C666CD"/>
    <w:rsid w:val="00C721DC"/>
    <w:rsid w:val="00CD042F"/>
    <w:rsid w:val="00CE05B1"/>
    <w:rsid w:val="00D11BD6"/>
    <w:rsid w:val="00D9092B"/>
    <w:rsid w:val="00E0254E"/>
    <w:rsid w:val="00E90B17"/>
    <w:rsid w:val="00EC2FB8"/>
    <w:rsid w:val="00F84532"/>
    <w:rsid w:val="00FD77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07F35"/>
  <w15:chartTrackingRefBased/>
  <w15:docId w15:val="{C7D5A21E-8589-0B4D-8E82-BD9E59C3B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38B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4501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image" Target="media/image10.tiff"/><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8EC783-F946-3641-8ED6-3C41CC705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2088</Words>
  <Characters>11903</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dc:creator>
  <cp:keywords/>
  <dc:description/>
  <cp:lastModifiedBy>Geoffrey</cp:lastModifiedBy>
  <cp:revision>2</cp:revision>
  <dcterms:created xsi:type="dcterms:W3CDTF">2021-01-06T17:53:00Z</dcterms:created>
  <dcterms:modified xsi:type="dcterms:W3CDTF">2021-01-06T17:53:00Z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4a1b048e-8662-3ae9-b562-d666cf3f6c54</vt:lpwstr>
  </property>
  <property fmtid="{D5CDD505-2E9C-101B-9397-08002B2CF9AE}" pid="4" name="Mendeley Citation Style_1">
    <vt:lpwstr>http://www.zotero.org/styles/science</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http://www.zotero.org/styles/genome-medicine</vt:lpwstr>
  </property>
  <property fmtid="{D5CDD505-2E9C-101B-9397-08002B2CF9AE}" pid="10" name="Mendeley Recent Style Name 2_1">
    <vt:lpwstr>Genome Medicine</vt:lpwstr>
  </property>
  <property fmtid="{D5CDD505-2E9C-101B-9397-08002B2CF9AE}" pid="11" name="Mendeley Recent Style Id 3_1">
    <vt:lpwstr>http://www.zotero.org/styles/harvard1</vt:lpwstr>
  </property>
  <property fmtid="{D5CDD505-2E9C-101B-9397-08002B2CF9AE}" pid="12" name="Mendeley Recent Style Name 3_1">
    <vt:lpwstr>Harvard reference format 1 (deprecated)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http://www.zotero.org/styles/science</vt:lpwstr>
  </property>
  <property fmtid="{D5CDD505-2E9C-101B-9397-08002B2CF9AE}" pid="22" name="Mendeley Recent Style Name 8_1">
    <vt:lpwstr>Science</vt:lpwstr>
  </property>
  <property fmtid="{D5CDD505-2E9C-101B-9397-08002B2CF9AE}" pid="23" name="Mendeley Recent Style Id 9_1">
    <vt:lpwstr>http://www.zotero.org/styles/science-translational-medicine</vt:lpwstr>
  </property>
  <property fmtid="{D5CDD505-2E9C-101B-9397-08002B2CF9AE}" pid="24" name="Mendeley Recent Style Name 9_1">
    <vt:lpwstr>Science Translational Medicine</vt:lpwstr>
  </property>
</Properties>
</file>