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3A8F2" w14:textId="47216F0C" w:rsidR="000C4C07" w:rsidRPr="00993E86" w:rsidRDefault="00993E86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t xml:space="preserve">Supplementary information </w:t>
      </w:r>
      <w:r w:rsidR="00925537">
        <w:rPr>
          <w:sz w:val="24"/>
          <w:szCs w:val="24"/>
          <w:lang w:val="en-US"/>
        </w:rPr>
        <w:t>1</w:t>
      </w:r>
      <w:r w:rsidRPr="00993E86">
        <w:rPr>
          <w:sz w:val="24"/>
          <w:szCs w:val="24"/>
          <w:lang w:val="en-US"/>
        </w:rPr>
        <w:t>.  General circulation models used in ecological niche model projections in RCP 4.5 and RCP 8.5 for 2050.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40"/>
        <w:gridCol w:w="6585"/>
      </w:tblGrid>
      <w:tr w:rsidR="000C4C07" w14:paraId="237CD39B" w14:textId="77777777">
        <w:trPr>
          <w:trHeight w:val="1155"/>
        </w:trPr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532A4" w14:textId="77777777" w:rsidR="000C4C07" w:rsidRDefault="00993E86">
            <w:pPr>
              <w:spacing w:before="240" w:after="240"/>
              <w:ind w:left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General circulation model acronym</w:t>
            </w:r>
          </w:p>
        </w:tc>
        <w:tc>
          <w:tcPr>
            <w:tcW w:w="658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4988A" w14:textId="77777777" w:rsidR="000C4C07" w:rsidRDefault="00993E86">
            <w:pPr>
              <w:spacing w:before="240" w:after="240"/>
              <w:ind w:left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Institution</w:t>
            </w:r>
          </w:p>
        </w:tc>
      </w:tr>
      <w:tr w:rsidR="000C4C07" w:rsidRPr="00F500A6" w14:paraId="3233027B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A353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bnu_esm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5B9A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Beijing Normal University Earth System Model</w:t>
            </w:r>
          </w:p>
        </w:tc>
      </w:tr>
      <w:tr w:rsidR="000C4C07" w:rsidRPr="00F500A6" w14:paraId="66FC02EF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F2DC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cesm1_bcg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DB62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National Center for Atmospheric Research – The University of Arizona</w:t>
            </w:r>
          </w:p>
        </w:tc>
      </w:tr>
      <w:tr w:rsidR="000C4C07" w:rsidRPr="00F500A6" w14:paraId="0AC713C4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7DD6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cesm1_cam5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D73FA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National Center for Atmospheric Research – The University of Arizona – NSF-DOE-NCAR</w:t>
            </w:r>
          </w:p>
        </w:tc>
      </w:tr>
      <w:tr w:rsidR="000C4C07" w:rsidRPr="00F500A6" w14:paraId="57576F5B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E06CB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csiro_access1_3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6340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Commonwealth Scientific and Industrial Research Organization (CSIRO) and Bureau of Meteorology (BOM), Australia</w:t>
            </w:r>
          </w:p>
        </w:tc>
      </w:tr>
      <w:tr w:rsidR="000C4C07" w:rsidRPr="00F500A6" w14:paraId="73139FB7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DF7B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csiro_access1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56153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Commonwealth Scientific and Industrial Research Organization (CSIRO) and Bureau of Meteorology (BOM), Australia</w:t>
            </w:r>
          </w:p>
        </w:tc>
      </w:tr>
      <w:tr w:rsidR="000C4C07" w:rsidRPr="00F500A6" w14:paraId="42BEB179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32544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gfdl_cm3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9038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NOAA Geophysical Fluid Dynamics Laboratory</w:t>
            </w:r>
          </w:p>
        </w:tc>
      </w:tr>
      <w:tr w:rsidR="000C4C07" w:rsidRPr="00F500A6" w14:paraId="55AC1DCD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B55FC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gfdl_esm2g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E7505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NOAA Geophysical Fluid Dynamics Laboratory</w:t>
            </w:r>
          </w:p>
        </w:tc>
      </w:tr>
      <w:tr w:rsidR="000C4C07" w:rsidRPr="00F500A6" w14:paraId="5A5A2965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2B45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gfdl_esm2m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8E22F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NOAA Geophysical Fluid Dynamics Laboratory</w:t>
            </w:r>
          </w:p>
        </w:tc>
      </w:tr>
      <w:tr w:rsidR="000C4C07" w:rsidRPr="00F500A6" w14:paraId="26867CEC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FF80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giss_e2_r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0BC59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NASA Goddard Institute for Space Studies USA</w:t>
            </w:r>
          </w:p>
        </w:tc>
      </w:tr>
      <w:tr w:rsidR="000C4C07" w:rsidRPr="00F500A6" w14:paraId="310F2A7D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3345E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giss_e2_h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CAA54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NASA Goddard Institute for Space Studies USA</w:t>
            </w:r>
          </w:p>
        </w:tc>
      </w:tr>
      <w:tr w:rsidR="000C4C07" w:rsidRPr="00F500A6" w14:paraId="15846A17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CC50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inm_cm4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D6CE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Russian Institute for Numerical Mathematics</w:t>
            </w:r>
          </w:p>
        </w:tc>
      </w:tr>
      <w:tr w:rsidR="000C4C07" w:rsidRPr="00F500A6" w14:paraId="00FD12EB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B240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miroc_esm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0F614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University of Tokyo, National Institute for Environmental Studies, and Japan Agency for Marine-Earth Science and Technology</w:t>
            </w:r>
          </w:p>
        </w:tc>
      </w:tr>
      <w:tr w:rsidR="000C4C07" w:rsidRPr="00F500A6" w14:paraId="247220B2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76F3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miroc_esm_chem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EF6E3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University of Tokyo, National Institute for Environmental Studies, and Japan Agency for Marine-Earth Science and Technology</w:t>
            </w:r>
          </w:p>
        </w:tc>
      </w:tr>
      <w:tr w:rsidR="000C4C07" w:rsidRPr="00F500A6" w14:paraId="2875E672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D0DAA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miroc_miroc5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0F69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University of Tokyo, National Institute for Environmental Studies, and Japan Agency for Marine-Earth Science and Technology</w:t>
            </w:r>
          </w:p>
        </w:tc>
      </w:tr>
      <w:tr w:rsidR="000C4C07" w:rsidRPr="00F500A6" w14:paraId="1EC7DB0D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658D6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mohc_hadgem2_cc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F723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UK Met Office Hadley Centre</w:t>
            </w:r>
          </w:p>
        </w:tc>
      </w:tr>
      <w:tr w:rsidR="000C4C07" w:rsidRPr="00F500A6" w14:paraId="5D34A1B9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B3353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mohc_hadgem2_es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CDA6F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UK Met Office Hadley Centre</w:t>
            </w:r>
          </w:p>
        </w:tc>
      </w:tr>
      <w:tr w:rsidR="000C4C07" w14:paraId="316770C3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D2866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mri_cgcm3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A400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Meteorological Research Institute</w:t>
            </w:r>
          </w:p>
        </w:tc>
      </w:tr>
      <w:tr w:rsidR="000C4C07" w:rsidRPr="00F500A6" w14:paraId="37D790B5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BDBB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ncar_ccsm4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A76A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US National Centre for Atmospheric Research</w:t>
            </w:r>
          </w:p>
        </w:tc>
      </w:tr>
      <w:tr w:rsidR="000C4C07" w14:paraId="1B4E2229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4BB0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ncc_noresm1_m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F9A45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Norwegian Climate Centre</w:t>
            </w:r>
          </w:p>
        </w:tc>
      </w:tr>
      <w:tr w:rsidR="000C4C07" w:rsidRPr="00F500A6" w14:paraId="6E36081A" w14:textId="77777777">
        <w:trPr>
          <w:trHeight w:val="51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3140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nimr_hadgem2_ao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1A20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UK Met Office Hadley Centre</w:t>
            </w:r>
          </w:p>
        </w:tc>
      </w:tr>
      <w:tr w:rsidR="000C4C07" w14:paraId="4FC84B19" w14:textId="77777777">
        <w:trPr>
          <w:trHeight w:val="6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1BC6A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cccma_canesm2</w:t>
            </w: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608CC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>Canadian Centre for Climate Modelling and Analysis</w:t>
            </w:r>
          </w:p>
          <w:p w14:paraId="068C4F3B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</w:t>
            </w:r>
          </w:p>
        </w:tc>
      </w:tr>
      <w:tr w:rsidR="000C4C07" w:rsidRPr="00F500A6" w14:paraId="0CF69CD7" w14:textId="77777777">
        <w:trPr>
          <w:trHeight w:val="1320"/>
        </w:trPr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CE8E" w14:textId="77777777" w:rsidR="000C4C07" w:rsidRDefault="00993E86">
            <w:pPr>
              <w:ind w:lef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mpi_esm_lr</w:t>
            </w:r>
          </w:p>
        </w:tc>
        <w:tc>
          <w:tcPr>
            <w:tcW w:w="658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1FA92" w14:textId="77777777" w:rsidR="000C4C07" w:rsidRPr="00993E86" w:rsidRDefault="00993E86">
            <w:pPr>
              <w:ind w:left="60"/>
              <w:jc w:val="both"/>
              <w:rPr>
                <w:sz w:val="20"/>
                <w:szCs w:val="20"/>
                <w:lang w:val="en-US"/>
              </w:rPr>
            </w:pPr>
            <w:r w:rsidRPr="00993E86">
              <w:rPr>
                <w:sz w:val="20"/>
                <w:szCs w:val="20"/>
                <w:lang w:val="en-US"/>
              </w:rPr>
              <w:t xml:space="preserve">Max Planck Institute for Meteorology, Germany                          </w:t>
            </w:r>
            <w:r w:rsidRPr="00993E86">
              <w:rPr>
                <w:sz w:val="20"/>
                <w:szCs w:val="20"/>
                <w:lang w:val="en-US"/>
              </w:rPr>
              <w:tab/>
            </w:r>
          </w:p>
        </w:tc>
      </w:tr>
    </w:tbl>
    <w:p w14:paraId="6BEBA9DD" w14:textId="77777777" w:rsidR="000C4C07" w:rsidRPr="00993E86" w:rsidRDefault="000C4C07">
      <w:pPr>
        <w:rPr>
          <w:sz w:val="24"/>
          <w:szCs w:val="24"/>
          <w:lang w:val="en-US"/>
        </w:rPr>
      </w:pPr>
    </w:p>
    <w:p w14:paraId="7C52A04C" w14:textId="77777777" w:rsidR="00E56527" w:rsidRDefault="00E5652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4AE0613F" w14:textId="3641022A" w:rsidR="000C4C07" w:rsidRDefault="00993E86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 w:rsidR="00E56527">
        <w:rPr>
          <w:sz w:val="24"/>
          <w:szCs w:val="24"/>
          <w:lang w:val="en-US"/>
        </w:rPr>
        <w:t xml:space="preserve"> figure 1</w:t>
      </w:r>
      <w:r w:rsidRPr="00993E86">
        <w:rPr>
          <w:sz w:val="24"/>
          <w:szCs w:val="24"/>
          <w:lang w:val="en-US"/>
        </w:rPr>
        <w:t xml:space="preserve">. Known distribution areas of </w:t>
      </w:r>
      <w:r w:rsidRPr="00993E86">
        <w:rPr>
          <w:i/>
          <w:sz w:val="24"/>
          <w:szCs w:val="24"/>
          <w:lang w:val="en-US"/>
        </w:rPr>
        <w:t>L</w:t>
      </w:r>
      <w:r w:rsidR="0060632D">
        <w:rPr>
          <w:i/>
          <w:sz w:val="24"/>
          <w:szCs w:val="24"/>
          <w:lang w:val="en-US"/>
        </w:rPr>
        <w:t>y</w:t>
      </w:r>
      <w:r w:rsidRPr="00993E86">
        <w:rPr>
          <w:i/>
          <w:sz w:val="24"/>
          <w:szCs w:val="24"/>
          <w:lang w:val="en-US"/>
        </w:rPr>
        <w:t>coriella</w:t>
      </w:r>
      <w:r w:rsidR="0010328F">
        <w:rPr>
          <w:i/>
          <w:sz w:val="24"/>
          <w:szCs w:val="24"/>
          <w:lang w:val="en-US"/>
        </w:rPr>
        <w:t xml:space="preserve"> agraria</w:t>
      </w:r>
      <w:r w:rsidRPr="00993E86">
        <w:rPr>
          <w:sz w:val="24"/>
          <w:szCs w:val="24"/>
          <w:lang w:val="en-US"/>
        </w:rPr>
        <w:t>. Occurrences used for calibration and evaluation of the model. Below is shown the accessible area (</w:t>
      </w:r>
      <w:r w:rsidRPr="00986998">
        <w:rPr>
          <w:b/>
          <w:bCs/>
          <w:sz w:val="24"/>
          <w:szCs w:val="24"/>
          <w:lang w:val="en-US"/>
        </w:rPr>
        <w:t>M</w:t>
      </w:r>
      <w:r w:rsidRPr="00993E86">
        <w:rPr>
          <w:sz w:val="24"/>
          <w:szCs w:val="24"/>
          <w:lang w:val="en-US"/>
        </w:rPr>
        <w:t>): 50</w:t>
      </w:r>
      <w:r w:rsidR="0060632D">
        <w:rPr>
          <w:sz w:val="24"/>
          <w:szCs w:val="24"/>
          <w:lang w:val="en-US"/>
        </w:rPr>
        <w:t xml:space="preserve"> </w:t>
      </w:r>
      <w:r w:rsidRPr="00993E86">
        <w:rPr>
          <w:sz w:val="24"/>
          <w:szCs w:val="24"/>
          <w:lang w:val="en-US"/>
        </w:rPr>
        <w:t>km buffer around to all occurrences.</w:t>
      </w:r>
    </w:p>
    <w:p w14:paraId="2B7DDA5F" w14:textId="7288B731" w:rsidR="0001516A" w:rsidRDefault="0001516A">
      <w:pPr>
        <w:spacing w:before="240" w:after="24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76DAD1F" wp14:editId="3C7BC030">
            <wp:extent cx="5732145" cy="4432300"/>
            <wp:effectExtent l="0" t="0" r="1905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64AB" w14:textId="300CB8AF" w:rsidR="0001516A" w:rsidRDefault="0001516A">
      <w:pPr>
        <w:spacing w:before="240" w:after="240"/>
        <w:jc w:val="both"/>
        <w:rPr>
          <w:sz w:val="24"/>
          <w:szCs w:val="24"/>
          <w:lang w:val="en-US"/>
        </w:rPr>
      </w:pPr>
    </w:p>
    <w:p w14:paraId="7315CCC4" w14:textId="77777777" w:rsidR="0001516A" w:rsidRPr="00993E86" w:rsidRDefault="0001516A">
      <w:pPr>
        <w:spacing w:before="240" w:after="240"/>
        <w:jc w:val="both"/>
        <w:rPr>
          <w:sz w:val="24"/>
          <w:szCs w:val="24"/>
          <w:lang w:val="en-US"/>
        </w:rPr>
      </w:pPr>
    </w:p>
    <w:p w14:paraId="10C4CABB" w14:textId="27410F62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05F7E79D" w14:textId="7981596F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7250FD5E" w14:textId="2814FDB4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4855B449" w14:textId="1AF242D1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5AFA0DC9" w14:textId="45EFCB42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1B558AC1" w14:textId="3BB8D78B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3D31C9A3" w14:textId="3A113966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41D3C6F6" w14:textId="74849B17" w:rsidR="0010328F" w:rsidRDefault="0010328F">
      <w:pPr>
        <w:spacing w:before="240" w:after="240"/>
        <w:jc w:val="both"/>
        <w:rPr>
          <w:sz w:val="24"/>
          <w:szCs w:val="24"/>
        </w:rPr>
      </w:pPr>
    </w:p>
    <w:p w14:paraId="47AC590B" w14:textId="4F56B3EA" w:rsidR="0010328F" w:rsidRDefault="0010328F" w:rsidP="0010328F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>
        <w:rPr>
          <w:sz w:val="24"/>
          <w:szCs w:val="24"/>
          <w:lang w:val="en-US"/>
        </w:rPr>
        <w:t xml:space="preserve"> figure 2</w:t>
      </w:r>
      <w:r w:rsidRPr="00993E86">
        <w:rPr>
          <w:sz w:val="24"/>
          <w:szCs w:val="24"/>
          <w:lang w:val="en-US"/>
        </w:rPr>
        <w:t xml:space="preserve">. Known distribution areas of </w:t>
      </w:r>
      <w:r w:rsidRPr="00993E86">
        <w:rPr>
          <w:i/>
          <w:sz w:val="24"/>
          <w:szCs w:val="24"/>
          <w:lang w:val="en-US"/>
        </w:rPr>
        <w:t>L</w:t>
      </w:r>
      <w:r>
        <w:rPr>
          <w:i/>
          <w:sz w:val="24"/>
          <w:szCs w:val="24"/>
          <w:lang w:val="en-US"/>
        </w:rPr>
        <w:t>y</w:t>
      </w:r>
      <w:r w:rsidRPr="00993E86">
        <w:rPr>
          <w:i/>
          <w:sz w:val="24"/>
          <w:szCs w:val="24"/>
          <w:lang w:val="en-US"/>
        </w:rPr>
        <w:t>coriella</w:t>
      </w:r>
      <w:r w:rsidRPr="00993E86">
        <w:rPr>
          <w:sz w:val="24"/>
          <w:szCs w:val="24"/>
          <w:lang w:val="en-US"/>
        </w:rPr>
        <w:t xml:space="preserve"> </w:t>
      </w:r>
      <w:r w:rsidR="00986998" w:rsidRPr="00986998">
        <w:rPr>
          <w:i/>
          <w:iCs/>
          <w:sz w:val="24"/>
          <w:szCs w:val="24"/>
          <w:lang w:val="en-US"/>
        </w:rPr>
        <w:t>ingenua</w:t>
      </w:r>
      <w:r w:rsidRPr="00993E86">
        <w:rPr>
          <w:sz w:val="24"/>
          <w:szCs w:val="24"/>
          <w:lang w:val="en-US"/>
        </w:rPr>
        <w:t>: Occurrences used for calibration and evaluation of the model. Below is shown the accessible area (</w:t>
      </w:r>
      <w:r w:rsidRPr="00986998">
        <w:rPr>
          <w:b/>
          <w:bCs/>
          <w:sz w:val="24"/>
          <w:szCs w:val="24"/>
          <w:lang w:val="en-US"/>
        </w:rPr>
        <w:t>M</w:t>
      </w:r>
      <w:r w:rsidRPr="00993E86">
        <w:rPr>
          <w:sz w:val="24"/>
          <w:szCs w:val="24"/>
          <w:lang w:val="en-US"/>
        </w:rPr>
        <w:t>): 50</w:t>
      </w:r>
      <w:r>
        <w:rPr>
          <w:sz w:val="24"/>
          <w:szCs w:val="24"/>
          <w:lang w:val="en-US"/>
        </w:rPr>
        <w:t xml:space="preserve"> </w:t>
      </w:r>
      <w:r w:rsidRPr="00993E86">
        <w:rPr>
          <w:sz w:val="24"/>
          <w:szCs w:val="24"/>
          <w:lang w:val="en-US"/>
        </w:rPr>
        <w:t>km buffer around to all occurrences.</w:t>
      </w:r>
    </w:p>
    <w:p w14:paraId="1E3EA563" w14:textId="645B8D52" w:rsidR="0010328F" w:rsidRPr="0010328F" w:rsidRDefault="0010328F">
      <w:pPr>
        <w:spacing w:before="240" w:after="240"/>
        <w:jc w:val="both"/>
        <w:rPr>
          <w:sz w:val="24"/>
          <w:szCs w:val="24"/>
          <w:lang w:val="en-US"/>
        </w:rPr>
      </w:pPr>
    </w:p>
    <w:p w14:paraId="68A21C28" w14:textId="543CB9D7" w:rsidR="000C4C07" w:rsidRDefault="0010328F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51BC90" wp14:editId="729234C3">
            <wp:extent cx="5733415" cy="4430395"/>
            <wp:effectExtent l="0" t="0" r="635" b="8255"/>
            <wp:docPr id="14" name="Imagem 1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Diagra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5A94" w14:textId="2D49A1B4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7CCD4A3B" w14:textId="6AA5C373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74480318" w14:textId="09AB9447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16641248" w14:textId="181E0743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5309442B" w14:textId="2589139E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16C260C1" w14:textId="3A06831D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26E0AF73" w14:textId="14B7A64C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64736B14" w14:textId="3ADFC452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357B4067" w14:textId="54627540" w:rsidR="00986998" w:rsidRDefault="00986998">
      <w:pPr>
        <w:spacing w:before="240" w:after="240"/>
        <w:jc w:val="both"/>
        <w:rPr>
          <w:sz w:val="24"/>
          <w:szCs w:val="24"/>
        </w:rPr>
      </w:pPr>
    </w:p>
    <w:p w14:paraId="397F4C0F" w14:textId="6D315BFB" w:rsidR="00986998" w:rsidRDefault="00986998" w:rsidP="00986998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>
        <w:rPr>
          <w:sz w:val="24"/>
          <w:szCs w:val="24"/>
          <w:lang w:val="en-US"/>
        </w:rPr>
        <w:t xml:space="preserve"> figure 3</w:t>
      </w:r>
      <w:r w:rsidRPr="00993E86">
        <w:rPr>
          <w:sz w:val="24"/>
          <w:szCs w:val="24"/>
          <w:lang w:val="en-US"/>
        </w:rPr>
        <w:t xml:space="preserve">. Known distribution areas of </w:t>
      </w:r>
      <w:r w:rsidRPr="00993E86">
        <w:rPr>
          <w:i/>
          <w:sz w:val="24"/>
          <w:szCs w:val="24"/>
          <w:lang w:val="en-US"/>
        </w:rPr>
        <w:t>L</w:t>
      </w:r>
      <w:r>
        <w:rPr>
          <w:i/>
          <w:sz w:val="24"/>
          <w:szCs w:val="24"/>
          <w:lang w:val="en-US"/>
        </w:rPr>
        <w:t>y</w:t>
      </w:r>
      <w:r w:rsidRPr="00993E86">
        <w:rPr>
          <w:i/>
          <w:sz w:val="24"/>
          <w:szCs w:val="24"/>
          <w:lang w:val="en-US"/>
        </w:rPr>
        <w:t>coriella</w:t>
      </w:r>
      <w:r w:rsidRPr="00993E86">
        <w:rPr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  <w:lang w:val="en-US"/>
        </w:rPr>
        <w:t>sativae</w:t>
      </w:r>
      <w:r w:rsidRPr="00993E86">
        <w:rPr>
          <w:sz w:val="24"/>
          <w:szCs w:val="24"/>
          <w:lang w:val="en-US"/>
        </w:rPr>
        <w:t>: Occurrences used for calibration and evaluation of the model. Below is shown the accessible area (</w:t>
      </w:r>
      <w:r w:rsidRPr="00986998">
        <w:rPr>
          <w:b/>
          <w:bCs/>
          <w:sz w:val="24"/>
          <w:szCs w:val="24"/>
          <w:lang w:val="en-US"/>
        </w:rPr>
        <w:t>M</w:t>
      </w:r>
      <w:r w:rsidRPr="00993E86">
        <w:rPr>
          <w:sz w:val="24"/>
          <w:szCs w:val="24"/>
          <w:lang w:val="en-US"/>
        </w:rPr>
        <w:t>): 50</w:t>
      </w:r>
      <w:r>
        <w:rPr>
          <w:sz w:val="24"/>
          <w:szCs w:val="24"/>
          <w:lang w:val="en-US"/>
        </w:rPr>
        <w:t xml:space="preserve"> </w:t>
      </w:r>
      <w:r w:rsidRPr="00993E86">
        <w:rPr>
          <w:sz w:val="24"/>
          <w:szCs w:val="24"/>
          <w:lang w:val="en-US"/>
        </w:rPr>
        <w:t>km buffer around to all occurrences.</w:t>
      </w:r>
    </w:p>
    <w:p w14:paraId="2E1F1B86" w14:textId="6D6093E1" w:rsidR="000C4C07" w:rsidRDefault="0010328F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1621A4" wp14:editId="42A6263F">
            <wp:extent cx="5733415" cy="4430395"/>
            <wp:effectExtent l="0" t="0" r="635" b="8255"/>
            <wp:docPr id="15" name="Imagem 15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Map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BA38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2B47EEAE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019C5844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65F2CE04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2ED65AD4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7067411E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443A0E64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0246DACA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73441D4B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0E647863" w14:textId="77777777" w:rsidR="00E56527" w:rsidRDefault="00E5652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6804FD88" w14:textId="017E7634" w:rsidR="000C4C07" w:rsidRPr="00993E86" w:rsidRDefault="00993E86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 xml:space="preserve">Supplementary information </w:t>
      </w:r>
      <w:r w:rsidR="00401062">
        <w:rPr>
          <w:sz w:val="24"/>
          <w:szCs w:val="24"/>
          <w:lang w:val="en-US"/>
        </w:rPr>
        <w:t xml:space="preserve">figure </w:t>
      </w:r>
      <w:r w:rsidR="00986998">
        <w:rPr>
          <w:sz w:val="24"/>
          <w:szCs w:val="24"/>
          <w:lang w:val="en-US"/>
        </w:rPr>
        <w:t>4</w:t>
      </w:r>
      <w:r w:rsidRPr="00993E86">
        <w:rPr>
          <w:sz w:val="24"/>
          <w:szCs w:val="24"/>
          <w:lang w:val="en-US"/>
        </w:rPr>
        <w:t xml:space="preserve">. Projections of environmental suitability </w:t>
      </w:r>
      <w:r w:rsidR="00600243">
        <w:rPr>
          <w:sz w:val="24"/>
          <w:szCs w:val="24"/>
          <w:lang w:val="en-US"/>
        </w:rPr>
        <w:t>for</w:t>
      </w:r>
      <w:r w:rsidR="00600243" w:rsidRPr="00993E86">
        <w:rPr>
          <w:sz w:val="24"/>
          <w:szCs w:val="24"/>
          <w:lang w:val="en-US"/>
        </w:rPr>
        <w:t xml:space="preserve"> </w:t>
      </w:r>
      <w:r w:rsidRPr="00993E86">
        <w:rPr>
          <w:i/>
          <w:sz w:val="24"/>
          <w:szCs w:val="24"/>
          <w:lang w:val="en-US"/>
        </w:rPr>
        <w:t>L</w:t>
      </w:r>
      <w:r w:rsidR="00600243">
        <w:rPr>
          <w:i/>
          <w:sz w:val="24"/>
          <w:szCs w:val="24"/>
          <w:lang w:val="en-US"/>
        </w:rPr>
        <w:t>ycoriella</w:t>
      </w:r>
      <w:r w:rsidRPr="00993E86">
        <w:rPr>
          <w:sz w:val="24"/>
          <w:szCs w:val="24"/>
          <w:lang w:val="en-US"/>
        </w:rPr>
        <w:t xml:space="preserve"> </w:t>
      </w:r>
      <w:r w:rsidRPr="00993E86">
        <w:rPr>
          <w:i/>
          <w:sz w:val="24"/>
          <w:szCs w:val="24"/>
          <w:lang w:val="en-US"/>
        </w:rPr>
        <w:t xml:space="preserve">agraria </w:t>
      </w:r>
      <w:r w:rsidRPr="00993E86">
        <w:rPr>
          <w:sz w:val="24"/>
          <w:szCs w:val="24"/>
          <w:lang w:val="en-US"/>
        </w:rPr>
        <w:t>in current and future scenarios (RCP 4.5 and RCP 8.5) for 2050 in low extrapolation risk areas</w:t>
      </w:r>
      <w:r w:rsidR="00986998">
        <w:rPr>
          <w:sz w:val="24"/>
          <w:szCs w:val="24"/>
          <w:lang w:val="en-US"/>
        </w:rPr>
        <w:t>.</w:t>
      </w:r>
    </w:p>
    <w:p w14:paraId="227F3542" w14:textId="77777777" w:rsidR="000C4C07" w:rsidRDefault="00993E86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4DDE779" wp14:editId="2005C17C">
            <wp:extent cx="5731200" cy="7416800"/>
            <wp:effectExtent l="0" t="0" r="0" b="0"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AD935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57DB6A85" w14:textId="598AC692" w:rsidR="000C4C07" w:rsidRPr="00993E86" w:rsidRDefault="00993E86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 xml:space="preserve">Supplementary information </w:t>
      </w:r>
      <w:r w:rsidR="00017E57">
        <w:rPr>
          <w:sz w:val="24"/>
          <w:szCs w:val="24"/>
          <w:lang w:val="en-US"/>
        </w:rPr>
        <w:t xml:space="preserve">figure </w:t>
      </w:r>
      <w:r w:rsidR="00986998">
        <w:rPr>
          <w:sz w:val="24"/>
          <w:szCs w:val="24"/>
          <w:lang w:val="en-US"/>
        </w:rPr>
        <w:t>5</w:t>
      </w:r>
      <w:r w:rsidRPr="00993E86">
        <w:rPr>
          <w:sz w:val="24"/>
          <w:szCs w:val="24"/>
          <w:lang w:val="en-US"/>
        </w:rPr>
        <w:t xml:space="preserve">. Projections of environmental suitability </w:t>
      </w:r>
      <w:r w:rsidR="00600243">
        <w:rPr>
          <w:sz w:val="24"/>
          <w:szCs w:val="24"/>
          <w:lang w:val="en-US"/>
        </w:rPr>
        <w:t>for</w:t>
      </w:r>
      <w:r w:rsidR="00600243" w:rsidRPr="00993E86">
        <w:rPr>
          <w:sz w:val="24"/>
          <w:szCs w:val="24"/>
          <w:lang w:val="en-US"/>
        </w:rPr>
        <w:t xml:space="preserve"> </w:t>
      </w:r>
      <w:r w:rsidRPr="00993E86">
        <w:rPr>
          <w:i/>
          <w:sz w:val="24"/>
          <w:szCs w:val="24"/>
          <w:lang w:val="en-US"/>
        </w:rPr>
        <w:t>L</w:t>
      </w:r>
      <w:r w:rsidR="00600243">
        <w:rPr>
          <w:i/>
          <w:sz w:val="24"/>
          <w:szCs w:val="24"/>
          <w:lang w:val="en-US"/>
        </w:rPr>
        <w:t>ycoriella</w:t>
      </w:r>
      <w:r w:rsidRPr="00993E86">
        <w:rPr>
          <w:sz w:val="24"/>
          <w:szCs w:val="24"/>
          <w:lang w:val="en-US"/>
        </w:rPr>
        <w:t xml:space="preserve"> </w:t>
      </w:r>
      <w:r w:rsidRPr="00993E86">
        <w:rPr>
          <w:i/>
          <w:sz w:val="24"/>
          <w:szCs w:val="24"/>
          <w:lang w:val="en-US"/>
        </w:rPr>
        <w:t xml:space="preserve">ingenua </w:t>
      </w:r>
      <w:r w:rsidRPr="00993E86">
        <w:rPr>
          <w:sz w:val="24"/>
          <w:szCs w:val="24"/>
          <w:lang w:val="en-US"/>
        </w:rPr>
        <w:t>in current and future scenarios (RCP 4.5 and RCP 8.5) for 2050 in low extrapolation risk areas</w:t>
      </w:r>
      <w:r w:rsidR="00986998">
        <w:rPr>
          <w:sz w:val="24"/>
          <w:szCs w:val="24"/>
          <w:lang w:val="en-US"/>
        </w:rPr>
        <w:t>.</w:t>
      </w:r>
    </w:p>
    <w:p w14:paraId="179246DD" w14:textId="77777777" w:rsidR="000C4C07" w:rsidRDefault="00993E86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7DC7230" wp14:editId="7F15617E">
            <wp:extent cx="5731200" cy="7416800"/>
            <wp:effectExtent l="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537E4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002E1B18" w14:textId="4AF99CEC" w:rsidR="000C4C07" w:rsidRPr="00993E86" w:rsidRDefault="00993E86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 w:rsidR="00017E57">
        <w:rPr>
          <w:sz w:val="24"/>
          <w:szCs w:val="24"/>
          <w:lang w:val="en-US"/>
        </w:rPr>
        <w:t xml:space="preserve"> figure</w:t>
      </w:r>
      <w:r w:rsidRPr="00993E86">
        <w:rPr>
          <w:sz w:val="24"/>
          <w:szCs w:val="24"/>
          <w:lang w:val="en-US"/>
        </w:rPr>
        <w:t xml:space="preserve"> </w:t>
      </w:r>
      <w:r w:rsidR="00986998">
        <w:rPr>
          <w:sz w:val="24"/>
          <w:szCs w:val="24"/>
          <w:lang w:val="en-US"/>
        </w:rPr>
        <w:t>6</w:t>
      </w:r>
      <w:r w:rsidRPr="00993E86">
        <w:rPr>
          <w:sz w:val="24"/>
          <w:szCs w:val="24"/>
          <w:lang w:val="en-US"/>
        </w:rPr>
        <w:t xml:space="preserve">. Projections of environmental suitability </w:t>
      </w:r>
      <w:r w:rsidR="00244E18">
        <w:rPr>
          <w:sz w:val="24"/>
          <w:szCs w:val="24"/>
          <w:lang w:val="en-US"/>
        </w:rPr>
        <w:t>for</w:t>
      </w:r>
      <w:r w:rsidR="00244E18" w:rsidRPr="00993E86">
        <w:rPr>
          <w:sz w:val="24"/>
          <w:szCs w:val="24"/>
          <w:lang w:val="en-US"/>
        </w:rPr>
        <w:t xml:space="preserve"> </w:t>
      </w:r>
      <w:r w:rsidRPr="00993E86">
        <w:rPr>
          <w:i/>
          <w:sz w:val="24"/>
          <w:szCs w:val="24"/>
          <w:lang w:val="en-US"/>
        </w:rPr>
        <w:t>L</w:t>
      </w:r>
      <w:r w:rsidR="00244E18">
        <w:rPr>
          <w:i/>
          <w:sz w:val="24"/>
          <w:szCs w:val="24"/>
          <w:lang w:val="en-US"/>
        </w:rPr>
        <w:t>ycoriella</w:t>
      </w:r>
      <w:r w:rsidRPr="00993E86">
        <w:rPr>
          <w:sz w:val="24"/>
          <w:szCs w:val="24"/>
          <w:lang w:val="en-US"/>
        </w:rPr>
        <w:t xml:space="preserve"> </w:t>
      </w:r>
      <w:r w:rsidRPr="00993E86">
        <w:rPr>
          <w:i/>
          <w:sz w:val="24"/>
          <w:szCs w:val="24"/>
          <w:lang w:val="en-US"/>
        </w:rPr>
        <w:t xml:space="preserve">sativae </w:t>
      </w:r>
      <w:r w:rsidRPr="00993E86">
        <w:rPr>
          <w:sz w:val="24"/>
          <w:szCs w:val="24"/>
          <w:lang w:val="en-US"/>
        </w:rPr>
        <w:t>in current and future scenarios (RCP 4.5 and RCP 8.5) for 2050 in low extrapolation risk areas</w:t>
      </w:r>
      <w:r w:rsidR="00986998">
        <w:rPr>
          <w:sz w:val="24"/>
          <w:szCs w:val="24"/>
          <w:lang w:val="en-US"/>
        </w:rPr>
        <w:t>.</w:t>
      </w:r>
    </w:p>
    <w:p w14:paraId="03D22577" w14:textId="77777777" w:rsidR="000C4C07" w:rsidRDefault="00993E86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24A189B" wp14:editId="1F9ED9A3">
            <wp:extent cx="5731200" cy="7416800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3ED1F" w14:textId="77777777" w:rsidR="000C4C07" w:rsidRDefault="000C4C07">
      <w:pPr>
        <w:spacing w:before="240" w:after="240"/>
        <w:jc w:val="both"/>
        <w:rPr>
          <w:sz w:val="24"/>
          <w:szCs w:val="24"/>
        </w:rPr>
      </w:pPr>
    </w:p>
    <w:p w14:paraId="3BDC8A86" w14:textId="242354D8" w:rsidR="000C4C07" w:rsidRPr="00993E86" w:rsidRDefault="00993E86">
      <w:pPr>
        <w:spacing w:before="240" w:after="240"/>
        <w:jc w:val="both"/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 w:rsidR="00017E57">
        <w:rPr>
          <w:sz w:val="24"/>
          <w:szCs w:val="24"/>
          <w:lang w:val="en-US"/>
        </w:rPr>
        <w:t xml:space="preserve"> figure</w:t>
      </w:r>
      <w:r w:rsidRPr="00993E86">
        <w:rPr>
          <w:sz w:val="24"/>
          <w:szCs w:val="24"/>
          <w:lang w:val="en-US"/>
        </w:rPr>
        <w:t xml:space="preserve"> </w:t>
      </w:r>
      <w:r w:rsidR="00986998">
        <w:rPr>
          <w:sz w:val="24"/>
          <w:szCs w:val="24"/>
          <w:lang w:val="en-US"/>
        </w:rPr>
        <w:t>7</w:t>
      </w:r>
      <w:r w:rsidRPr="00993E86">
        <w:rPr>
          <w:sz w:val="24"/>
          <w:szCs w:val="24"/>
          <w:lang w:val="en-US"/>
        </w:rPr>
        <w:t>. MOP analysis of extrapolation risk from the calibration area under projection current and future conditions</w:t>
      </w:r>
      <w:r w:rsidR="00B72D15">
        <w:rPr>
          <w:sz w:val="24"/>
          <w:szCs w:val="24"/>
          <w:lang w:val="en-US"/>
        </w:rPr>
        <w:t xml:space="preserve"> for </w:t>
      </w:r>
      <w:r w:rsidR="00B72D15">
        <w:rPr>
          <w:i/>
          <w:iCs/>
          <w:sz w:val="24"/>
          <w:szCs w:val="24"/>
          <w:lang w:val="en-US"/>
        </w:rPr>
        <w:t>Lycoriella agraria</w:t>
      </w:r>
      <w:r w:rsidRPr="00993E86">
        <w:rPr>
          <w:sz w:val="24"/>
          <w:szCs w:val="24"/>
          <w:lang w:val="en-US"/>
        </w:rPr>
        <w:t xml:space="preserve">. Red areas represent strict </w:t>
      </w:r>
      <w:r w:rsidR="008E4205">
        <w:rPr>
          <w:sz w:val="24"/>
          <w:szCs w:val="24"/>
          <w:lang w:val="en-US"/>
        </w:rPr>
        <w:t>extrapolation</w:t>
      </w:r>
      <w:r w:rsidRPr="00993E86">
        <w:rPr>
          <w:sz w:val="24"/>
          <w:szCs w:val="24"/>
          <w:lang w:val="en-US"/>
        </w:rPr>
        <w:t>. Blue areas represent similarity between the calibration area (M) and the RCPs scenarios of projections.</w:t>
      </w:r>
    </w:p>
    <w:p w14:paraId="16BB1C8C" w14:textId="76A25F25" w:rsidR="000C4C07" w:rsidRDefault="00E620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FD85A1" wp14:editId="346A8CA5">
            <wp:extent cx="5729605" cy="741045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1F62" w14:textId="0CD9FD39" w:rsidR="00B72D15" w:rsidRDefault="00B72D15">
      <w:pPr>
        <w:rPr>
          <w:sz w:val="24"/>
          <w:szCs w:val="24"/>
        </w:rPr>
      </w:pPr>
    </w:p>
    <w:p w14:paraId="21D428AF" w14:textId="63298528" w:rsidR="00B72D15" w:rsidRDefault="00B72D15">
      <w:pPr>
        <w:rPr>
          <w:sz w:val="24"/>
          <w:szCs w:val="24"/>
        </w:rPr>
      </w:pPr>
    </w:p>
    <w:p w14:paraId="4AE64997" w14:textId="79D502B0" w:rsidR="00B72D15" w:rsidRPr="00B763C8" w:rsidRDefault="00B72D15">
      <w:pPr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>
        <w:rPr>
          <w:sz w:val="24"/>
          <w:szCs w:val="24"/>
          <w:lang w:val="en-US"/>
        </w:rPr>
        <w:t xml:space="preserve"> figure </w:t>
      </w:r>
      <w:r w:rsidR="00986998">
        <w:rPr>
          <w:sz w:val="24"/>
          <w:szCs w:val="24"/>
          <w:lang w:val="en-US"/>
        </w:rPr>
        <w:t>8</w:t>
      </w:r>
      <w:r w:rsidRPr="00993E86">
        <w:rPr>
          <w:sz w:val="24"/>
          <w:szCs w:val="24"/>
          <w:lang w:val="en-US"/>
        </w:rPr>
        <w:t>. MOP analysis of extrapolation risk from the calibration area under projection current and future conditions</w:t>
      </w:r>
      <w:r>
        <w:rPr>
          <w:sz w:val="24"/>
          <w:szCs w:val="24"/>
          <w:lang w:val="en-US"/>
        </w:rPr>
        <w:t xml:space="preserve"> for </w:t>
      </w:r>
      <w:r>
        <w:rPr>
          <w:i/>
          <w:iCs/>
          <w:sz w:val="24"/>
          <w:szCs w:val="24"/>
          <w:lang w:val="en-US"/>
        </w:rPr>
        <w:t>Lycoriella ingenua</w:t>
      </w:r>
      <w:r w:rsidRPr="00993E86">
        <w:rPr>
          <w:sz w:val="24"/>
          <w:szCs w:val="24"/>
          <w:lang w:val="en-US"/>
        </w:rPr>
        <w:t xml:space="preserve">. Red areas represent strict </w:t>
      </w:r>
      <w:r w:rsidR="008E4205">
        <w:rPr>
          <w:sz w:val="24"/>
          <w:szCs w:val="24"/>
          <w:lang w:val="en-US"/>
        </w:rPr>
        <w:t>extrapolation</w:t>
      </w:r>
      <w:r w:rsidRPr="00993E86">
        <w:rPr>
          <w:sz w:val="24"/>
          <w:szCs w:val="24"/>
          <w:lang w:val="en-US"/>
        </w:rPr>
        <w:t>. Blue areas represent similarity between the calibration area (M) and the RCPs scenarios of projections.</w:t>
      </w:r>
    </w:p>
    <w:p w14:paraId="043D0874" w14:textId="77777777" w:rsidR="00B72D15" w:rsidRPr="00B763C8" w:rsidRDefault="00B72D15">
      <w:pPr>
        <w:rPr>
          <w:sz w:val="24"/>
          <w:szCs w:val="24"/>
          <w:lang w:val="en-US"/>
        </w:rPr>
      </w:pPr>
    </w:p>
    <w:p w14:paraId="2342EB32" w14:textId="4A54D42C" w:rsidR="000C4C07" w:rsidRDefault="00E620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EB1B58" wp14:editId="0D066B73">
            <wp:extent cx="5729605" cy="741045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87B3" w14:textId="56DFA475" w:rsidR="004E1561" w:rsidRDefault="004E1561">
      <w:pPr>
        <w:rPr>
          <w:sz w:val="24"/>
          <w:szCs w:val="24"/>
        </w:rPr>
      </w:pPr>
    </w:p>
    <w:p w14:paraId="5CB512D0" w14:textId="299FAE80" w:rsidR="004E1561" w:rsidRDefault="004E1561">
      <w:pPr>
        <w:rPr>
          <w:sz w:val="24"/>
          <w:szCs w:val="24"/>
        </w:rPr>
      </w:pPr>
    </w:p>
    <w:p w14:paraId="6DF61E6B" w14:textId="08904134" w:rsidR="004E1561" w:rsidRPr="00B763C8" w:rsidRDefault="004E1561">
      <w:pPr>
        <w:rPr>
          <w:sz w:val="24"/>
          <w:szCs w:val="24"/>
          <w:lang w:val="en-US"/>
        </w:rPr>
      </w:pPr>
      <w:r w:rsidRPr="00993E86">
        <w:rPr>
          <w:sz w:val="24"/>
          <w:szCs w:val="24"/>
          <w:lang w:val="en-US"/>
        </w:rPr>
        <w:lastRenderedPageBreak/>
        <w:t>Supplementary information</w:t>
      </w:r>
      <w:r>
        <w:rPr>
          <w:sz w:val="24"/>
          <w:szCs w:val="24"/>
          <w:lang w:val="en-US"/>
        </w:rPr>
        <w:t xml:space="preserve"> figure</w:t>
      </w:r>
      <w:r w:rsidRPr="00993E86">
        <w:rPr>
          <w:sz w:val="24"/>
          <w:szCs w:val="24"/>
          <w:lang w:val="en-US"/>
        </w:rPr>
        <w:t xml:space="preserve"> </w:t>
      </w:r>
      <w:r w:rsidR="00986998">
        <w:rPr>
          <w:sz w:val="24"/>
          <w:szCs w:val="24"/>
          <w:lang w:val="en-US"/>
        </w:rPr>
        <w:t>9</w:t>
      </w:r>
      <w:r w:rsidRPr="00993E86">
        <w:rPr>
          <w:sz w:val="24"/>
          <w:szCs w:val="24"/>
          <w:lang w:val="en-US"/>
        </w:rPr>
        <w:t>. MOP analysis of extrapolation risk from the calibration area under projection current and future conditions</w:t>
      </w:r>
      <w:r>
        <w:rPr>
          <w:sz w:val="24"/>
          <w:szCs w:val="24"/>
          <w:lang w:val="en-US"/>
        </w:rPr>
        <w:t xml:space="preserve"> for </w:t>
      </w:r>
      <w:r>
        <w:rPr>
          <w:i/>
          <w:iCs/>
          <w:sz w:val="24"/>
          <w:szCs w:val="24"/>
          <w:lang w:val="en-US"/>
        </w:rPr>
        <w:t>Lycoriella sativae</w:t>
      </w:r>
      <w:r w:rsidRPr="00993E86">
        <w:rPr>
          <w:sz w:val="24"/>
          <w:szCs w:val="24"/>
          <w:lang w:val="en-US"/>
        </w:rPr>
        <w:t xml:space="preserve">. Red areas represent strict </w:t>
      </w:r>
      <w:r w:rsidR="008E4205">
        <w:rPr>
          <w:sz w:val="24"/>
          <w:szCs w:val="24"/>
          <w:lang w:val="en-US"/>
        </w:rPr>
        <w:t>extrapolation</w:t>
      </w:r>
      <w:r w:rsidRPr="00993E86">
        <w:rPr>
          <w:sz w:val="24"/>
          <w:szCs w:val="24"/>
          <w:lang w:val="en-US"/>
        </w:rPr>
        <w:t>. Blue areas represent similarity between the calibration area (M) and the RCPs scenarios of projections.</w:t>
      </w:r>
    </w:p>
    <w:p w14:paraId="5945A9D1" w14:textId="39A4452A" w:rsidR="000C4C07" w:rsidRDefault="00E620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5D3606" wp14:editId="08B59866">
            <wp:extent cx="5729605" cy="74104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07" w:rsidSect="00AF75A6">
      <w:footerReference w:type="default" r:id="rId17"/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E3D83" w14:textId="77777777" w:rsidR="00E72C3A" w:rsidRDefault="00E72C3A" w:rsidP="009C3CC7">
      <w:pPr>
        <w:spacing w:line="240" w:lineRule="auto"/>
      </w:pPr>
      <w:r>
        <w:separator/>
      </w:r>
    </w:p>
  </w:endnote>
  <w:endnote w:type="continuationSeparator" w:id="0">
    <w:p w14:paraId="0E872617" w14:textId="77777777" w:rsidR="00E72C3A" w:rsidRDefault="00E72C3A" w:rsidP="009C3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5215891"/>
      <w:docPartObj>
        <w:docPartGallery w:val="Page Numbers (Bottom of Page)"/>
        <w:docPartUnique/>
      </w:docPartObj>
    </w:sdtPr>
    <w:sdtEndPr/>
    <w:sdtContent>
      <w:p w14:paraId="6F4C6602" w14:textId="498C312E" w:rsidR="005024DD" w:rsidRDefault="005024D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B6A6169" w14:textId="77777777" w:rsidR="005024DD" w:rsidRDefault="005024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28FD" w14:textId="77777777" w:rsidR="00E72C3A" w:rsidRDefault="00E72C3A" w:rsidP="009C3CC7">
      <w:pPr>
        <w:spacing w:line="240" w:lineRule="auto"/>
      </w:pPr>
      <w:r>
        <w:separator/>
      </w:r>
    </w:p>
  </w:footnote>
  <w:footnote w:type="continuationSeparator" w:id="0">
    <w:p w14:paraId="4F841B02" w14:textId="77777777" w:rsidR="00E72C3A" w:rsidRDefault="00E72C3A" w:rsidP="009C3C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B2866"/>
    <w:multiLevelType w:val="multilevel"/>
    <w:tmpl w:val="157EC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ztDQ2NLU0sTQ0NjZT0lEKTi0uzszPAykwrgUAjEzsViwAAAA="/>
  </w:docVars>
  <w:rsids>
    <w:rsidRoot w:val="000C4C07"/>
    <w:rsid w:val="0000598D"/>
    <w:rsid w:val="00005F9F"/>
    <w:rsid w:val="000106EF"/>
    <w:rsid w:val="0001516A"/>
    <w:rsid w:val="00017E57"/>
    <w:rsid w:val="0004181E"/>
    <w:rsid w:val="00045B15"/>
    <w:rsid w:val="00081F5E"/>
    <w:rsid w:val="00086E26"/>
    <w:rsid w:val="000C4C07"/>
    <w:rsid w:val="000D44C0"/>
    <w:rsid w:val="000D5DCC"/>
    <w:rsid w:val="0010328F"/>
    <w:rsid w:val="00121979"/>
    <w:rsid w:val="00146010"/>
    <w:rsid w:val="00152EB9"/>
    <w:rsid w:val="00152FF1"/>
    <w:rsid w:val="0018706C"/>
    <w:rsid w:val="001A3CC2"/>
    <w:rsid w:val="001B74FD"/>
    <w:rsid w:val="001E3243"/>
    <w:rsid w:val="002106A0"/>
    <w:rsid w:val="002131F9"/>
    <w:rsid w:val="00221AB7"/>
    <w:rsid w:val="002361CA"/>
    <w:rsid w:val="00240AD3"/>
    <w:rsid w:val="00244E18"/>
    <w:rsid w:val="0026526E"/>
    <w:rsid w:val="00284A0A"/>
    <w:rsid w:val="00285F1A"/>
    <w:rsid w:val="002911CA"/>
    <w:rsid w:val="002A14AA"/>
    <w:rsid w:val="002B02D5"/>
    <w:rsid w:val="002B25BB"/>
    <w:rsid w:val="002B4E28"/>
    <w:rsid w:val="002C6E9C"/>
    <w:rsid w:val="00305F27"/>
    <w:rsid w:val="00307404"/>
    <w:rsid w:val="00310169"/>
    <w:rsid w:val="00321107"/>
    <w:rsid w:val="003271F5"/>
    <w:rsid w:val="003417FF"/>
    <w:rsid w:val="00342E18"/>
    <w:rsid w:val="00366FCA"/>
    <w:rsid w:val="0039374D"/>
    <w:rsid w:val="00401062"/>
    <w:rsid w:val="00403258"/>
    <w:rsid w:val="00416467"/>
    <w:rsid w:val="00452B3B"/>
    <w:rsid w:val="004868A4"/>
    <w:rsid w:val="00494027"/>
    <w:rsid w:val="00497290"/>
    <w:rsid w:val="004C77A9"/>
    <w:rsid w:val="004D2862"/>
    <w:rsid w:val="004E1561"/>
    <w:rsid w:val="004E4C56"/>
    <w:rsid w:val="00500E1F"/>
    <w:rsid w:val="005024DD"/>
    <w:rsid w:val="0053607D"/>
    <w:rsid w:val="00560A14"/>
    <w:rsid w:val="00580A96"/>
    <w:rsid w:val="005A03F0"/>
    <w:rsid w:val="005B16BD"/>
    <w:rsid w:val="005D29EC"/>
    <w:rsid w:val="005F6E4A"/>
    <w:rsid w:val="00600243"/>
    <w:rsid w:val="00602BC8"/>
    <w:rsid w:val="00604BE3"/>
    <w:rsid w:val="0060632D"/>
    <w:rsid w:val="00617BE7"/>
    <w:rsid w:val="00650CA8"/>
    <w:rsid w:val="006541C4"/>
    <w:rsid w:val="00660331"/>
    <w:rsid w:val="0066639E"/>
    <w:rsid w:val="00674F4D"/>
    <w:rsid w:val="006802C5"/>
    <w:rsid w:val="00686396"/>
    <w:rsid w:val="00693D76"/>
    <w:rsid w:val="006B4819"/>
    <w:rsid w:val="006E103C"/>
    <w:rsid w:val="006F4D63"/>
    <w:rsid w:val="007067E1"/>
    <w:rsid w:val="007127DD"/>
    <w:rsid w:val="007136B5"/>
    <w:rsid w:val="007443FD"/>
    <w:rsid w:val="007635F5"/>
    <w:rsid w:val="00763772"/>
    <w:rsid w:val="007930F2"/>
    <w:rsid w:val="007A3C55"/>
    <w:rsid w:val="007D0C4B"/>
    <w:rsid w:val="007D5880"/>
    <w:rsid w:val="007E58FA"/>
    <w:rsid w:val="008057AA"/>
    <w:rsid w:val="00821973"/>
    <w:rsid w:val="00830117"/>
    <w:rsid w:val="008318BE"/>
    <w:rsid w:val="00852607"/>
    <w:rsid w:val="00871095"/>
    <w:rsid w:val="008738E4"/>
    <w:rsid w:val="00896615"/>
    <w:rsid w:val="008C425C"/>
    <w:rsid w:val="008E4205"/>
    <w:rsid w:val="00906DE1"/>
    <w:rsid w:val="009108CA"/>
    <w:rsid w:val="00925537"/>
    <w:rsid w:val="00936B39"/>
    <w:rsid w:val="00975FA4"/>
    <w:rsid w:val="0098351F"/>
    <w:rsid w:val="00986998"/>
    <w:rsid w:val="00987CD6"/>
    <w:rsid w:val="00990326"/>
    <w:rsid w:val="00993E86"/>
    <w:rsid w:val="00995E48"/>
    <w:rsid w:val="009B5536"/>
    <w:rsid w:val="009C3CC7"/>
    <w:rsid w:val="009F508B"/>
    <w:rsid w:val="00A01617"/>
    <w:rsid w:val="00A1765E"/>
    <w:rsid w:val="00A20DB9"/>
    <w:rsid w:val="00A360D8"/>
    <w:rsid w:val="00A613EC"/>
    <w:rsid w:val="00A70DCA"/>
    <w:rsid w:val="00A7310E"/>
    <w:rsid w:val="00A7790E"/>
    <w:rsid w:val="00AC66E5"/>
    <w:rsid w:val="00AD3F48"/>
    <w:rsid w:val="00AF75A6"/>
    <w:rsid w:val="00B12E7D"/>
    <w:rsid w:val="00B50237"/>
    <w:rsid w:val="00B609F2"/>
    <w:rsid w:val="00B63935"/>
    <w:rsid w:val="00B72D15"/>
    <w:rsid w:val="00B763C8"/>
    <w:rsid w:val="00B773C6"/>
    <w:rsid w:val="00B904D7"/>
    <w:rsid w:val="00BA56B7"/>
    <w:rsid w:val="00BA5DB3"/>
    <w:rsid w:val="00BC6CD6"/>
    <w:rsid w:val="00BC7931"/>
    <w:rsid w:val="00C2534C"/>
    <w:rsid w:val="00C67247"/>
    <w:rsid w:val="00C85C25"/>
    <w:rsid w:val="00C918BD"/>
    <w:rsid w:val="00CA2812"/>
    <w:rsid w:val="00CA3391"/>
    <w:rsid w:val="00D024FD"/>
    <w:rsid w:val="00D046E8"/>
    <w:rsid w:val="00D227E2"/>
    <w:rsid w:val="00DC0118"/>
    <w:rsid w:val="00DC7084"/>
    <w:rsid w:val="00DD53A5"/>
    <w:rsid w:val="00E56527"/>
    <w:rsid w:val="00E620C7"/>
    <w:rsid w:val="00E72C3A"/>
    <w:rsid w:val="00E87534"/>
    <w:rsid w:val="00EA0A69"/>
    <w:rsid w:val="00EA687B"/>
    <w:rsid w:val="00EA7A33"/>
    <w:rsid w:val="00EB6213"/>
    <w:rsid w:val="00EC3C56"/>
    <w:rsid w:val="00EC7D3E"/>
    <w:rsid w:val="00ED4EDF"/>
    <w:rsid w:val="00EF3CB0"/>
    <w:rsid w:val="00F118F2"/>
    <w:rsid w:val="00F410B5"/>
    <w:rsid w:val="00F500A6"/>
    <w:rsid w:val="00F61713"/>
    <w:rsid w:val="00F62659"/>
    <w:rsid w:val="00F67CC9"/>
    <w:rsid w:val="00F76242"/>
    <w:rsid w:val="00F774C3"/>
    <w:rsid w:val="00F801B0"/>
    <w:rsid w:val="00FB0036"/>
    <w:rsid w:val="00FB3C61"/>
    <w:rsid w:val="00FB7CDE"/>
    <w:rsid w:val="00FD6EB5"/>
    <w:rsid w:val="00FE53AF"/>
    <w:rsid w:val="00FE708C"/>
    <w:rsid w:val="00FF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D255F"/>
  <w15:docId w15:val="{FBC1E21E-CC08-4A61-B434-09175D048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30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30F2"/>
    <w:rPr>
      <w:b/>
      <w:bCs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342E18"/>
  </w:style>
  <w:style w:type="paragraph" w:styleId="Encabezado">
    <w:name w:val="header"/>
    <w:basedOn w:val="Normal"/>
    <w:link w:val="EncabezadoCar"/>
    <w:uiPriority w:val="99"/>
    <w:unhideWhenUsed/>
    <w:rsid w:val="009C3CC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3CC7"/>
  </w:style>
  <w:style w:type="paragraph" w:styleId="Piedepgina">
    <w:name w:val="footer"/>
    <w:basedOn w:val="Normal"/>
    <w:link w:val="PiedepginaCar"/>
    <w:uiPriority w:val="99"/>
    <w:unhideWhenUsed/>
    <w:rsid w:val="009C3CC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CC7"/>
  </w:style>
  <w:style w:type="paragraph" w:styleId="Bibliografa">
    <w:name w:val="Bibliography"/>
    <w:basedOn w:val="Normal"/>
    <w:next w:val="Normal"/>
    <w:uiPriority w:val="37"/>
    <w:unhideWhenUsed/>
    <w:rsid w:val="006F4D63"/>
    <w:pPr>
      <w:spacing w:line="240" w:lineRule="auto"/>
      <w:ind w:left="720" w:hanging="720"/>
    </w:pPr>
  </w:style>
  <w:style w:type="paragraph" w:styleId="Prrafodelista">
    <w:name w:val="List Paragraph"/>
    <w:basedOn w:val="Normal"/>
    <w:uiPriority w:val="34"/>
    <w:qFormat/>
    <w:rsid w:val="00580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1A121-15CB-43DF-A1E2-C821981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Daniel-Lap</dc:creator>
  <cp:lastModifiedBy>Rff</cp:lastModifiedBy>
  <cp:revision>4</cp:revision>
  <dcterms:created xsi:type="dcterms:W3CDTF">2021-05-05T17:54:00Z</dcterms:created>
  <dcterms:modified xsi:type="dcterms:W3CDTF">2021-05-05T18:52:00Z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id="TatlcEix"/&gt;&lt;style id="http://www.zotero.org/styles/agriculture-ecosystems-and-environment" hasBibliography="1" bibliographyStyleHasBeenSet="1"/&gt;&lt;prefs&gt;&lt;pref name="fieldType" value="Field"/&gt;&lt;/pr</vt:lpwstr>
  </property>
  <property fmtid="{D5CDD505-2E9C-101B-9397-08002B2CF9AE}" pid="3" name="ZOTERO_PREF_2">
    <vt:lpwstr>efs&gt;&lt;/data&gt;</vt:lpwstr>
  </property>
</Properties>
</file>