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EE11C" w14:textId="77777777" w:rsidR="006D05AC" w:rsidRDefault="006D05AC" w:rsidP="006D05AC">
      <w:pPr>
        <w:pStyle w:val="Comment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0135714"/>
      <w:r w:rsidRPr="002068A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2068A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 Diagnostic potential of S1 and S2 specific CD4 and CD8 T cell subsets in discrimination Convalescent patients and unexposed donors.</w:t>
      </w:r>
    </w:p>
    <w:tbl>
      <w:tblPr>
        <w:tblW w:w="10193" w:type="dxa"/>
        <w:tblLook w:val="04A0" w:firstRow="1" w:lastRow="0" w:firstColumn="1" w:lastColumn="0" w:noHBand="0" w:noVBand="1"/>
      </w:tblPr>
      <w:tblGrid>
        <w:gridCol w:w="3048"/>
        <w:gridCol w:w="2072"/>
        <w:gridCol w:w="2250"/>
        <w:gridCol w:w="941"/>
        <w:gridCol w:w="1039"/>
        <w:gridCol w:w="843"/>
      </w:tblGrid>
      <w:tr w:rsidR="006D05AC" w:rsidRPr="004A6F40" w14:paraId="28420EEE" w14:textId="77777777" w:rsidTr="001C4726">
        <w:trPr>
          <w:trHeight w:val="315"/>
        </w:trPr>
        <w:tc>
          <w:tcPr>
            <w:tcW w:w="30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CBBFB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 cell Subset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496E0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Sensitivity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CF19B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Specificity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DA62B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AUC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97D1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Cut-off</w:t>
            </w:r>
          </w:p>
        </w:tc>
        <w:tc>
          <w:tcPr>
            <w:tcW w:w="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8D862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 value</w:t>
            </w:r>
          </w:p>
        </w:tc>
      </w:tr>
      <w:tr w:rsidR="006D05AC" w:rsidRPr="004A6F40" w14:paraId="0C982ABA" w14:textId="77777777" w:rsidTr="001C4726">
        <w:trPr>
          <w:trHeight w:val="315"/>
        </w:trPr>
        <w:tc>
          <w:tcPr>
            <w:tcW w:w="3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38673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PDL1+CD25+ (S1-nil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98FEA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60 (42.3 - 75.4)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2EF4D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85.7 (CI 48.6 - 99.27)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3615F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0.7071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B51DB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FF7F5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0.0916</w:t>
            </w:r>
          </w:p>
        </w:tc>
      </w:tr>
      <w:tr w:rsidR="006D05AC" w:rsidRPr="004A6F40" w14:paraId="5037F669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BE84D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PDL1+CD25+ (S2-nil)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FBBDCC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53.3 (CI 36.1 - 69.7)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CFD3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85.7 (CI 48.6 - 99.27)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A48F2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0.7405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D4754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6431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b/>
                <w:bCs/>
              </w:rPr>
              <w:t>0.05</w:t>
            </w:r>
          </w:p>
        </w:tc>
      </w:tr>
      <w:tr w:rsidR="006D05AC" w:rsidRPr="004A6F40" w14:paraId="60BE55D4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4F111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CD134+CD25+(S1-nil)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0C144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46.6 (CI 30.2 - 63.8)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07FF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100 (CI 64.5 - 100)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6A79D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0.7214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9140B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0.76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2B3F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0.0714</w:t>
            </w:r>
          </w:p>
        </w:tc>
      </w:tr>
      <w:tr w:rsidR="006D05AC" w:rsidRPr="004A6F40" w14:paraId="38290462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F9D3B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CD134+CD25+(S2-nil) 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F938A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56.6 (CI 39.2 - 72.6)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BC3F6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85.7 (CI 48.6 - 99.27)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9ADDC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0.6881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FA451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97A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0.125</w:t>
            </w:r>
          </w:p>
        </w:tc>
      </w:tr>
      <w:tr w:rsidR="006D05AC" w:rsidRPr="004A6F40" w14:paraId="4F92CD01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9F7F9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PDL1+CD11a+(S1-nil)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AD329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66.6 (CI 48.7 - 80.7)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3C594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71.4 (CI 35.8 - 94.9)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F9801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0.6333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74504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0.255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F7E74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0.2776</w:t>
            </w:r>
          </w:p>
        </w:tc>
      </w:tr>
      <w:tr w:rsidR="006D05AC" w:rsidRPr="004A6F40" w14:paraId="22D13B5D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F874A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CD4+ PDL1+CD11a+(S2-nil)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5F940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80 (CI 62.6 - 90.4)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DE26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57.1 (CI 25.0 - 84.1)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21FBD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0.6667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5786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27C8F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0.1747</w:t>
            </w:r>
          </w:p>
        </w:tc>
      </w:tr>
      <w:tr w:rsidR="006D05AC" w:rsidRPr="004A6F40" w14:paraId="77012E0B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F2837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CD8+ PDL1+CD25+ (S1-nil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6A01F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16.6 (CI 7.3 -33.5)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98C71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100 (CI 64.5 - 100)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DBA52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1AB8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DA49E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0.415</w:t>
            </w:r>
          </w:p>
        </w:tc>
      </w:tr>
      <w:tr w:rsidR="006D05AC" w:rsidRPr="004A6F40" w14:paraId="2D383944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04460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CD8+ PDL1+CD25+ (S2-nil)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CB67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16.6 (CI 7.3 -33.5)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6EE90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100 (CI 64.5 - 100)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AC102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0.5238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B5A7E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B7BC6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0.842</w:t>
            </w:r>
          </w:p>
        </w:tc>
      </w:tr>
      <w:tr w:rsidR="006D05AC" w:rsidRPr="004A6F40" w14:paraId="6F01D3F3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9B37A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CD8+ CD134+CD25+(S1-nil)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73DFD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70 (CI 52.1 - 83.3)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C1F79E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4208 (CI 15.8 - 74.9)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520AC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0.5476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329C5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648C1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0.6982</w:t>
            </w:r>
          </w:p>
        </w:tc>
      </w:tr>
      <w:tr w:rsidR="006D05AC" w:rsidRPr="004A6F40" w14:paraId="72600B0B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D0831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CD8+ CD134+CD25+(S2-nil) 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00BDA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46.6 (CI 30.2 - 63.8)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3920C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71.4 (CI 35.8 - 94.9)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6A6C2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8367F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F6DB1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0.415</w:t>
            </w:r>
          </w:p>
        </w:tc>
      </w:tr>
      <w:tr w:rsidR="006D05AC" w:rsidRPr="004A6F40" w14:paraId="0BBA6CE4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4ACD7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CD8+ PDL1+CD11a+(S1-nil)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9A16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53.3 (CI 36.1 -69.7)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EF9A3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71.4 (CI 35.8 - 94.9)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BAC2B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0.6024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8D22D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3D90B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0.404</w:t>
            </w:r>
          </w:p>
        </w:tc>
      </w:tr>
      <w:tr w:rsidR="006D05AC" w:rsidRPr="004A6F40" w14:paraId="200F0147" w14:textId="77777777" w:rsidTr="001C4726">
        <w:trPr>
          <w:trHeight w:val="315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01DE7" w14:textId="77777777" w:rsidR="006D05AC" w:rsidRPr="004A6F40" w:rsidRDefault="006D05AC" w:rsidP="001C4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 xml:space="preserve">CD8+ PDL1+CD11a+(S2-nil)  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B7EDCC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80 (CI 62.9 - 90.4)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AA4DE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57.14 (CI 25.0 - 84.1)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3B8DC" w14:textId="77777777" w:rsidR="006D05AC" w:rsidRPr="004A6F40" w:rsidRDefault="006D05AC" w:rsidP="001C4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0.6238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78C17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0.015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622BA" w14:textId="77777777" w:rsidR="006D05AC" w:rsidRPr="004A6F40" w:rsidRDefault="006D05AC" w:rsidP="001C4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6F40">
              <w:rPr>
                <w:rFonts w:ascii="Times New Roman" w:eastAsia="Times New Roman" w:hAnsi="Times New Roman" w:cs="Times New Roman"/>
                <w:color w:val="000000"/>
              </w:rPr>
              <w:t>0.313</w:t>
            </w:r>
          </w:p>
        </w:tc>
      </w:tr>
    </w:tbl>
    <w:p w14:paraId="3185CD2D" w14:textId="758E139D" w:rsidR="006D05AC" w:rsidRDefault="006D05AC" w:rsidP="006D05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35236" w14:textId="77777777" w:rsidR="006D05AC" w:rsidRDefault="006D05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6F5F5D" w14:textId="52ED01E0" w:rsidR="00547508" w:rsidRDefault="00D73DAB" w:rsidP="00D73D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Figure </w:t>
      </w:r>
      <w:r w:rsidR="006D05A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50BF6">
        <w:rPr>
          <w:rFonts w:ascii="Times New Roman" w:hAnsi="Times New Roman" w:cs="Times New Roman"/>
          <w:b/>
          <w:bCs/>
          <w:sz w:val="24"/>
          <w:szCs w:val="24"/>
        </w:rPr>
        <w:t xml:space="preserve">1: </w:t>
      </w:r>
      <w:bookmarkEnd w:id="0"/>
    </w:p>
    <w:p w14:paraId="302DD668" w14:textId="262CDA1D" w:rsidR="00083736" w:rsidRPr="00E50BF6" w:rsidRDefault="00083736" w:rsidP="00D73DA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01C665" wp14:editId="120CFB1E">
            <wp:extent cx="6864776" cy="5943559"/>
            <wp:effectExtent l="0" t="0" r="0" b="635"/>
            <wp:docPr id="12" name="Picture 12" descr="A picture containing text, screenshot, map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creenshot, map, diagram&#10;&#10;Description automatically generated"/>
                    <pic:cNvPicPr/>
                  </pic:nvPicPr>
                  <pic:blipFill rotWithShape="1">
                    <a:blip r:embed="rId6"/>
                    <a:srcRect l="50013" t="-2204" r="-1153" b="10195"/>
                    <a:stretch/>
                  </pic:blipFill>
                  <pic:spPr bwMode="auto">
                    <a:xfrm>
                      <a:off x="0" y="0"/>
                      <a:ext cx="6919390" cy="59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805FD" w14:textId="0F3CE951" w:rsidR="008042AA" w:rsidRDefault="0054750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CF9275" wp14:editId="2F85699C">
            <wp:extent cx="6454588" cy="5440618"/>
            <wp:effectExtent l="0" t="0" r="3810" b="8255"/>
            <wp:docPr id="15" name="Picture 15" descr="A picture containing tex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creenshot, line&#10;&#10;Description automatically generated"/>
                    <pic:cNvPicPr/>
                  </pic:nvPicPr>
                  <pic:blipFill rotWithShape="1">
                    <a:blip r:embed="rId7"/>
                    <a:srcRect l="50000" b="10256"/>
                    <a:stretch/>
                  </pic:blipFill>
                  <pic:spPr bwMode="auto">
                    <a:xfrm>
                      <a:off x="0" y="0"/>
                      <a:ext cx="6481056" cy="546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D29AE" w14:textId="28C6ECA6" w:rsidR="00547508" w:rsidRDefault="00547508" w:rsidP="00B338CA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5FB759" wp14:editId="1D09AFDB">
            <wp:extent cx="2006600" cy="380655"/>
            <wp:effectExtent l="0" t="0" r="0" b="635"/>
            <wp:docPr id="13" name="Picture 13" descr="A picture containing colorfulness, screenshot, rectang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olorfulness, screenshot, rectangl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25" cy="38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08AF9" w14:textId="7D8582EB" w:rsidR="006D05AC" w:rsidRPr="006D05AC" w:rsidRDefault="006D05AC" w:rsidP="006D05A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BF6">
        <w:rPr>
          <w:rFonts w:ascii="Times New Roman" w:hAnsi="Times New Roman" w:cs="Times New Roman"/>
          <w:b/>
          <w:bCs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50BF6">
        <w:rPr>
          <w:rFonts w:ascii="Times New Roman" w:hAnsi="Times New Roman" w:cs="Times New Roman"/>
          <w:b/>
          <w:bCs/>
          <w:sz w:val="24"/>
          <w:szCs w:val="24"/>
        </w:rPr>
        <w:t>1:</w:t>
      </w:r>
      <w:r w:rsidRPr="00364B23">
        <w:rPr>
          <w:rFonts w:ascii="Times New Roman" w:hAnsi="Times New Roman" w:cs="Times New Roman"/>
          <w:sz w:val="24"/>
          <w:szCs w:val="24"/>
        </w:rPr>
        <w:t xml:space="preserve"> </w:t>
      </w:r>
      <w:r w:rsidRPr="00E50BF6">
        <w:rPr>
          <w:rFonts w:ascii="Times New Roman" w:hAnsi="Times New Roman" w:cs="Times New Roman"/>
          <w:sz w:val="24"/>
          <w:szCs w:val="24"/>
        </w:rPr>
        <w:t xml:space="preserve">Heatmaps </w:t>
      </w:r>
      <w:r>
        <w:rPr>
          <w:rFonts w:ascii="Times New Roman" w:hAnsi="Times New Roman" w:cs="Times New Roman"/>
          <w:sz w:val="24"/>
          <w:szCs w:val="24"/>
        </w:rPr>
        <w:t xml:space="preserve">represent the </w:t>
      </w:r>
      <w:r w:rsidRPr="00E50BF6">
        <w:rPr>
          <w:rFonts w:ascii="Times New Roman" w:hAnsi="Times New Roman" w:cs="Times New Roman"/>
          <w:sz w:val="24"/>
          <w:szCs w:val="24"/>
        </w:rPr>
        <w:t>responses of</w:t>
      </w:r>
      <w:r w:rsidRPr="00E50B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0BF6">
        <w:rPr>
          <w:rFonts w:ascii="Times New Roman" w:hAnsi="Times New Roman" w:cs="Times New Roman"/>
          <w:sz w:val="24"/>
          <w:szCs w:val="24"/>
        </w:rPr>
        <w:t>CD4</w:t>
      </w:r>
      <w:r w:rsidRPr="00E50BF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50BF6">
        <w:rPr>
          <w:rFonts w:ascii="Times New Roman" w:hAnsi="Times New Roman" w:cs="Times New Roman"/>
          <w:sz w:val="24"/>
          <w:szCs w:val="24"/>
        </w:rPr>
        <w:t xml:space="preserve"> and CD8</w:t>
      </w:r>
      <w:r w:rsidRPr="00E50BF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50BF6">
        <w:rPr>
          <w:rFonts w:ascii="Times New Roman" w:hAnsi="Times New Roman" w:cs="Times New Roman"/>
          <w:sz w:val="24"/>
          <w:szCs w:val="24"/>
        </w:rPr>
        <w:t xml:space="preserve"> subsets, </w:t>
      </w:r>
      <w:r>
        <w:rPr>
          <w:rFonts w:ascii="Times New Roman" w:hAnsi="Times New Roman" w:cs="Times New Roman"/>
          <w:sz w:val="24"/>
          <w:szCs w:val="24"/>
        </w:rPr>
        <w:t xml:space="preserve">IFN-γ </w:t>
      </w:r>
      <w:r w:rsidRPr="00E50BF6">
        <w:rPr>
          <w:rFonts w:ascii="Times New Roman" w:hAnsi="Times New Roman" w:cs="Times New Roman"/>
          <w:sz w:val="24"/>
          <w:szCs w:val="24"/>
        </w:rPr>
        <w:t>ELIS</w:t>
      </w:r>
      <w:r>
        <w:rPr>
          <w:rFonts w:ascii="Times New Roman" w:hAnsi="Times New Roman" w:cs="Times New Roman"/>
          <w:sz w:val="24"/>
          <w:szCs w:val="24"/>
        </w:rPr>
        <w:t>pot</w:t>
      </w:r>
      <w:r w:rsidRPr="00E50BF6">
        <w:rPr>
          <w:rFonts w:ascii="Times New Roman" w:hAnsi="Times New Roman" w:cs="Times New Roman"/>
          <w:sz w:val="24"/>
          <w:szCs w:val="24"/>
        </w:rPr>
        <w:t xml:space="preserve"> and percentage of lysis by the cytotoxicity assay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bookmarkStart w:id="1" w:name="_Hlk138955891"/>
      <w:r w:rsidRPr="00A37507">
        <w:rPr>
          <w:rFonts w:ascii="Times New Roman" w:hAnsi="Times New Roman" w:cs="Times New Roman"/>
          <w:sz w:val="24"/>
          <w:szCs w:val="24"/>
        </w:rPr>
        <w:t xml:space="preserve">12 HLA-A2 positive </w:t>
      </w:r>
      <w:bookmarkEnd w:id="1"/>
      <w:r w:rsidRPr="00A37507">
        <w:rPr>
          <w:rFonts w:ascii="Times New Roman" w:hAnsi="Times New Roman" w:cs="Times New Roman"/>
          <w:sz w:val="24"/>
          <w:szCs w:val="24"/>
        </w:rPr>
        <w:t>convalescent patients</w:t>
      </w:r>
      <w:r w:rsidRPr="00E50BF6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38926525"/>
      <w:r w:rsidRPr="006B0D34">
        <w:rPr>
          <w:rFonts w:ascii="Times New Roman" w:hAnsi="Times New Roman" w:cs="Times New Roman"/>
          <w:sz w:val="24"/>
          <w:szCs w:val="24"/>
        </w:rPr>
        <w:t>Heatmaps show background-subtracted responses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50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52265">
        <w:rPr>
          <w:rFonts w:ascii="Times New Roman" w:hAnsi="Times New Roman" w:cs="Times New Roman"/>
          <w:sz w:val="24"/>
          <w:szCs w:val="24"/>
        </w:rPr>
        <w:t xml:space="preserve">ontinuous color shading for each patient </w:t>
      </w:r>
      <w:r>
        <w:rPr>
          <w:rFonts w:ascii="Times New Roman" w:hAnsi="Times New Roman" w:cs="Times New Roman"/>
          <w:sz w:val="24"/>
          <w:szCs w:val="24"/>
        </w:rPr>
        <w:t xml:space="preserve">represents the magnitude of response. </w:t>
      </w:r>
      <w:r w:rsidRPr="00E50BF6">
        <w:rPr>
          <w:rFonts w:ascii="Times New Roman" w:hAnsi="Times New Roman" w:cs="Times New Roman"/>
          <w:sz w:val="24"/>
          <w:szCs w:val="24"/>
        </w:rPr>
        <w:t>N</w:t>
      </w:r>
      <w:r w:rsidRPr="003B75F1">
        <w:rPr>
          <w:rFonts w:ascii="Times New Roman" w:hAnsi="Times New Roman" w:cs="Times New Roman"/>
          <w:sz w:val="24"/>
          <w:szCs w:val="24"/>
        </w:rPr>
        <w:t xml:space="preserve">ote that patient 15 is a convalescent patient that did not show measurable response by </w:t>
      </w:r>
      <w:r>
        <w:rPr>
          <w:rFonts w:ascii="Times New Roman" w:hAnsi="Times New Roman" w:cs="Times New Roman"/>
          <w:sz w:val="24"/>
          <w:szCs w:val="24"/>
        </w:rPr>
        <w:t xml:space="preserve">IFN-γ </w:t>
      </w:r>
      <w:r w:rsidRPr="003B75F1">
        <w:rPr>
          <w:rFonts w:ascii="Times New Roman" w:hAnsi="Times New Roman" w:cs="Times New Roman"/>
          <w:sz w:val="24"/>
          <w:szCs w:val="24"/>
        </w:rPr>
        <w:t>ELIS</w:t>
      </w:r>
      <w:r>
        <w:rPr>
          <w:rFonts w:ascii="Times New Roman" w:hAnsi="Times New Roman" w:cs="Times New Roman"/>
          <w:sz w:val="24"/>
          <w:szCs w:val="24"/>
        </w:rPr>
        <w:t>pot</w:t>
      </w:r>
      <w:r w:rsidRPr="003B75F1">
        <w:rPr>
          <w:rFonts w:ascii="Times New Roman" w:hAnsi="Times New Roman" w:cs="Times New Roman"/>
          <w:sz w:val="24"/>
          <w:szCs w:val="24"/>
        </w:rPr>
        <w:t xml:space="preserve"> and AIM FC assays to S1 and S2 but positive </w:t>
      </w:r>
      <w:r>
        <w:rPr>
          <w:rFonts w:ascii="Times New Roman" w:hAnsi="Times New Roman" w:cs="Times New Roman"/>
          <w:sz w:val="24"/>
          <w:szCs w:val="24"/>
        </w:rPr>
        <w:t xml:space="preserve">IFN-γ </w:t>
      </w:r>
      <w:r w:rsidRPr="003B75F1">
        <w:rPr>
          <w:rFonts w:ascii="Times New Roman" w:hAnsi="Times New Roman" w:cs="Times New Roman"/>
          <w:sz w:val="24"/>
          <w:szCs w:val="24"/>
        </w:rPr>
        <w:t>ELIS</w:t>
      </w:r>
      <w:r>
        <w:rPr>
          <w:rFonts w:ascii="Times New Roman" w:hAnsi="Times New Roman" w:cs="Times New Roman"/>
          <w:sz w:val="24"/>
          <w:szCs w:val="24"/>
        </w:rPr>
        <w:t>pot</w:t>
      </w:r>
      <w:r w:rsidRPr="003B75F1">
        <w:rPr>
          <w:rFonts w:ascii="Times New Roman" w:hAnsi="Times New Roman" w:cs="Times New Roman"/>
          <w:sz w:val="24"/>
          <w:szCs w:val="24"/>
        </w:rPr>
        <w:t xml:space="preserve"> response to the HLA-A2 peptides.</w:t>
      </w:r>
      <w:bookmarkEnd w:id="2"/>
    </w:p>
    <w:sectPr w:rsidR="006D05AC" w:rsidRPr="006D0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1DF89" w14:textId="77777777" w:rsidR="00E42521" w:rsidRDefault="00E42521" w:rsidP="00545EF5">
      <w:pPr>
        <w:spacing w:after="0" w:line="240" w:lineRule="auto"/>
      </w:pPr>
      <w:r>
        <w:separator/>
      </w:r>
    </w:p>
  </w:endnote>
  <w:endnote w:type="continuationSeparator" w:id="0">
    <w:p w14:paraId="0C623480" w14:textId="77777777" w:rsidR="00E42521" w:rsidRDefault="00E42521" w:rsidP="0054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206AF" w14:textId="77777777" w:rsidR="00E42521" w:rsidRDefault="00E42521" w:rsidP="00545EF5">
      <w:pPr>
        <w:spacing w:after="0" w:line="240" w:lineRule="auto"/>
      </w:pPr>
      <w:r>
        <w:separator/>
      </w:r>
    </w:p>
  </w:footnote>
  <w:footnote w:type="continuationSeparator" w:id="0">
    <w:p w14:paraId="14CAC635" w14:textId="77777777" w:rsidR="00E42521" w:rsidRDefault="00E42521" w:rsidP="00545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D8F"/>
    <w:rsid w:val="000147E7"/>
    <w:rsid w:val="00083736"/>
    <w:rsid w:val="00090C9B"/>
    <w:rsid w:val="000C62DA"/>
    <w:rsid w:val="001466B2"/>
    <w:rsid w:val="001E46B4"/>
    <w:rsid w:val="00277619"/>
    <w:rsid w:val="00287ED4"/>
    <w:rsid w:val="002B7E04"/>
    <w:rsid w:val="00314FFD"/>
    <w:rsid w:val="003800B5"/>
    <w:rsid w:val="00391FEA"/>
    <w:rsid w:val="00403D8F"/>
    <w:rsid w:val="00423241"/>
    <w:rsid w:val="00426F7D"/>
    <w:rsid w:val="004407E1"/>
    <w:rsid w:val="004F4C7C"/>
    <w:rsid w:val="00537BA6"/>
    <w:rsid w:val="00545EF5"/>
    <w:rsid w:val="00547508"/>
    <w:rsid w:val="00551125"/>
    <w:rsid w:val="00556105"/>
    <w:rsid w:val="00574E4A"/>
    <w:rsid w:val="006B0D34"/>
    <w:rsid w:val="006D05AC"/>
    <w:rsid w:val="0071565A"/>
    <w:rsid w:val="00766144"/>
    <w:rsid w:val="007A573D"/>
    <w:rsid w:val="007C7B4B"/>
    <w:rsid w:val="007D6A28"/>
    <w:rsid w:val="008042AA"/>
    <w:rsid w:val="008B53CF"/>
    <w:rsid w:val="008F6C23"/>
    <w:rsid w:val="009A7738"/>
    <w:rsid w:val="009B70AA"/>
    <w:rsid w:val="009E617C"/>
    <w:rsid w:val="009F765D"/>
    <w:rsid w:val="00A03CCE"/>
    <w:rsid w:val="00A10C7D"/>
    <w:rsid w:val="00A1542E"/>
    <w:rsid w:val="00A168BC"/>
    <w:rsid w:val="00A37507"/>
    <w:rsid w:val="00A41B0B"/>
    <w:rsid w:val="00A43563"/>
    <w:rsid w:val="00A87314"/>
    <w:rsid w:val="00AE539B"/>
    <w:rsid w:val="00AE7BBD"/>
    <w:rsid w:val="00AF4B02"/>
    <w:rsid w:val="00B11222"/>
    <w:rsid w:val="00B338CA"/>
    <w:rsid w:val="00B76DCA"/>
    <w:rsid w:val="00C37E69"/>
    <w:rsid w:val="00C7699F"/>
    <w:rsid w:val="00D0287C"/>
    <w:rsid w:val="00D02C32"/>
    <w:rsid w:val="00D73DAB"/>
    <w:rsid w:val="00DB0650"/>
    <w:rsid w:val="00DD3776"/>
    <w:rsid w:val="00DF38C0"/>
    <w:rsid w:val="00DF7402"/>
    <w:rsid w:val="00E0651C"/>
    <w:rsid w:val="00E42521"/>
    <w:rsid w:val="00E66E68"/>
    <w:rsid w:val="00EF64E2"/>
    <w:rsid w:val="00F52265"/>
    <w:rsid w:val="00F95371"/>
    <w:rsid w:val="00FB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C17D7"/>
  <w15:chartTrackingRefBased/>
  <w15:docId w15:val="{178AF232-4091-4476-A011-19251A90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7C7B4B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7B4B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54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EF5"/>
  </w:style>
  <w:style w:type="paragraph" w:styleId="Footer">
    <w:name w:val="footer"/>
    <w:basedOn w:val="Normal"/>
    <w:link w:val="FooterChar"/>
    <w:uiPriority w:val="99"/>
    <w:unhideWhenUsed/>
    <w:rsid w:val="0054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EF5"/>
  </w:style>
  <w:style w:type="character" w:styleId="CommentReference">
    <w:name w:val="annotation reference"/>
    <w:basedOn w:val="DefaultParagraphFont"/>
    <w:uiPriority w:val="99"/>
    <w:semiHidden/>
    <w:unhideWhenUsed/>
    <w:rsid w:val="00A03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42AA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42AA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2631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Pathakumari, Balaji, Ph.D.</dc:creator>
  <cp:keywords/>
  <dc:description/>
  <cp:lastModifiedBy>Pathakumari, Balaji, Ph.D.</cp:lastModifiedBy>
  <cp:revision>60</cp:revision>
  <dcterms:created xsi:type="dcterms:W3CDTF">2023-06-28T16:09:00Z</dcterms:created>
  <dcterms:modified xsi:type="dcterms:W3CDTF">2023-07-17T18:08:00Z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df3130068d3ea1ccf995d6899d9087811bf2e4b246be1e2a6d00175039f3d9a9</vt:lpwstr>
  </property>
</Properties>
</file>