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F0AE2" w14:textId="77777777" w:rsidR="00B25C8E" w:rsidRDefault="00B25C8E" w:rsidP="00B25C8E">
      <w:pPr>
        <w:spacing w:line="480" w:lineRule="auto"/>
        <w:rPr>
          <w:rFonts w:ascii="Times New Roman" w:hAnsi="Times New Roman" w:cs="Times New Roman"/>
          <w:b/>
          <w:sz w:val="24"/>
          <w:szCs w:val="24"/>
        </w:rPr>
      </w:pPr>
      <w:r w:rsidRPr="00D31378">
        <w:rPr>
          <w:rFonts w:ascii="Times New Roman" w:hAnsi="Times New Roman" w:cs="Times New Roman"/>
          <w:b/>
          <w:sz w:val="24"/>
          <w:szCs w:val="24"/>
        </w:rPr>
        <w:t>Supplementary Material</w:t>
      </w:r>
    </w:p>
    <w:p w14:paraId="0B415227" w14:textId="59D998CD" w:rsidR="00B25C8E" w:rsidRDefault="00B25C8E" w:rsidP="00B25C8E">
      <w:pPr>
        <w:spacing w:line="480" w:lineRule="auto"/>
        <w:rPr>
          <w:rFonts w:ascii="Times New Roman" w:hAnsi="Times New Roman" w:cs="Times New Roman"/>
          <w:sz w:val="24"/>
          <w:szCs w:val="24"/>
        </w:rPr>
      </w:pPr>
      <w:r>
        <w:rPr>
          <w:rFonts w:ascii="Times New Roman" w:hAnsi="Times New Roman" w:cs="Times New Roman"/>
          <w:b/>
          <w:sz w:val="24"/>
          <w:szCs w:val="24"/>
        </w:rPr>
        <w:t xml:space="preserve">Table S1. </w:t>
      </w:r>
      <w:r>
        <w:rPr>
          <w:rFonts w:ascii="Times New Roman" w:hAnsi="Times New Roman" w:cs="Times New Roman"/>
          <w:sz w:val="24"/>
          <w:szCs w:val="24"/>
        </w:rPr>
        <w:t xml:space="preserve">Strategic </w:t>
      </w:r>
      <w:r w:rsidR="00576C58">
        <w:rPr>
          <w:rFonts w:ascii="Times New Roman" w:hAnsi="Times New Roman" w:cs="Times New Roman"/>
          <w:sz w:val="24"/>
          <w:szCs w:val="24"/>
        </w:rPr>
        <w:t>International Union for Conservation of Nature</w:t>
      </w:r>
      <w:r w:rsidRPr="00643B14">
        <w:rPr>
          <w:rFonts w:ascii="Times New Roman" w:hAnsi="Times New Roman" w:cs="Times New Roman"/>
          <w:sz w:val="24"/>
          <w:szCs w:val="24"/>
        </w:rPr>
        <w:t xml:space="preserve"> Red List of Ecosystems</w:t>
      </w:r>
      <w:r w:rsidR="00576C58">
        <w:rPr>
          <w:rFonts w:ascii="Times New Roman" w:hAnsi="Times New Roman" w:cs="Times New Roman"/>
          <w:sz w:val="24"/>
          <w:szCs w:val="24"/>
        </w:rPr>
        <w:t xml:space="preserve"> (IUCN RLE)</w:t>
      </w:r>
      <w:r w:rsidRPr="00643B14">
        <w:rPr>
          <w:rFonts w:ascii="Times New Roman" w:hAnsi="Times New Roman" w:cs="Times New Roman"/>
          <w:sz w:val="24"/>
          <w:szCs w:val="24"/>
        </w:rPr>
        <w:t xml:space="preserve"> </w:t>
      </w:r>
      <w:r>
        <w:rPr>
          <w:rFonts w:ascii="Times New Roman" w:hAnsi="Times New Roman" w:cs="Times New Roman"/>
          <w:sz w:val="24"/>
          <w:szCs w:val="24"/>
        </w:rPr>
        <w:t xml:space="preserve">assessments </w:t>
      </w:r>
      <w:r w:rsidRPr="00643B14">
        <w:rPr>
          <w:rFonts w:ascii="Times New Roman" w:hAnsi="Times New Roman" w:cs="Times New Roman"/>
          <w:sz w:val="24"/>
          <w:szCs w:val="24"/>
        </w:rPr>
        <w:t>(</w:t>
      </w:r>
      <w:r>
        <w:rPr>
          <w:rFonts w:ascii="Times New Roman" w:hAnsi="Times New Roman" w:cs="Times New Roman"/>
          <w:sz w:val="24"/>
          <w:szCs w:val="24"/>
        </w:rPr>
        <w:t xml:space="preserve">IUCN </w:t>
      </w:r>
      <w:r w:rsidR="00576C58">
        <w:rPr>
          <w:rFonts w:ascii="Times New Roman" w:hAnsi="Times New Roman" w:cs="Times New Roman"/>
          <w:sz w:val="24"/>
          <w:szCs w:val="24"/>
        </w:rPr>
        <w:t>RLE</w:t>
      </w:r>
      <w:r w:rsidRPr="00643B14">
        <w:rPr>
          <w:rFonts w:ascii="Times New Roman" w:hAnsi="Times New Roman" w:cs="Times New Roman"/>
          <w:sz w:val="24"/>
          <w:szCs w:val="24"/>
        </w:rPr>
        <w:t xml:space="preserve"> criteria v</w:t>
      </w:r>
      <w:r w:rsidR="009E0C04">
        <w:rPr>
          <w:rFonts w:ascii="Times New Roman" w:hAnsi="Times New Roman" w:cs="Times New Roman"/>
          <w:sz w:val="24"/>
          <w:szCs w:val="24"/>
        </w:rPr>
        <w:t xml:space="preserve">ersion </w:t>
      </w:r>
      <w:r w:rsidRPr="00643B14">
        <w:rPr>
          <w:rFonts w:ascii="Times New Roman" w:hAnsi="Times New Roman" w:cs="Times New Roman"/>
          <w:sz w:val="24"/>
          <w:szCs w:val="24"/>
        </w:rPr>
        <w:t>2). T: terrestrial, M: marine, F:</w:t>
      </w:r>
      <w:r>
        <w:rPr>
          <w:rFonts w:ascii="Times New Roman" w:hAnsi="Times New Roman" w:cs="Times New Roman"/>
          <w:sz w:val="24"/>
          <w:szCs w:val="24"/>
        </w:rPr>
        <w:t xml:space="preserve"> freshwater. NA: Not Available.</w:t>
      </w:r>
    </w:p>
    <w:tbl>
      <w:tblPr>
        <w:tblW w:w="9659" w:type="dxa"/>
        <w:tblCellMar>
          <w:left w:w="0" w:type="dxa"/>
          <w:right w:w="0" w:type="dxa"/>
        </w:tblCellMar>
        <w:tblLook w:val="04A0" w:firstRow="1" w:lastRow="0" w:firstColumn="1" w:lastColumn="0" w:noHBand="0" w:noVBand="1"/>
      </w:tblPr>
      <w:tblGrid>
        <w:gridCol w:w="4962"/>
        <w:gridCol w:w="2693"/>
        <w:gridCol w:w="20"/>
        <w:gridCol w:w="1964"/>
        <w:gridCol w:w="20"/>
      </w:tblGrid>
      <w:tr w:rsidR="00B25C8E" w:rsidRPr="008A1856" w14:paraId="39273514" w14:textId="77777777" w:rsidTr="00B25C8E">
        <w:trPr>
          <w:gridAfter w:val="1"/>
          <w:wAfter w:w="20" w:type="dxa"/>
          <w:trHeight w:val="330"/>
        </w:trPr>
        <w:tc>
          <w:tcPr>
            <w:tcW w:w="4962" w:type="dxa"/>
            <w:tcBorders>
              <w:top w:val="single" w:sz="4" w:space="0" w:color="auto"/>
              <w:bottom w:val="single" w:sz="4" w:space="0" w:color="auto"/>
            </w:tcBorders>
            <w:shd w:val="clear" w:color="auto" w:fill="auto"/>
            <w:tcMar>
              <w:top w:w="0" w:type="dxa"/>
              <w:left w:w="45" w:type="dxa"/>
              <w:bottom w:w="0" w:type="dxa"/>
              <w:right w:w="45" w:type="dxa"/>
            </w:tcMar>
            <w:hideMark/>
          </w:tcPr>
          <w:p w14:paraId="63F951AC" w14:textId="77777777" w:rsidR="00B25C8E" w:rsidRPr="00D31378" w:rsidRDefault="00B25C8E" w:rsidP="005E5C8A">
            <w:pPr>
              <w:spacing w:after="0" w:line="240" w:lineRule="auto"/>
              <w:rPr>
                <w:rFonts w:ascii="Times New Roman" w:eastAsia="Times New Roman" w:hAnsi="Times New Roman" w:cs="Times New Roman"/>
                <w:b/>
                <w:bCs/>
                <w:color w:val="000000"/>
              </w:rPr>
            </w:pPr>
            <w:r w:rsidRPr="00D31378">
              <w:rPr>
                <w:rFonts w:ascii="Times New Roman" w:eastAsia="Times New Roman" w:hAnsi="Times New Roman" w:cs="Times New Roman"/>
                <w:b/>
                <w:bCs/>
                <w:color w:val="000000"/>
              </w:rPr>
              <w:t>Ecosystem</w:t>
            </w:r>
          </w:p>
        </w:tc>
        <w:tc>
          <w:tcPr>
            <w:tcW w:w="2693" w:type="dxa"/>
            <w:tcBorders>
              <w:top w:val="single" w:sz="4" w:space="0" w:color="auto"/>
              <w:bottom w:val="single" w:sz="4" w:space="0" w:color="auto"/>
            </w:tcBorders>
            <w:shd w:val="clear" w:color="auto" w:fill="auto"/>
            <w:tcMar>
              <w:top w:w="0" w:type="dxa"/>
              <w:left w:w="45" w:type="dxa"/>
              <w:bottom w:w="0" w:type="dxa"/>
              <w:right w:w="45" w:type="dxa"/>
            </w:tcMar>
            <w:hideMark/>
          </w:tcPr>
          <w:p w14:paraId="6EBF1377" w14:textId="77777777" w:rsidR="00B25C8E" w:rsidRPr="00D31378" w:rsidRDefault="00B25C8E" w:rsidP="005E5C8A">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Countr</w:t>
            </w:r>
            <w:r w:rsidRPr="008A1856">
              <w:rPr>
                <w:rFonts w:ascii="Times New Roman" w:eastAsia="Times New Roman" w:hAnsi="Times New Roman" w:cs="Times New Roman"/>
                <w:b/>
                <w:bCs/>
                <w:color w:val="000000"/>
              </w:rPr>
              <w:t>ies</w:t>
            </w:r>
          </w:p>
        </w:tc>
        <w:tc>
          <w:tcPr>
            <w:tcW w:w="1984" w:type="dxa"/>
            <w:gridSpan w:val="2"/>
            <w:tcBorders>
              <w:top w:val="single" w:sz="4" w:space="0" w:color="auto"/>
              <w:bottom w:val="single" w:sz="4" w:space="0" w:color="auto"/>
            </w:tcBorders>
            <w:shd w:val="clear" w:color="auto" w:fill="auto"/>
          </w:tcPr>
          <w:p w14:paraId="335AB038" w14:textId="77777777" w:rsidR="00B25C8E" w:rsidRPr="008A1856" w:rsidRDefault="00B25C8E" w:rsidP="005E5C8A">
            <w:pPr>
              <w:spacing w:after="0" w:line="240" w:lineRule="auto"/>
              <w:rPr>
                <w:rFonts w:ascii="Times New Roman" w:eastAsia="Times New Roman" w:hAnsi="Times New Roman" w:cs="Times New Roman"/>
                <w:b/>
                <w:bCs/>
                <w:color w:val="000000"/>
              </w:rPr>
            </w:pPr>
            <w:r w:rsidRPr="008A1856">
              <w:rPr>
                <w:rFonts w:ascii="Times New Roman" w:hAnsi="Times New Roman" w:cs="Times New Roman"/>
                <w:b/>
                <w:bCs/>
                <w:color w:val="000000"/>
              </w:rPr>
              <w:t>Reference</w:t>
            </w:r>
          </w:p>
        </w:tc>
      </w:tr>
      <w:tr w:rsidR="00B25C8E" w:rsidRPr="008A1856" w14:paraId="34135204" w14:textId="77777777" w:rsidTr="00B25C8E">
        <w:trPr>
          <w:gridAfter w:val="1"/>
          <w:wAfter w:w="20" w:type="dxa"/>
          <w:trHeight w:val="363"/>
        </w:trPr>
        <w:tc>
          <w:tcPr>
            <w:tcW w:w="4962" w:type="dxa"/>
            <w:tcBorders>
              <w:top w:val="single" w:sz="4" w:space="0" w:color="auto"/>
              <w:bottom w:val="single" w:sz="4" w:space="0" w:color="auto"/>
            </w:tcBorders>
            <w:shd w:val="clear" w:color="auto" w:fill="auto"/>
            <w:tcMar>
              <w:top w:w="0" w:type="dxa"/>
              <w:left w:w="45" w:type="dxa"/>
              <w:bottom w:w="0" w:type="dxa"/>
              <w:right w:w="45" w:type="dxa"/>
            </w:tcMar>
          </w:tcPr>
          <w:p w14:paraId="302C06D9" w14:textId="77777777" w:rsidR="00B25C8E" w:rsidRPr="009A7ADC" w:rsidRDefault="00B25C8E" w:rsidP="005E5C8A">
            <w:pPr>
              <w:spacing w:after="0" w:line="240" w:lineRule="auto"/>
              <w:rPr>
                <w:rFonts w:ascii="Times New Roman" w:eastAsia="Times New Roman" w:hAnsi="Times New Roman" w:cs="Times New Roman"/>
                <w:i/>
                <w:color w:val="000000"/>
              </w:rPr>
            </w:pPr>
            <w:r w:rsidRPr="009A7ADC">
              <w:rPr>
                <w:rFonts w:ascii="Times New Roman" w:eastAsia="Times New Roman" w:hAnsi="Times New Roman" w:cs="Times New Roman"/>
                <w:i/>
                <w:color w:val="000000"/>
              </w:rPr>
              <w:t>Freshwater ecosystems</w:t>
            </w:r>
          </w:p>
        </w:tc>
        <w:tc>
          <w:tcPr>
            <w:tcW w:w="2693" w:type="dxa"/>
            <w:tcBorders>
              <w:top w:val="single" w:sz="4" w:space="0" w:color="auto"/>
              <w:bottom w:val="single" w:sz="4" w:space="0" w:color="auto"/>
            </w:tcBorders>
            <w:shd w:val="clear" w:color="auto" w:fill="auto"/>
            <w:tcMar>
              <w:top w:w="0" w:type="dxa"/>
              <w:left w:w="45" w:type="dxa"/>
              <w:bottom w:w="0" w:type="dxa"/>
              <w:right w:w="45" w:type="dxa"/>
            </w:tcMar>
          </w:tcPr>
          <w:p w14:paraId="240F90B8" w14:textId="77777777" w:rsidR="00B25C8E" w:rsidRPr="00D31378" w:rsidRDefault="00B25C8E" w:rsidP="005E5C8A">
            <w:pPr>
              <w:spacing w:after="0" w:line="240" w:lineRule="auto"/>
              <w:rPr>
                <w:rFonts w:ascii="Times New Roman" w:eastAsia="Times New Roman" w:hAnsi="Times New Roman" w:cs="Times New Roman"/>
                <w:color w:val="000000"/>
              </w:rPr>
            </w:pPr>
          </w:p>
        </w:tc>
        <w:tc>
          <w:tcPr>
            <w:tcW w:w="1984" w:type="dxa"/>
            <w:gridSpan w:val="2"/>
            <w:tcBorders>
              <w:top w:val="single" w:sz="4" w:space="0" w:color="auto"/>
              <w:bottom w:val="single" w:sz="4" w:space="0" w:color="auto"/>
            </w:tcBorders>
            <w:shd w:val="clear" w:color="auto" w:fill="auto"/>
          </w:tcPr>
          <w:p w14:paraId="042FAD2D" w14:textId="77777777" w:rsidR="00B25C8E" w:rsidRPr="008A1856" w:rsidRDefault="00B25C8E" w:rsidP="005E5C8A">
            <w:pPr>
              <w:spacing w:after="0" w:line="240" w:lineRule="auto"/>
              <w:rPr>
                <w:rFonts w:ascii="Times New Roman" w:eastAsia="Times New Roman" w:hAnsi="Times New Roman" w:cs="Times New Roman"/>
                <w:color w:val="000000"/>
              </w:rPr>
            </w:pPr>
          </w:p>
        </w:tc>
      </w:tr>
      <w:tr w:rsidR="00B25C8E" w:rsidRPr="008A1856" w14:paraId="6F600D61" w14:textId="77777777" w:rsidTr="00B25C8E">
        <w:trPr>
          <w:gridAfter w:val="1"/>
          <w:wAfter w:w="20" w:type="dxa"/>
          <w:trHeight w:val="425"/>
        </w:trPr>
        <w:tc>
          <w:tcPr>
            <w:tcW w:w="4962" w:type="dxa"/>
            <w:tcBorders>
              <w:top w:val="single" w:sz="4" w:space="0" w:color="auto"/>
            </w:tcBorders>
            <w:shd w:val="clear" w:color="auto" w:fill="auto"/>
            <w:tcMar>
              <w:top w:w="0" w:type="dxa"/>
              <w:left w:w="45" w:type="dxa"/>
              <w:bottom w:w="0" w:type="dxa"/>
              <w:right w:w="45" w:type="dxa"/>
            </w:tcMar>
            <w:hideMark/>
          </w:tcPr>
          <w:p w14:paraId="643E45E8"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Aral Sea</w:t>
            </w:r>
          </w:p>
        </w:tc>
        <w:tc>
          <w:tcPr>
            <w:tcW w:w="2693" w:type="dxa"/>
            <w:tcBorders>
              <w:top w:val="single" w:sz="4" w:space="0" w:color="auto"/>
            </w:tcBorders>
            <w:shd w:val="clear" w:color="auto" w:fill="auto"/>
            <w:tcMar>
              <w:top w:w="0" w:type="dxa"/>
              <w:left w:w="45" w:type="dxa"/>
              <w:bottom w:w="0" w:type="dxa"/>
              <w:right w:w="45" w:type="dxa"/>
            </w:tcMar>
            <w:hideMark/>
          </w:tcPr>
          <w:p w14:paraId="440CC90C"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Uzbekistan and Kazakhstan</w:t>
            </w:r>
          </w:p>
        </w:tc>
        <w:tc>
          <w:tcPr>
            <w:tcW w:w="1984" w:type="dxa"/>
            <w:gridSpan w:val="2"/>
            <w:tcBorders>
              <w:top w:val="single" w:sz="4" w:space="0" w:color="auto"/>
            </w:tcBorders>
            <w:shd w:val="clear" w:color="auto" w:fill="auto"/>
          </w:tcPr>
          <w:p w14:paraId="39899D30"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{"citationItems":[{"id":"ITEM-1","itemData":{"DOI":"10.1371/journal.pone.0062111","ISSN":"1932-6203","abstract":"An understanding of risks to biodiversity is needed for planning action to slow current rates of decline and secure ecosystem services for future human use. Although the IUCN Red List criteria provide an effective assessment protocol for species, a standard global assessment of risks to higher levels of biodiversity is currently limited. In 2008, IUCN initiated development of risk assessment criteria to support a global Red List of ecosystems. We present a new conceptual model for ecosystem risk assessment founded on a synthesis of relevant ecological theories. To support the model, we review key elements of ecosystem definition and introduce the concept of ecosystem collapse, an analogue of species extinction. The model identifies four distributional and functional symptoms of ecosystem risk as a basis for assessment criteria: A) rates of decline in ecosystem distribution; B) restricted distributions with continuing declines or threats; C) rates of environmental (abiotic) degradation; and D) rates of disruption to biotic processes. A fifth criterion, E) quantitative estimates of the risk of ecosystem collapse, enables integrated assessment of multiple processes and provides a conceptual anchor for the other criteria. We present the theoretical rationale for the construction and interpretation of each criterion. The assessment protocol and threat categories mirror those of the IUCN Red List of species. A trial of the protocol on terrestrial, subterranean, freshwater and marine ecosystems from around the world shows that its concepts are workable and its outcomes are robust, that required data are available, and that results are consistent with assessments carried out by local experts and authorities. The new protocol provides a consistent, practical and theoretically grounded framework for establishing a systematic Red List of the world’s ecosystems. This will complement the Red List of species and strengthen global capacity to report on and monitor the status of biodiversity","author":[{"dropping-particle":"","family":"Keith","given":"David A.","non-dropping-particle":"","parse-names":false,"suffix":""},{"dropping-particle":"","family":"Rodríguez","given":"Jon Paul","non-dropping-particle":"","parse-names":false,"suffix":""},{"dropping-particle":"","family":"Rodríguez-Clark","given":"Kathryn M.","non-dropping-particle":"","parse-names":false,"suffix":""},{"dropping-particle":"","family":"Nicholson","given":"Emily","non-dropping-particle":"","parse-names":false,"suffix":""},{"dropping-particle":"","family":"Aapala","given":"Kaisu","non-dropping-particle":"","parse-names":false,"suffix":""},{"dropping-particle":"","family":"Alonso","given":"Alfonso","non-dropping-particle":"","parse-names":false,"suffix":""},{"dropping-particle":"","family":"Asmussen","given":"Marianne","non-dropping-particle":"","parse-names":false,"suffix":""},{"dropping-particle":"","family":"Bachman","given":"Steven","non-dropping-particle":"","parse-names":false,"suffix":""},{"dropping-particle":"","family":"Basset","given":"Alberto","non-dropping-particle":"","parse-names":false,"suffix":""},{"dropping-particle":"","family":"Barrow","given":"Edmund G.","non-dropping-particle":"","parse-names":false,"suffix":""},{"dropping-particle":"","family":"Benson","given":"John S.","non-dropping-particle":"","parse-names":false,"suffix":""},{"dropping-particle":"","family":"Bishop","given":"Melanie J.","non-dropping-particle":"","parse-names":false,"suffix":""},{"dropping-particle":"","family":"Bonifacio","given":"Ronald","non-dropping-particle":"","parse-names":false,"suffix":""},{"dropping-particle":"","family":"Brooks","given":"Thomas M.","non-dropping-particle":"","parse-names":false,"suffix":""},{"dropping-particle":"","family":"Burgman","given":"Mark A.","non-dropping-particle":"","parse-names":false,"suffix":""},{"dropping-particle":"","family":"Comer","given":"Patrick","non-dropping-particle":"","parse-names":false,"suffix":""},{"dropping-particle":"","family":"Comín","given":"Francisco A.","non-dropping-particle":"","parse-names":false,"suffix":""},{"dropping-particle":"","family":"Essl","given":"Franz","non-dropping-particle":"","parse-names":false,"suffix":""},{"dropping-particle":"","family":"Faber-Langendoen","given":"Don","non-dropping-particle":"","parse-names":false,"suffix":""},{"dropping-particle":"","family":"Fairweather","given":"Peter G.","non-dropping-particle":"","parse-names":false,"suffix":""},{"dropping-particle":"","family":"Holdaway","given":"Robert J.","non-dropping-particle":"","parse-names":false,"suffix":""},{"dropping-particle":"","family":"Jennings","given":"Michael","non-dropping-particle":"","parse-names":false,"suffix":""},{"dropping-particle":"","family":"Kingsford","given":"Richard T.","non-dropping-particle":"","parse-names":false,"suffix":""},{"dropping-particle":"","family":"Lester","given":"Rebecca E.","non-dropping-particle":"","parse-names":false,"suffix":""},{"dropping-particle":"Mac","family":"Nally","given":"Ralph","non-dropping-particle":"","parse-names":false,"suffix":""},{"dropping-particle":"","family":"McCarthy","given":"Michael A.","non-dropping-particle":"","parse-names":false,"suffix":""},{"dropping-particle":"","family":"Moat","given":"Justin","non-dropping-particle":"","parse-names":false,"suffix":""},{"dropping-particle":"","family":"Oliveira-Miranda","given":"María A.","non-dropping-particle":"","parse-names":false,"suffix":""},{"dropping-particle":"","family":"Pisanu","given":"Phil","non-dropping-particle":"","parse-names":false,"suffix":""},{"dropping-particle":"","family":"Poulin","given":"Brigitte","non-dropping-particle":"","parse-names":false,"suffix":""},{"dropping-particle":"","family":"Regan","given":"Tracey J.","non-dropping-particle":"","parse-names":false,"suffix":""},{"dropping-particle":"","family":"Riecken","given":"Uwe","non-dropping-particle":"","parse-names":false,"suffix":""},{"dropping-particle":"","family":"Spalding","given":"Mark D.","non-dropping-particle":"","parse-names":false,"suffix":""},{"dropping-particle":"","family":"Zambrano-Martínez","given":"Sergio","non-dropping-particle":"","parse-names":false,"suffix":""}],"container-title":"PLoS ONE","editor":[{"dropping-particle":"","family":"Convertino","given":"Matteo","non-dropping-particle":"","parse-names":false,"suffix":""}],"id":"ITEM-1","issue":"5","issued":{"date-parts":[["2013","5","8"]]},"page":"e62111","publisher":"Public Library of Science","title":"Scientific Foundations for an IUCN Red List of Ecosystems","type":"article-journal","volume":"8"},"uris":["http://www.mendeley.com/documents/?uuid=147694ed-97cb-3c90-b1cd-18cf607ba15f"]}],"mendeley":{"formattedCitation":"(Keith et al. 2013)","manualFormatting":"Keith et al. 2013","plainTextFormattedCitation":"(Keith et al. 2013)","previouslyFormattedCitation":"(Keith et al. 2013)"},"properties":{"noteIndex":0},"schema":"https://github.com/citation-style-language/schema/raw/master/csl-citation.json"}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Keith et al. 2013</w:t>
            </w:r>
            <w:r w:rsidRPr="008A1856">
              <w:rPr>
                <w:rFonts w:ascii="Times New Roman" w:eastAsia="Times New Roman" w:hAnsi="Times New Roman" w:cs="Times New Roman"/>
                <w:color w:val="000000"/>
              </w:rPr>
              <w:fldChar w:fldCharType="end"/>
            </w:r>
          </w:p>
        </w:tc>
      </w:tr>
      <w:tr w:rsidR="00B25C8E" w:rsidRPr="008A1856" w14:paraId="050CDB80" w14:textId="77777777" w:rsidTr="00B25C8E">
        <w:trPr>
          <w:gridAfter w:val="1"/>
          <w:wAfter w:w="20" w:type="dxa"/>
          <w:trHeight w:val="425"/>
        </w:trPr>
        <w:tc>
          <w:tcPr>
            <w:tcW w:w="4962" w:type="dxa"/>
            <w:shd w:val="clear" w:color="auto" w:fill="auto"/>
            <w:tcMar>
              <w:top w:w="0" w:type="dxa"/>
              <w:left w:w="45" w:type="dxa"/>
              <w:bottom w:w="0" w:type="dxa"/>
              <w:right w:w="45" w:type="dxa"/>
            </w:tcMar>
            <w:hideMark/>
          </w:tcPr>
          <w:p w14:paraId="52EE455D"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German tamarisk-pioneer vegetation</w:t>
            </w:r>
          </w:p>
        </w:tc>
        <w:tc>
          <w:tcPr>
            <w:tcW w:w="2693" w:type="dxa"/>
            <w:shd w:val="clear" w:color="auto" w:fill="auto"/>
            <w:tcMar>
              <w:top w:w="0" w:type="dxa"/>
              <w:left w:w="45" w:type="dxa"/>
              <w:bottom w:w="0" w:type="dxa"/>
              <w:right w:w="45" w:type="dxa"/>
            </w:tcMar>
            <w:hideMark/>
          </w:tcPr>
          <w:p w14:paraId="19E7D5D5" w14:textId="77777777" w:rsidR="00B25C8E" w:rsidRPr="00D31378" w:rsidRDefault="00B25C8E" w:rsidP="005E5C8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Regional (Europe)</w:t>
            </w:r>
          </w:p>
        </w:tc>
        <w:tc>
          <w:tcPr>
            <w:tcW w:w="1984" w:type="dxa"/>
            <w:gridSpan w:val="2"/>
            <w:shd w:val="clear" w:color="auto" w:fill="auto"/>
          </w:tcPr>
          <w:p w14:paraId="6E030612"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{"citationItems":[{"id":"ITEM-1","itemData":{"DOI":"10.1371/journal.pone.0062111","ISSN":"1932-6203","abstract":"An understanding of risks to biodiversity is needed for planning action to slow current rates of decline and secure ecosystem services for future human use. Although the IUCN Red List criteria provide an effective assessment protocol for species, a standard global assessment of risks to higher levels of biodiversity is currently limited. In 2008, IUCN initiated development of risk assessment criteria to support a global Red List of ecosystems. We present a new conceptual model for ecosystem risk assessment founded on a synthesis of relevant ecological theories. To support the model, we review key elements of ecosystem definition and introduce the concept of ecosystem collapse, an analogue of species extinction. The model identifies four distributional and functional symptoms of ecosystem risk as a basis for assessment criteria: A) rates of decline in ecosystem distribution; B) restricted distributions with continuing declines or threats; C) rates of environmental (abiotic) degradation; and D) rates of disruption to biotic processes. A fifth criterion, E) quantitative estimates of the risk of ecosystem collapse, enables integrated assessment of multiple processes and provides a conceptual anchor for the other criteria. We present the theoretical rationale for the construction and interpretation of each criterion. The assessment protocol and threat categories mirror those of the IUCN Red List of species. A trial of the protocol on terrestrial, subterranean, freshwater and marine ecosystems from around the world shows that its concepts are workable and its outcomes are robust, that required data are available, and that results are consistent with assessments carried out by local experts and authorities. The new protocol provides a consistent, practical and theoretically grounded framework for establishing a systematic Red List of the world’s ecosystems. This will complement the Red List of species and strengthen global capacity to report on and monitor the status of biodiversity","author":[{"dropping-particle":"","family":"Keith","given":"David A.","non-dropping-particle":"","parse-names":false,"suffix":""},{"dropping-particle":"","family":"Rodríguez","given":"Jon Paul","non-dropping-particle":"","parse-names":false,"suffix":""},{"dropping-particle":"","family":"Rodríguez-Clark","given":"Kathryn M.","non-dropping-particle":"","parse-names":false,"suffix":""},{"dropping-particle":"","family":"Nicholson","given":"Emily","non-dropping-particle":"","parse-names":false,"suffix":""},{"dropping-particle":"","family":"Aapala","given":"Kaisu","non-dropping-particle":"","parse-names":false,"suffix":""},{"dropping-particle":"","family":"Alonso","given":"Alfonso","non-dropping-particle":"","parse-names":false,"suffix":""},{"dropping-particle":"","family":"Asmussen","given":"Marianne","non-dropping-particle":"","parse-names":false,"suffix":""},{"dropping-particle":"","family":"Bachman","given":"Steven","non-dropping-particle":"","parse-names":false,"suffix":""},{"dropping-particle":"","family":"Basset","given":"Alberto","non-dropping-particle":"","parse-names":false,"suffix":""},{"dropping-particle":"","family":"Barrow","given":"Edmund G.","non-dropping-particle":"","parse-names":false,"suffix":""},{"dropping-particle":"","family":"Benson","given":"John S.","non-dropping-particle":"","parse-names":false,"suffix":""},{"dropping-particle":"","family":"Bishop","given":"Melanie J.","non-dropping-particle":"","parse-names":false,"suffix":""},{"dropping-particle":"","family":"Bonifacio","given":"Ronald","non-dropping-particle":"","parse-names":false,"suffix":""},{"dropping-particle":"","family":"Brooks","given":"Thomas M.","non-dropping-particle":"","parse-names":false,"suffix":""},{"dropping-particle":"","family":"Burgman","given":"Mark A.","non-dropping-particle":"","parse-names":false,"suffix":""},{"dropping-particle":"","family":"Comer","given":"Patrick","non-dropping-particle":"","parse-names":false,"suffix":""},{"dropping-particle":"","family":"Comín","given":"Francisco A.","non-dropping-particle":"","parse-names":false,"suffix":""},{"dropping-particle":"","family":"Essl","given":"Franz","non-dropping-particle":"","parse-names":false,"suffix":""},{"dropping-particle":"","family":"Faber-Langendoen","given":"Don","non-dropping-particle":"","parse-names":false,"suffix":""},{"dropping-particle":"","family":"Fairweather","given":"Peter G.","non-dropping-particle":"","parse-names":false,"suffix":""},{"dropping-particle":"","family":"Holdaway","given":"Robert J.","non-dropping-particle":"","parse-names":false,"suffix":""},{"dropping-particle":"","family":"Jennings","given":"Michael","non-dropping-particle":"","parse-names":false,"suffix":""},{"dropping-particle":"","family":"Kingsford","given":"Richard T.","non-dropping-particle":"","parse-names":false,"suffix":""},{"dropping-particle":"","family":"Lester","given":"Rebecca E.","non-dropping-particle":"","parse-names":false,"suffix":""},{"dropping-particle":"Mac","family":"Nally","given":"Ralph","non-dropping-particle":"","parse-names":false,"suffix":""},{"dropping-particle":"","family":"McCarthy","given":"Michael A.","non-dropping-particle":"","parse-names":false,"suffix":""},{"dropping-particle":"","family":"Moat","given":"Justin","non-dropping-particle":"","parse-names":false,"suffix":""},{"dropping-particle":"","family":"Oliveira-Miranda","given":"María A.","non-dropping-particle":"","parse-names":false,"suffix":""},{"dropping-particle":"","family":"Pisanu","given":"Phil","non-dropping-particle":"","parse-names":false,"suffix":""},{"dropping-particle":"","family":"Poulin","given":"Brigitte","non-dropping-particle":"","parse-names":false,"suffix":""},{"dropping-particle":"","family":"Regan","given":"Tracey J.","non-dropping-particle":"","parse-names":false,"suffix":""},{"dropping-particle":"","family":"Riecken","given":"Uwe","non-dropping-particle":"","parse-names":false,"suffix":""},{"dropping-particle":"","family":"Spalding","given":"Mark D.","non-dropping-particle":"","parse-names":false,"suffix":""},{"dropping-particle":"","family":"Zambrano-Martínez","given":"Sergio","non-dropping-particle":"","parse-names":false,"suffix":""}],"container-title":"PLoS ONE","editor":[{"dropping-particle":"","family":"Convertino","given":"Matteo","non-dropping-particle":"","parse-names":false,"suffix":""}],"id":"ITEM-1","issue":"5","issued":{"date-parts":[["2013","5","8"]]},"page":"e62111","publisher":"Public Library of Science","title":"Scientific Foundations for an IUCN Red List of Ecosystems","type":"article-journal","volume":"8"},"uris":["http://www.mendeley.com/documents/?uuid=147694ed-97cb-3c90-b1cd-18cf607ba15f"]}],"mendeley":{"formattedCitation":"(Keith et al. 2013)","manualFormatting":"Keith et al. 2013","plainTextFormattedCitation":"(Keith et al. 2013)","previouslyFormattedCitation":"(Keith et al. 2013)"},"properties":{"noteIndex":0},"schema":"https://github.com/citation-style-language/schema/raw/master/csl-citation.json"}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Keith et al. 2013</w:t>
            </w:r>
            <w:r w:rsidRPr="008A1856">
              <w:rPr>
                <w:rFonts w:ascii="Times New Roman" w:eastAsia="Times New Roman" w:hAnsi="Times New Roman" w:cs="Times New Roman"/>
                <w:color w:val="000000"/>
              </w:rPr>
              <w:fldChar w:fldCharType="end"/>
            </w:r>
          </w:p>
        </w:tc>
        <w:bookmarkStart w:id="0" w:name="_GoBack"/>
        <w:bookmarkEnd w:id="0"/>
      </w:tr>
      <w:tr w:rsidR="00B25C8E" w:rsidRPr="008A1856" w14:paraId="6855A830" w14:textId="77777777" w:rsidTr="00B25C8E">
        <w:trPr>
          <w:gridAfter w:val="1"/>
          <w:wAfter w:w="20" w:type="dxa"/>
          <w:trHeight w:val="431"/>
        </w:trPr>
        <w:tc>
          <w:tcPr>
            <w:tcW w:w="4962" w:type="dxa"/>
            <w:shd w:val="clear" w:color="auto" w:fill="auto"/>
            <w:tcMar>
              <w:top w:w="0" w:type="dxa"/>
              <w:left w:w="45" w:type="dxa"/>
              <w:bottom w:w="0" w:type="dxa"/>
              <w:right w:w="45" w:type="dxa"/>
            </w:tcMar>
            <w:hideMark/>
          </w:tcPr>
          <w:p w14:paraId="594D73D2"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Raised bogs of Germany</w:t>
            </w:r>
          </w:p>
        </w:tc>
        <w:tc>
          <w:tcPr>
            <w:tcW w:w="2693" w:type="dxa"/>
            <w:shd w:val="clear" w:color="auto" w:fill="auto"/>
            <w:tcMar>
              <w:top w:w="0" w:type="dxa"/>
              <w:left w:w="45" w:type="dxa"/>
              <w:bottom w:w="0" w:type="dxa"/>
              <w:right w:w="45" w:type="dxa"/>
            </w:tcMar>
            <w:hideMark/>
          </w:tcPr>
          <w:p w14:paraId="0B613395"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Germany</w:t>
            </w:r>
          </w:p>
        </w:tc>
        <w:tc>
          <w:tcPr>
            <w:tcW w:w="1984" w:type="dxa"/>
            <w:gridSpan w:val="2"/>
            <w:shd w:val="clear" w:color="auto" w:fill="auto"/>
          </w:tcPr>
          <w:p w14:paraId="2B048B02"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{"citationItems":[{"id":"ITEM-1","itemData":{"DOI":"10.1371/journal.pone.0062111","ISSN":"1932-6203","abstract":"An understanding of risks to biodiversity is needed for planning action to slow current rates of decline and secure ecosystem services for future human use. Although the IUCN Red List criteria provide an effective assessment protocol for species, a standard global assessment of risks to higher levels of biodiversity is currently limited. In 2008, IUCN initiated development of risk assessment criteria to support a global Red List of ecosystems. We present a new conceptual model for ecosystem risk assessment founded on a synthesis of relevant ecological theories. To support the model, we review key elements of ecosystem definition and introduce the concept of ecosystem collapse, an analogue of species extinction. The model identifies four distributional and functional symptoms of ecosystem risk as a basis for assessment criteria: A) rates of decline in ecosystem distribution; B) restricted distributions with continuing declines or threats; C) rates of environmental (abiotic) degradation; and D) rates of disruption to biotic processes. A fifth criterion, E) quantitative estimates of the risk of ecosystem collapse, enables integrated assessment of multiple processes and provides a conceptual anchor for the other criteria. We present the theoretical rationale for the construction and interpretation of each criterion. The assessment protocol and threat categories mirror those of the IUCN Red List of species. A trial of the protocol on terrestrial, subterranean, freshwater and marine ecosystems from around the world shows that its concepts are workable and its outcomes are robust, that required data are available, and that results are consistent with assessments carried out by local experts and authorities. The new protocol provides a consistent, practical and theoretically grounded framework for establishing a systematic Red List of the world’s ecosystems. This will complement the Red List of species and strengthen global capacity to report on and monitor the status of biodiversity","author":[{"dropping-particle":"","family":"Keith","given":"David A.","non-dropping-particle":"","parse-names":false,"suffix":""},{"dropping-particle":"","family":"Rodríguez","given":"Jon Paul","non-dropping-particle":"","parse-names":false,"suffix":""},{"dropping-particle":"","family":"Rodríguez-Clark","given":"Kathryn M.","non-dropping-particle":"","parse-names":false,"suffix":""},{"dropping-particle":"","family":"Nicholson","given":"Emily","non-dropping-particle":"","parse-names":false,"suffix":""},{"dropping-particle":"","family":"Aapala","given":"Kaisu","non-dropping-particle":"","parse-names":false,"suffix":""},{"dropping-particle":"","family":"Alonso","given":"Alfonso","non-dropping-particle":"","parse-names":false,"suffix":""},{"dropping-particle":"","family":"Asmussen","given":"Marianne","non-dropping-particle":"","parse-names":false,"suffix":""},{"dropping-particle":"","family":"Bachman","given":"Steven","non-dropping-particle":"","parse-names":false,"suffix":""},{"dropping-particle":"","family":"Basset","given":"Alberto","non-dropping-particle":"","parse-names":false,"suffix":""},{"dropping-particle":"","family":"Barrow","given":"Edmund G.","non-dropping-particle":"","parse-names":false,"suffix":""},{"dropping-particle":"","family":"Benson","given":"John S.","non-dropping-particle":"","parse-names":false,"suffix":""},{"dropping-particle":"","family":"Bishop","given":"Melanie J.","non-dropping-particle":"","parse-names":false,"suffix":""},{"dropping-particle":"","family":"Bonifacio","given":"Ronald","non-dropping-particle":"","parse-names":false,"suffix":""},{"dropping-particle":"","family":"Brooks","given":"Thomas M.","non-dropping-particle":"","parse-names":false,"suffix":""},{"dropping-particle":"","family":"Burgman","given":"Mark A.","non-dropping-particle":"","parse-names":false,"suffix":""},{"dropping-particle":"","family":"Comer","given":"Patrick","non-dropping-particle":"","parse-names":false,"suffix":""},{"dropping-particle":"","family":"Comín","given":"Francisco A.","non-dropping-particle":"","parse-names":false,"suffix":""},{"dropping-particle":"","family":"Essl","given":"Franz","non-dropping-particle":"","parse-names":false,"suffix":""},{"dropping-particle":"","family":"Faber-Langendoen","given":"Don","non-dropping-particle":"","parse-names":false,"suffix":""},{"dropping-particle":"","family":"Fairweather","given":"Peter G.","non-dropping-particle":"","parse-names":false,"suffix":""},{"dropping-particle":"","family":"Holdaway","given":"Robert J.","non-dropping-particle":"","parse-names":false,"suffix":""},{"dropping-particle":"","family":"Jennings","given":"Michael","non-dropping-particle":"","parse-names":false,"suffix":""},{"dropping-particle":"","family":"Kingsford","given":"Richard T.","non-dropping-particle":"","parse-names":false,"suffix":""},{"dropping-particle":"","family":"Lester","given":"Rebecca E.","non-dropping-particle":"","parse-names":false,"suffix":""},{"dropping-particle":"Mac","family":"Nally","given":"Ralph","non-dropping-particle":"","parse-names":false,"suffix":""},{"dropping-particle":"","family":"McCarthy","given":"Michael A.","non-dropping-particle":"","parse-names":false,"suffix":""},{"dropping-particle":"","family":"Moat","given":"Justin","non-dropping-particle":"","parse-names":false,"suffix":""},{"dropping-particle":"","family":"Oliveira-Miranda","given":"María A.","non-dropping-particle":"","parse-names":false,"suffix":""},{"dropping-particle":"","family":"Pisanu","given":"Phil","non-dropping-particle":"","parse-names":false,"suffix":""},{"dropping-particle":"","family":"Poulin","given":"Brigitte","non-dropping-particle":"","parse-names":false,"suffix":""},{"dropping-particle":"","family":"Regan","given":"Tracey J.","non-dropping-particle":"","parse-names":false,"suffix":""},{"dropping-particle":"","family":"Riecken","given":"Uwe","non-dropping-particle":"","parse-names":false,"suffix":""},{"dropping-particle":"","family":"Spalding","given":"Mark D.","non-dropping-particle":"","parse-names":false,"suffix":""},{"dropping-particle":"","family":"Zambrano-Martínez","given":"Sergio","non-dropping-particle":"","parse-names":false,"suffix":""}],"container-title":"PLoS ONE","editor":[{"dropping-particle":"","family":"Convertino","given":"Matteo","non-dropping-particle":"","parse-names":false,"suffix":""}],"id":"ITEM-1","issue":"5","issued":{"date-parts":[["2013","5","8"]]},"page":"e62111","publisher":"Public Library of Science","title":"Scientific Foundations for an IUCN Red List of Ecosystems","type":"article-journal","volume":"8"},"uris":["http://www.mendeley.com/documents/?uuid=147694ed-97cb-3c90-b1cd-18cf607ba15f"]}],"mendeley":{"formattedCitation":"(Keith et al. 2013)","manualFormatting":"Keith et al. 2013","plainTextFormattedCitation":"(Keith et al. 2013)","previouslyFormattedCitation":"(Keith et al. 2013)"},"properties":{"noteIndex":0},"schema":"https://github.com/citation-style-language/schema/raw/master/csl-citation.json"}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Keith et al. 2013</w:t>
            </w:r>
            <w:r w:rsidRPr="008A1856">
              <w:rPr>
                <w:rFonts w:ascii="Times New Roman" w:eastAsia="Times New Roman" w:hAnsi="Times New Roman" w:cs="Times New Roman"/>
                <w:color w:val="000000"/>
              </w:rPr>
              <w:fldChar w:fldCharType="end"/>
            </w:r>
          </w:p>
        </w:tc>
      </w:tr>
      <w:tr w:rsidR="00B25C8E" w:rsidRPr="008A1856" w14:paraId="3E7B4311" w14:textId="77777777" w:rsidTr="00B25C8E">
        <w:trPr>
          <w:gridAfter w:val="1"/>
          <w:wAfter w:w="20" w:type="dxa"/>
          <w:trHeight w:val="423"/>
        </w:trPr>
        <w:tc>
          <w:tcPr>
            <w:tcW w:w="4962" w:type="dxa"/>
            <w:shd w:val="clear" w:color="auto" w:fill="auto"/>
            <w:tcMar>
              <w:top w:w="0" w:type="dxa"/>
              <w:left w:w="45" w:type="dxa"/>
              <w:bottom w:w="0" w:type="dxa"/>
              <w:right w:w="45" w:type="dxa"/>
            </w:tcMar>
            <w:hideMark/>
          </w:tcPr>
          <w:p w14:paraId="392218D2"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Coastal sandstone upland swamps</w:t>
            </w:r>
          </w:p>
        </w:tc>
        <w:tc>
          <w:tcPr>
            <w:tcW w:w="2693" w:type="dxa"/>
            <w:shd w:val="clear" w:color="auto" w:fill="auto"/>
            <w:tcMar>
              <w:top w:w="0" w:type="dxa"/>
              <w:left w:w="45" w:type="dxa"/>
              <w:bottom w:w="0" w:type="dxa"/>
              <w:right w:w="45" w:type="dxa"/>
            </w:tcMar>
            <w:hideMark/>
          </w:tcPr>
          <w:p w14:paraId="6C1F12E4"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Australia</w:t>
            </w:r>
          </w:p>
        </w:tc>
        <w:tc>
          <w:tcPr>
            <w:tcW w:w="1984" w:type="dxa"/>
            <w:gridSpan w:val="2"/>
            <w:shd w:val="clear" w:color="auto" w:fill="auto"/>
          </w:tcPr>
          <w:p w14:paraId="7F24B687"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{"citationItems":[{"id":"ITEM-1","itemData":{"DOI":"10.1371/journal.pone.0062111","ISSN":"1932-6203","abstract":"An understanding of risks to biodiversity is needed for planning action to slow current rates of decline and secure ecosystem services for future human use. Although the IUCN Red List criteria provide an effective assessment protocol for species, a standard global assessment of risks to higher levels of biodiversity is currently limited. In 2008, IUCN initiated development of risk assessment criteria to support a global Red List of ecosystems. We present a new conceptual model for ecosystem risk assessment founded on a synthesis of relevant ecological theories. To support the model, we review key elements of ecosystem definition and introduce the concept of ecosystem collapse, an analogue of species extinction. The model identifies four distributional and functional symptoms of ecosystem risk as a basis for assessment criteria: A) rates of decline in ecosystem distribution; B) restricted distributions with continuing declines or threats; C) rates of environmental (abiotic) degradation; and D) rates of disruption to biotic processes. A fifth criterion, E) quantitative estimates of the risk of ecosystem collapse, enables integrated assessment of multiple processes and provides a conceptual anchor for the other criteria. We present the theoretical rationale for the construction and interpretation of each criterion. The assessment protocol and threat categories mirror those of the IUCN Red List of species. A trial of the protocol on terrestrial, subterranean, freshwater and marine ecosystems from around the world shows that its concepts are workable and its outcomes are robust, that required data are available, and that results are consistent with assessments carried out by local experts and authorities. The new protocol provides a consistent, practical and theoretically grounded framework for establishing a systematic Red List of the world’s ecosystems. This will complement the Red List of species and strengthen global capacity to report on and monitor the status of biodiversity","author":[{"dropping-particle":"","family":"Keith","given":"David A.","non-dropping-particle":"","parse-names":false,"suffix":""},{"dropping-particle":"","family":"Rodríguez","given":"Jon Paul","non-dropping-particle":"","parse-names":false,"suffix":""},{"dropping-particle":"","family":"Rodríguez-Clark","given":"Kathryn M.","non-dropping-particle":"","parse-names":false,"suffix":""},{"dropping-particle":"","family":"Nicholson","given":"Emily","non-dropping-particle":"","parse-names":false,"suffix":""},{"dropping-particle":"","family":"Aapala","given":"Kaisu","non-dropping-particle":"","parse-names":false,"suffix":""},{"dropping-particle":"","family":"Alonso","given":"Alfonso","non-dropping-particle":"","parse-names":false,"suffix":""},{"dropping-particle":"","family":"Asmussen","given":"Marianne","non-dropping-particle":"","parse-names":false,"suffix":""},{"dropping-particle":"","family":"Bachman","given":"Steven","non-dropping-particle":"","parse-names":false,"suffix":""},{"dropping-particle":"","family":"Basset","given":"Alberto","non-dropping-particle":"","parse-names":false,"suffix":""},{"dropping-particle":"","family":"Barrow","given":"Edmund G.","non-dropping-particle":"","parse-names":false,"suffix":""},{"dropping-particle":"","family":"Benson","given":"John S.","non-dropping-particle":"","parse-names":false,"suffix":""},{"dropping-particle":"","family":"Bishop","given":"Melanie J.","non-dropping-particle":"","parse-names":false,"suffix":""},{"dropping-particle":"","family":"Bonifacio","given":"Ronald","non-dropping-particle":"","parse-names":false,"suffix":""},{"dropping-particle":"","family":"Brooks","given":"Thomas M.","non-dropping-particle":"","parse-names":false,"suffix":""},{"dropping-particle":"","family":"Burgman","given":"Mark A.","non-dropping-particle":"","parse-names":false,"suffix":""},{"dropping-particle":"","family":"Comer","given":"Patrick","non-dropping-particle":"","parse-names":false,"suffix":""},{"dropping-particle":"","family":"Comín","given":"Francisco A.","non-dropping-particle":"","parse-names":false,"suffix":""},{"dropping-particle":"","family":"Essl","given":"Franz","non-dropping-particle":"","parse-names":false,"suffix":""},{"dropping-particle":"","family":"Faber-Langendoen","given":"Don","non-dropping-particle":"","parse-names":false,"suffix":""},{"dropping-particle":"","family":"Fairweather","given":"Peter G.","non-dropping-particle":"","parse-names":false,"suffix":""},{"dropping-particle":"","family":"Holdaway","given":"Robert J.","non-dropping-particle":"","parse-names":false,"suffix":""},{"dropping-particle":"","family":"Jennings","given":"Michael","non-dropping-particle":"","parse-names":false,"suffix":""},{"dropping-particle":"","family":"Kingsford","given":"Richard T.","non-dropping-particle":"","parse-names":false,"suffix":""},{"dropping-particle":"","family":"Lester","given":"Rebecca E.","non-dropping-particle":"","parse-names":false,"suffix":""},{"dropping-particle":"Mac","family":"Nally","given":"Ralph","non-dropping-particle":"","parse-names":false,"suffix":""},{"dropping-particle":"","family":"McCarthy","given":"Michael A.","non-dropping-particle":"","parse-names":false,"suffix":""},{"dropping-particle":"","family":"Moat","given":"Justin","non-dropping-particle":"","parse-names":false,"suffix":""},{"dropping-particle":"","family":"Oliveira-Miranda","given":"María A.","non-dropping-particle":"","parse-names":false,"suffix":""},{"dropping-particle":"","family":"Pisanu","given":"Phil","non-dropping-particle":"","parse-names":false,"suffix":""},{"dropping-particle":"","family":"Poulin","given":"Brigitte","non-dropping-particle":"","parse-names":false,"suffix":""},{"dropping-particle":"","family":"Regan","given":"Tracey J.","non-dropping-particle":"","parse-names":false,"suffix":""},{"dropping-particle":"","family":"Riecken","given":"Uwe","non-dropping-particle":"","parse-names":false,"suffix":""},{"dropping-particle":"","family":"Spalding","given":"Mark D.","non-dropping-particle":"","parse-names":false,"suffix":""},{"dropping-particle":"","family":"Zambrano-Martínez","given":"Sergio","non-dropping-particle":"","parse-names":false,"suffix":""}],"container-title":"PLoS ONE","editor":[{"dropping-particle":"","family":"Convertino","given":"Matteo","non-dropping-particle":"","parse-names":false,"suffix":""}],"id":"ITEM-1","issue":"5","issued":{"date-parts":[["2013","5","8"]]},"page":"e62111","publisher":"Public Library of Science","title":"Scientific Foundations for an IUCN Red List of Ecosystems","type":"article-journal","volume":"8"},"uris":["http://www.mendeley.com/documents/?uuid=147694ed-97cb-3c90-b1cd-18cf607ba15f"]}],"mendeley":{"formattedCitation":"(Keith et al. 2013)","manualFormatting":"Keith et al. 2013","plainTextFormattedCitation":"(Keith et al. 2013)","previouslyFormattedCitation":"(Keith et al. 2013)"},"properties":{"noteIndex":0},"schema":"https://github.com/citation-style-language/schema/raw/master/csl-citation.json"}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Keith et al. 2013</w:t>
            </w:r>
            <w:r w:rsidRPr="008A1856">
              <w:rPr>
                <w:rFonts w:ascii="Times New Roman" w:eastAsia="Times New Roman" w:hAnsi="Times New Roman" w:cs="Times New Roman"/>
                <w:color w:val="000000"/>
              </w:rPr>
              <w:fldChar w:fldCharType="end"/>
            </w:r>
          </w:p>
        </w:tc>
      </w:tr>
      <w:tr w:rsidR="00B25C8E" w:rsidRPr="008A1856" w14:paraId="4CA3CF1C" w14:textId="77777777" w:rsidTr="00B25C8E">
        <w:trPr>
          <w:gridAfter w:val="1"/>
          <w:wAfter w:w="20" w:type="dxa"/>
          <w:trHeight w:val="414"/>
        </w:trPr>
        <w:tc>
          <w:tcPr>
            <w:tcW w:w="4962" w:type="dxa"/>
            <w:shd w:val="clear" w:color="auto" w:fill="auto"/>
            <w:tcMar>
              <w:top w:w="0" w:type="dxa"/>
              <w:left w:w="45" w:type="dxa"/>
              <w:bottom w:w="0" w:type="dxa"/>
              <w:right w:w="45" w:type="dxa"/>
            </w:tcMar>
            <w:hideMark/>
          </w:tcPr>
          <w:p w14:paraId="19C8BDEB"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Connected wetlands of the Lake Eyre Basin</w:t>
            </w:r>
          </w:p>
        </w:tc>
        <w:tc>
          <w:tcPr>
            <w:tcW w:w="2693" w:type="dxa"/>
            <w:shd w:val="clear" w:color="auto" w:fill="auto"/>
            <w:tcMar>
              <w:top w:w="0" w:type="dxa"/>
              <w:left w:w="45" w:type="dxa"/>
              <w:bottom w:w="0" w:type="dxa"/>
              <w:right w:w="45" w:type="dxa"/>
            </w:tcMar>
            <w:hideMark/>
          </w:tcPr>
          <w:p w14:paraId="452A9293"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Australia</w:t>
            </w:r>
          </w:p>
        </w:tc>
        <w:tc>
          <w:tcPr>
            <w:tcW w:w="1984" w:type="dxa"/>
            <w:gridSpan w:val="2"/>
            <w:shd w:val="clear" w:color="auto" w:fill="auto"/>
          </w:tcPr>
          <w:p w14:paraId="0D45DFB5"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{"citationItems":[{"id":"ITEM-1","itemData":{"DOI":"10.1111/aec.12203","ISSN":"14429985","author":[{"dropping-particle":"","family":"Pisanu","given":"Philip","non-dropping-particle":"","parse-names":false,"suffix":""},{"dropping-particle":"","family":"Kingsford","given":"Richard T.","non-dropping-particle":"","parse-names":false,"suffix":""},{"dropping-particle":"","family":"Wilson","given":"Bruce","non-dropping-particle":"","parse-names":false,"suffix":""},{"dropping-particle":"","family":"Bonifacio","given":"Ronald","non-dropping-particle":"","parse-names":false,"suffix":""}],"container-title":"Austral Ecology","id":"ITEM-1","issue":"4","issued":{"date-parts":[["2015","6","1"]]},"page":"460-471","publisher":"Wiley/Blackwell (10.1111)","title":"Status of connected wetlands of the Lake Eyre Basin, Australia","type":"article-journal","volume":"40"},"uris":["http://www.mendeley.com/documents/?uuid=556cc17e-58a1-3fff-a2c5-231369af04a1"]}],"mendeley":{"formattedCitation":"(Pisanu et al. 2015)","manualFormatting":"Pisanu et al. 2015","plainTextFormattedCitation":"(Pisanu et al. 2015)","previouslyFormattedCitation":"(Pisanu et al. 2015)"},"properties":{"noteIndex":0},"schema":"https://github.com/citation-style-language/schema/raw/master/csl-citation.json"}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Pisanu et al. 2015</w:t>
            </w:r>
            <w:r w:rsidRPr="008A1856">
              <w:rPr>
                <w:rFonts w:ascii="Times New Roman" w:eastAsia="Times New Roman" w:hAnsi="Times New Roman" w:cs="Times New Roman"/>
                <w:color w:val="000000"/>
              </w:rPr>
              <w:fldChar w:fldCharType="end"/>
            </w:r>
          </w:p>
        </w:tc>
      </w:tr>
      <w:tr w:rsidR="00B25C8E" w:rsidRPr="008A1856" w14:paraId="147805D0" w14:textId="77777777" w:rsidTr="00B25C8E">
        <w:trPr>
          <w:gridAfter w:val="1"/>
          <w:wAfter w:w="20" w:type="dxa"/>
          <w:trHeight w:val="645"/>
        </w:trPr>
        <w:tc>
          <w:tcPr>
            <w:tcW w:w="4962" w:type="dxa"/>
            <w:shd w:val="clear" w:color="auto" w:fill="auto"/>
            <w:tcMar>
              <w:top w:w="0" w:type="dxa"/>
              <w:left w:w="45" w:type="dxa"/>
              <w:bottom w:w="0" w:type="dxa"/>
              <w:right w:w="45" w:type="dxa"/>
            </w:tcMar>
            <w:hideMark/>
          </w:tcPr>
          <w:p w14:paraId="434D5364"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 xml:space="preserve">Floodplain ecosystem of </w:t>
            </w:r>
            <w:r w:rsidRPr="009E0C04">
              <w:rPr>
                <w:rFonts w:ascii="Times New Roman" w:eastAsia="Times New Roman" w:hAnsi="Times New Roman" w:cs="Times New Roman"/>
                <w:noProof/>
                <w:color w:val="000000"/>
              </w:rPr>
              <w:t>river</w:t>
            </w:r>
            <w:r w:rsidRPr="00D31378">
              <w:rPr>
                <w:rFonts w:ascii="Times New Roman" w:eastAsia="Times New Roman" w:hAnsi="Times New Roman" w:cs="Times New Roman"/>
                <w:color w:val="000000"/>
              </w:rPr>
              <w:t xml:space="preserve"> Red Gum and Black Box, south-eastern Australia</w:t>
            </w:r>
          </w:p>
        </w:tc>
        <w:tc>
          <w:tcPr>
            <w:tcW w:w="2693" w:type="dxa"/>
            <w:shd w:val="clear" w:color="auto" w:fill="auto"/>
            <w:tcMar>
              <w:top w:w="0" w:type="dxa"/>
              <w:left w:w="45" w:type="dxa"/>
              <w:bottom w:w="0" w:type="dxa"/>
              <w:right w:w="45" w:type="dxa"/>
            </w:tcMar>
            <w:hideMark/>
          </w:tcPr>
          <w:p w14:paraId="08850497"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Australia</w:t>
            </w:r>
          </w:p>
        </w:tc>
        <w:tc>
          <w:tcPr>
            <w:tcW w:w="1984" w:type="dxa"/>
            <w:gridSpan w:val="2"/>
            <w:shd w:val="clear" w:color="auto" w:fill="auto"/>
          </w:tcPr>
          <w:p w14:paraId="720DBF7D"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{"citationItems":[{"id":"ITEM-1","itemData":{"DOI":"10.1371/journal.pone.0062111","ISSN":"1932-6203","abstract":"An understanding of risks to biodiversity is needed for planning action to slow current rates of decline and secure ecosystem services for future human use. Although the IUCN Red List criteria provide an effective assessment protocol for species, a standard global assessment of risks to higher levels of biodiversity is currently limited. In 2008, IUCN initiated development of risk assessment criteria to support a global Red List of ecosystems. We present a new conceptual model for ecosystem risk assessment founded on a synthesis of relevant ecological theories. To support the model, we review key elements of ecosystem definition and introduce the concept of ecosystem collapse, an analogue of species extinction. The model identifies four distributional and functional symptoms of ecosystem risk as a basis for assessment criteria: A) rates of decline in ecosystem distribution; B) restricted distributions with continuing declines or threats; C) rates of environmental (abiotic) degradation; and D) rates of disruption to biotic processes. A fifth criterion, E) quantitative estimates of the risk of ecosystem collapse, enables integrated assessment of multiple processes and provides a conceptual anchor for the other criteria. We present the theoretical rationale for the construction and interpretation of each criterion. The assessment protocol and threat categories mirror those of the IUCN Red List of species. A trial of the protocol on terrestrial, subterranean, freshwater and marine ecosystems from around the world shows that its concepts are workable and its outcomes are robust, that required data are available, and that results are consistent with assessments carried out by local experts and authorities. The new protocol provides a consistent, practical and theoretically grounded framework for establishing a systematic Red List of the world’s ecosystems. This will complement the Red List of species and strengthen global capacity to report on and monitor the status of biodiversity","author":[{"dropping-particle":"","family":"Keith","given":"David A.","non-dropping-particle":"","parse-names":false,"suffix":""},{"dropping-particle":"","family":"Rodríguez","given":"Jon Paul","non-dropping-particle":"","parse-names":false,"suffix":""},{"dropping-particle":"","family":"Rodríguez-Clark","given":"Kathryn M.","non-dropping-particle":"","parse-names":false,"suffix":""},{"dropping-particle":"","family":"Nicholson","given":"Emily","non-dropping-particle":"","parse-names":false,"suffix":""},{"dropping-particle":"","family":"Aapala","given":"Kaisu","non-dropping-particle":"","parse-names":false,"suffix":""},{"dropping-particle":"","family":"Alonso","given":"Alfonso","non-dropping-particle":"","parse-names":false,"suffix":""},{"dropping-particle":"","family":"Asmussen","given":"Marianne","non-dropping-particle":"","parse-names":false,"suffix":""},{"dropping-particle":"","family":"Bachman","given":"Steven","non-dropping-particle":"","parse-names":false,"suffix":""},{"dropping-particle":"","family":"Basset","given":"Alberto","non-dropping-particle":"","parse-names":false,"suffix":""},{"dropping-particle":"","family":"Barrow","given":"Edmund G.","non-dropping-particle":"","parse-names":false,"suffix":""},{"dropping-particle":"","family":"Benson","given":"John S.","non-dropping-particle":"","parse-names":false,"suffix":""},{"dropping-particle":"","family":"Bishop","given":"Melanie J.","non-dropping-particle":"","parse-names":false,"suffix":""},{"dropping-particle":"","family":"Bonifacio","given":"Ronald","non-dropping-particle":"","parse-names":false,"suffix":""},{"dropping-particle":"","family":"Brooks","given":"Thomas M.","non-dropping-particle":"","parse-names":false,"suffix":""},{"dropping-particle":"","family":"Burgman","given":"Mark A.","non-dropping-particle":"","parse-names":false,"suffix":""},{"dropping-particle":"","family":"Comer","given":"Patrick","non-dropping-particle":"","parse-names":false,"suffix":""},{"dropping-particle":"","family":"Comín","given":"Francisco A.","non-dropping-particle":"","parse-names":false,"suffix":""},{"dropping-particle":"","family":"Essl","given":"Franz","non-dropping-particle":"","parse-names":false,"suffix":""},{"dropping-particle":"","family":"Faber-Langendoen","given":"Don","non-dropping-particle":"","parse-names":false,"suffix":""},{"dropping-particle":"","family":"Fairweather","given":"Peter G.","non-dropping-particle":"","parse-names":false,"suffix":""},{"dropping-particle":"","family":"Holdaway","given":"Robert J.","non-dropping-particle":"","parse-names":false,"suffix":""},{"dropping-particle":"","family":"Jennings","given":"Michael","non-dropping-particle":"","parse-names":false,"suffix":""},{"dropping-particle":"","family":"Kingsford","given":"Richard T.","non-dropping-particle":"","parse-names":false,"suffix":""},{"dropping-particle":"","family":"Lester","given":"Rebecca E.","non-dropping-particle":"","parse-names":false,"suffix":""},{"dropping-particle":"Mac","family":"Nally","given":"Ralph","non-dropping-particle":"","parse-names":false,"suffix":""},{"dropping-particle":"","family":"McCarthy","given":"Michael A.","non-dropping-particle":"","parse-names":false,"suffix":""},{"dropping-particle":"","family":"Moat","given":"Justin","non-dropping-particle":"","parse-names":false,"suffix":""},{"dropping-particle":"","family":"Oliveira-Miranda","given":"María A.","non-dropping-particle":"","parse-names":false,"suffix":""},{"dropping-particle":"","family":"Pisanu","given":"Phil","non-dropping-particle":"","parse-names":false,"suffix":""},{"dropping-particle":"","family":"Poulin","given":"Brigitte","non-dropping-particle":"","parse-names":false,"suffix":""},{"dropping-particle":"","family":"Regan","given":"Tracey J.","non-dropping-particle":"","parse-names":false,"suffix":""},{"dropping-particle":"","family":"Riecken","given":"Uwe","non-dropping-particle":"","parse-names":false,"suffix":""},{"dropping-particle":"","family":"Spalding","given":"Mark D.","non-dropping-particle":"","parse-names":false,"suffix":""},{"dropping-particle":"","family":"Zambrano-Martínez","given":"Sergio","non-dropping-particle":"","parse-names":false,"suffix":""}],"container-title":"PLoS ONE","editor":[{"dropping-particle":"","family":"Convertino","given":"Matteo","non-dropping-particle":"","parse-names":false,"suffix":""}],"id":"ITEM-1","issue":"5","issued":{"date-parts":[["2013","5","8"]]},"page":"e62111","publisher":"Public Library of Science","title":"Scientific Foundations for an IUCN Red List of Ecosystems","type":"article-journal","volume":"8"},"uris":["http://www.mendeley.com/documents/?uuid=147694ed-97cb-3c90-b1cd-18cf607ba15f"]}],"mendeley":{"formattedCitation":"(Keith et al. 2013)","manualFormatting":"Keith et al. 2013","plainTextFormattedCitation":"(Keith et al. 2013)","previouslyFormattedCitation":"(Keith et al. 2013)"},"properties":{"noteIndex":0},"schema":"https://github.com/citation-style-language/schema/raw/master/csl-citation.json"}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Keith et al. 2013</w:t>
            </w:r>
            <w:r w:rsidRPr="008A1856">
              <w:rPr>
                <w:rFonts w:ascii="Times New Roman" w:eastAsia="Times New Roman" w:hAnsi="Times New Roman" w:cs="Times New Roman"/>
                <w:color w:val="000000"/>
              </w:rPr>
              <w:fldChar w:fldCharType="end"/>
            </w:r>
          </w:p>
        </w:tc>
      </w:tr>
      <w:tr w:rsidR="00B25C8E" w:rsidRPr="008A1856" w14:paraId="72E000BC" w14:textId="77777777" w:rsidTr="00B25C8E">
        <w:trPr>
          <w:gridAfter w:val="1"/>
          <w:wAfter w:w="20" w:type="dxa"/>
          <w:trHeight w:val="642"/>
        </w:trPr>
        <w:tc>
          <w:tcPr>
            <w:tcW w:w="4962" w:type="dxa"/>
            <w:shd w:val="clear" w:color="auto" w:fill="auto"/>
            <w:tcMar>
              <w:top w:w="0" w:type="dxa"/>
              <w:left w:w="45" w:type="dxa"/>
              <w:bottom w:w="0" w:type="dxa"/>
              <w:right w:w="45" w:type="dxa"/>
            </w:tcMar>
            <w:hideMark/>
          </w:tcPr>
          <w:p w14:paraId="5B83C983"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 xml:space="preserve">Karst rising-spring wetland community of </w:t>
            </w:r>
            <w:r>
              <w:rPr>
                <w:rFonts w:ascii="Times New Roman" w:eastAsia="Times New Roman" w:hAnsi="Times New Roman" w:cs="Times New Roman"/>
                <w:color w:val="000000"/>
              </w:rPr>
              <w:t>south-east</w:t>
            </w:r>
            <w:r w:rsidRPr="00D31378">
              <w:rPr>
                <w:rFonts w:ascii="Times New Roman" w:eastAsia="Times New Roman" w:hAnsi="Times New Roman" w:cs="Times New Roman"/>
                <w:color w:val="000000"/>
              </w:rPr>
              <w:t xml:space="preserve"> Australia</w:t>
            </w:r>
          </w:p>
        </w:tc>
        <w:tc>
          <w:tcPr>
            <w:tcW w:w="2693" w:type="dxa"/>
            <w:shd w:val="clear" w:color="auto" w:fill="auto"/>
            <w:tcMar>
              <w:top w:w="0" w:type="dxa"/>
              <w:left w:w="45" w:type="dxa"/>
              <w:bottom w:w="0" w:type="dxa"/>
              <w:right w:w="45" w:type="dxa"/>
            </w:tcMar>
            <w:hideMark/>
          </w:tcPr>
          <w:p w14:paraId="69D69555"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Australia</w:t>
            </w:r>
          </w:p>
        </w:tc>
        <w:tc>
          <w:tcPr>
            <w:tcW w:w="1984" w:type="dxa"/>
            <w:gridSpan w:val="2"/>
            <w:shd w:val="clear" w:color="auto" w:fill="auto"/>
          </w:tcPr>
          <w:p w14:paraId="682BC98C"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{"citationItems":[{"id":"ITEM-1","itemData":{"DOI":"10.1371/journal.pone.0062111","ISSN":"1932-6203","abstract":"An understanding of risks to biodiversity is needed for planning action to slow current rates of decline and secure ecosystem services for future human use. Although the IUCN Red List criteria provide an effective assessment protocol for species, a standard global assessment of risks to higher levels of biodiversity is currently limited. In 2008, IUCN initiated development of risk assessment criteria to support a global Red List of ecosystems. We present a new conceptual model for ecosystem risk assessment founded on a synthesis of relevant ecological theories. To support the model, we review key elements of ecosystem definition and introduce the concept of ecosystem collapse, an analogue of species extinction. The model identifies four distributional and functional symptoms of ecosystem risk as a basis for assessment criteria: A) rates of decline in ecosystem distribution; B) restricted distributions with continuing declines or threats; C) rates of environmental (abiotic) degradation; and D) rates of disruption to biotic processes. A fifth criterion, E) quantitative estimates of the risk of ecosystem collapse, enables integrated assessment of multiple processes and provides a conceptual anchor for the other criteria. We present the theoretical rationale for the construction and interpretation of each criterion. The assessment protocol and threat categories mirror those of the IUCN Red List of species. A trial of the protocol on terrestrial, subterranean, freshwater and marine ecosystems from around the world shows that its concepts are workable and its outcomes are robust, that required data are available, and that results are consistent with assessments carried out by local experts and authorities. The new protocol provides a consistent, practical and theoretically grounded framework for establishing a systematic Red List of the world’s ecosystems. This will complement the Red List of species and strengthen global capacity to report on and monitor the status of biodiversity","author":[{"dropping-particle":"","family":"Keith","given":"David A.","non-dropping-particle":"","parse-names":false,"suffix":""},{"dropping-particle":"","family":"Rodríguez","given":"Jon Paul","non-dropping-particle":"","parse-names":false,"suffix":""},{"dropping-particle":"","family":"Rodríguez-Clark","given":"Kathryn M.","non-dropping-particle":"","parse-names":false,"suffix":""},{"dropping-particle":"","family":"Nicholson","given":"Emily","non-dropping-particle":"","parse-names":false,"suffix":""},{"dropping-particle":"","family":"Aapala","given":"Kaisu","non-dropping-particle":"","parse-names":false,"suffix":""},{"dropping-particle":"","family":"Alonso","given":"Alfonso","non-dropping-particle":"","parse-names":false,"suffix":""},{"dropping-particle":"","family":"Asmussen","given":"Marianne","non-dropping-particle":"","parse-names":false,"suffix":""},{"dropping-particle":"","family":"Bachman","given":"Steven","non-dropping-particle":"","parse-names":false,"suffix":""},{"dropping-particle":"","family":"Basset","given":"Alberto","non-dropping-particle":"","parse-names":false,"suffix":""},{"dropping-particle":"","family":"Barrow","given":"Edmund G.","non-dropping-particle":"","parse-names":false,"suffix":""},{"dropping-particle":"","family":"Benson","given":"John S.","non-dropping-particle":"","parse-names":false,"suffix":""},{"dropping-particle":"","family":"Bishop","given":"Melanie J.","non-dropping-particle":"","parse-names":false,"suffix":""},{"dropping-particle":"","family":"Bonifacio","given":"Ronald","non-dropping-particle":"","parse-names":false,"suffix":""},{"dropping-particle":"","family":"Brooks","given":"Thomas M.","non-dropping-particle":"","parse-names":false,"suffix":""},{"dropping-particle":"","family":"Burgman","given":"Mark A.","non-dropping-particle":"","parse-names":false,"suffix":""},{"dropping-particle":"","family":"Comer","given":"Patrick","non-dropping-particle":"","parse-names":false,"suffix":""},{"dropping-particle":"","family":"Comín","given":"Francisco A.","non-dropping-particle":"","parse-names":false,"suffix":""},{"dropping-particle":"","family":"Essl","given":"Franz","non-dropping-particle":"","parse-names":false,"suffix":""},{"dropping-particle":"","family":"Faber-Langendoen","given":"Don","non-dropping-particle":"","parse-names":false,"suffix":""},{"dropping-particle":"","family":"Fairweather","given":"Peter G.","non-dropping-particle":"","parse-names":false,"suffix":""},{"dropping-particle":"","family":"Holdaway","given":"Robert J.","non-dropping-particle":"","parse-names":false,"suffix":""},{"dropping-particle":"","family":"Jennings","given":"Michael","non-dropping-particle":"","parse-names":false,"suffix":""},{"dropping-particle":"","family":"Kingsford","given":"Richard T.","non-dropping-particle":"","parse-names":false,"suffix":""},{"dropping-particle":"","family":"Lester","given":"Rebecca E.","non-dropping-particle":"","parse-names":false,"suffix":""},{"dropping-particle":"Mac","family":"Nally","given":"Ralph","non-dropping-particle":"","parse-names":false,"suffix":""},{"dropping-particle":"","family":"McCarthy","given":"Michael A.","non-dropping-particle":"","parse-names":false,"suffix":""},{"dropping-particle":"","family":"Moat","given":"Justin","non-dropping-particle":"","parse-names":false,"suffix":""},{"dropping-particle":"","family":"Oliveira-Miranda","given":"María A.","non-dropping-particle":"","parse-names":false,"suffix":""},{"dropping-particle":"","family":"Pisanu","given":"Phil","non-dropping-particle":"","parse-names":false,"suffix":""},{"dropping-particle":"","family":"Poulin","given":"Brigitte","non-dropping-particle":"","parse-names":false,"suffix":""},{"dropping-particle":"","family":"Regan","given":"Tracey J.","non-dropping-particle":"","parse-names":false,"suffix":""},{"dropping-particle":"","family":"Riecken","given":"Uwe","non-dropping-particle":"","parse-names":false,"suffix":""},{"dropping-particle":"","family":"Spalding","given":"Mark D.","non-dropping-particle":"","parse-names":false,"suffix":""},{"dropping-particle":"","family":"Zambrano-Martínez","given":"Sergio","non-dropping-particle":"","parse-names":false,"suffix":""}],"container-title":"PLoS ONE","editor":[{"dropping-particle":"","family":"Convertino","given":"Matteo","non-dropping-particle":"","parse-names":false,"suffix":""}],"id":"ITEM-1","issue":"5","issued":{"date-parts":[["2013","5","8"]]},"page":"e62111","publisher":"Public Library of Science","title":"Scientific Foundations for an IUCN Red List of Ecosystems","type":"article-journal","volume":"8"},"uris":["http://www.mendeley.com/documents/?uuid=147694ed-97cb-3c90-b1cd-18cf607ba15f"]}],"mendeley":{"formattedCitation":"(Keith et al. 2013)","manualFormatting":"Keith et al. 2013","plainTextFormattedCitation":"(Keith et al. 2013)","previouslyFormattedCitation":"(Keith et al. 2013)"},"properties":{"noteIndex":0},"schema":"https://github.com/citation-style-language/schema/raw/master/csl-citation.json"}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Keith et al. 2013</w:t>
            </w:r>
            <w:r w:rsidRPr="008A1856">
              <w:rPr>
                <w:rFonts w:ascii="Times New Roman" w:eastAsia="Times New Roman" w:hAnsi="Times New Roman" w:cs="Times New Roman"/>
                <w:color w:val="000000"/>
              </w:rPr>
              <w:fldChar w:fldCharType="end"/>
            </w:r>
          </w:p>
        </w:tc>
      </w:tr>
      <w:tr w:rsidR="00B25C8E" w:rsidRPr="008A1856" w14:paraId="3D28C7F9" w14:textId="77777777" w:rsidTr="00B25C8E">
        <w:trPr>
          <w:gridAfter w:val="1"/>
          <w:wAfter w:w="20" w:type="dxa"/>
          <w:trHeight w:val="645"/>
        </w:trPr>
        <w:tc>
          <w:tcPr>
            <w:tcW w:w="4962" w:type="dxa"/>
            <w:tcBorders>
              <w:bottom w:val="single" w:sz="4" w:space="0" w:color="auto"/>
            </w:tcBorders>
            <w:shd w:val="clear" w:color="auto" w:fill="auto"/>
            <w:tcMar>
              <w:top w:w="0" w:type="dxa"/>
              <w:left w:w="45" w:type="dxa"/>
              <w:bottom w:w="0" w:type="dxa"/>
              <w:right w:w="45" w:type="dxa"/>
            </w:tcMar>
            <w:hideMark/>
          </w:tcPr>
          <w:p w14:paraId="16891653"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Swamps, marshes and lakes in the Murray-Darling Basin</w:t>
            </w:r>
          </w:p>
        </w:tc>
        <w:tc>
          <w:tcPr>
            <w:tcW w:w="2693" w:type="dxa"/>
            <w:tcBorders>
              <w:bottom w:val="single" w:sz="4" w:space="0" w:color="auto"/>
            </w:tcBorders>
            <w:shd w:val="clear" w:color="auto" w:fill="auto"/>
            <w:tcMar>
              <w:top w:w="0" w:type="dxa"/>
              <w:left w:w="45" w:type="dxa"/>
              <w:bottom w:w="0" w:type="dxa"/>
              <w:right w:w="45" w:type="dxa"/>
            </w:tcMar>
            <w:hideMark/>
          </w:tcPr>
          <w:p w14:paraId="242A2287"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Australia</w:t>
            </w:r>
          </w:p>
        </w:tc>
        <w:tc>
          <w:tcPr>
            <w:tcW w:w="1984" w:type="dxa"/>
            <w:gridSpan w:val="2"/>
            <w:tcBorders>
              <w:bottom w:val="single" w:sz="4" w:space="0" w:color="auto"/>
            </w:tcBorders>
            <w:shd w:val="clear" w:color="auto" w:fill="auto"/>
          </w:tcPr>
          <w:p w14:paraId="7F7B6D9B"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{"citationItems":[{"id":"ITEM-1","itemData":{"DOI":"10.1371/journal.pone.0062111","ISSN":"1932-6203","abstract":"An understanding of risks to biodiversity is needed for planning action to slow current rates of decline and secure ecosystem services for future human use. Although the IUCN Red List criteria provide an effective assessment protocol for species, a standard global assessment of risks to higher levels of biodiversity is currently limited. In 2008, IUCN initiated development of risk assessment criteria to support a global Red List of ecosystems. We present a new conceptual model for ecosystem risk assessment founded on a synthesis of relevant ecological theories. To support the model, we review key elements of ecosystem definition and introduce the concept of ecosystem collapse, an analogue of species extinction. The model identifies four distributional and functional symptoms of ecosystem risk as a basis for assessment criteria: A) rates of decline in ecosystem distribution; B) restricted distributions with continuing declines or threats; C) rates of environmental (abiotic) degradation; and D) rates of disruption to biotic processes. A fifth criterion, E) quantitative estimates of the risk of ecosystem collapse, enables integrated assessment of multiple processes and provides a conceptual anchor for the other criteria. We present the theoretical rationale for the construction and interpretation of each criterion. The assessment protocol and threat categories mirror those of the IUCN Red List of species. A trial of the protocol on terrestrial, subterranean, freshwater and marine ecosystems from around the world shows that its concepts are workable and its outcomes are robust, that required data are available, and that results are consistent with assessments carried out by local experts and authorities. The new protocol provides a consistent, practical and theoretically grounded framework for establishing a systematic Red List of the world’s ecosystems. This will complement the Red List of species and strengthen global capacity to report on and monitor the status of biodiversity","author":[{"dropping-particle":"","family":"Keith","given":"David A.","non-dropping-particle":"","parse-names":false,"suffix":""},{"dropping-particle":"","family":"Rodríguez","given":"Jon Paul","non-dropping-particle":"","parse-names":false,"suffix":""},{"dropping-particle":"","family":"Rodríguez-Clark","given":"Kathryn M.","non-dropping-particle":"","parse-names":false,"suffix":""},{"dropping-particle":"","family":"Nicholson","given":"Emily","non-dropping-particle":"","parse-names":false,"suffix":""},{"dropping-particle":"","family":"Aapala","given":"Kaisu","non-dropping-particle":"","parse-names":false,"suffix":""},{"dropping-particle":"","family":"Alonso","given":"Alfonso","non-dropping-particle":"","parse-names":false,"suffix":""},{"dropping-particle":"","family":"Asmussen","given":"Marianne","non-dropping-particle":"","parse-names":false,"suffix":""},{"dropping-particle":"","family":"Bachman","given":"Steven","non-dropping-particle":"","parse-names":false,"suffix":""},{"dropping-particle":"","family":"Basset","given":"Alberto","non-dropping-particle":"","parse-names":false,"suffix":""},{"dropping-particle":"","family":"Barrow","given":"Edmund G.","non-dropping-particle":"","parse-names":false,"suffix":""},{"dropping-particle":"","family":"Benson","given":"John S.","non-dropping-particle":"","parse-names":false,"suffix":""},{"dropping-particle":"","family":"Bishop","given":"Melanie J.","non-dropping-particle":"","parse-names":false,"suffix":""},{"dropping-particle":"","family":"Bonifacio","given":"Ronald","non-dropping-particle":"","parse-names":false,"suffix":""},{"dropping-particle":"","family":"Brooks","given":"Thomas M.","non-dropping-particle":"","parse-names":false,"suffix":""},{"dropping-particle":"","family":"Burgman","given":"Mark A.","non-dropping-particle":"","parse-names":false,"suffix":""},{"dropping-particle":"","family":"Comer","given":"Patrick","non-dropping-particle":"","parse-names":false,"suffix":""},{"dropping-particle":"","family":"Comín","given":"Francisco A.","non-dropping-particle":"","parse-names":false,"suffix":""},{"dropping-particle":"","family":"Essl","given":"Franz","non-dropping-particle":"","parse-names":false,"suffix":""},{"dropping-particle":"","family":"Faber-Langendoen","given":"Don","non-dropping-particle":"","parse-names":false,"suffix":""},{"dropping-particle":"","family":"Fairweather","given":"Peter G.","non-dropping-particle":"","parse-names":false,"suffix":""},{"dropping-particle":"","family":"Holdaway","given":"Robert J.","non-dropping-particle":"","parse-names":false,"suffix":""},{"dropping-particle":"","family":"Jennings","given":"Michael","non-dropping-particle":"","parse-names":false,"suffix":""},{"dropping-particle":"","family":"Kingsford","given":"Richard T.","non-dropping-particle":"","parse-names":false,"suffix":""},{"dropping-particle":"","family":"Lester","given":"Rebecca E.","non-dropping-particle":"","parse-names":false,"suffix":""},{"dropping-particle":"Mac","family":"Nally","given":"Ralph","non-dropping-particle":"","parse-names":false,"suffix":""},{"dropping-particle":"","family":"McCarthy","given":"Michael A.","non-dropping-particle":"","parse-names":false,"suffix":""},{"dropping-particle":"","family":"Moat","given":"Justin","non-dropping-particle":"","parse-names":false,"suffix":""},{"dropping-particle":"","family":"Oliveira-Miranda","given":"María A.","non-dropping-particle":"","parse-names":false,"suffix":""},{"dropping-particle":"","family":"Pisanu","given":"Phil","non-dropping-particle":"","parse-names":false,"suffix":""},{"dropping-particle":"","family":"Poulin","given":"Brigitte","non-dropping-particle":"","parse-names":false,"suffix":""},{"dropping-particle":"","family":"Regan","given":"Tracey J.","non-dropping-particle":"","parse-names":false,"suffix":""},{"dropping-particle":"","family":"Riecken","given":"Uwe","non-dropping-particle":"","parse-names":false,"suffix":""},{"dropping-particle":"","family":"Spalding","given":"Mark D.","non-dropping-particle":"","parse-names":false,"suffix":""},{"dropping-particle":"","family":"Zambrano-Martínez","given":"Sergio","non-dropping-particle":"","parse-names":false,"suffix":""}],"container-title":"PLoS ONE","editor":[{"dropping-particle":"","family":"Convertino","given":"Matteo","non-dropping-particle":"","parse-names":false,"suffix":""}],"id":"ITEM-1","issue":"5","issued":{"date-parts":[["2013","5","8"]]},"page":"e62111","publisher":"Public Library of Science","title":"Scientific Foundations for an IUCN Red List of Ecosystems","type":"article-journal","volume":"8"},"uris":["http://www.mendeley.com/documents/?uuid=147694ed-97cb-3c90-b1cd-18cf607ba15f"]}],"mendeley":{"formattedCitation":"(Keith et al. 2013)","manualFormatting":"Keith et al. 2013","plainTextFormattedCitation":"(Keith et al. 2013)","previouslyFormattedCitation":"(Keith et al. 2013)"},"properties":{"noteIndex":0},"schema":"https://github.com/citation-style-language/schema/raw/master/csl-citation.json"}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Keith et al. 2013</w:t>
            </w:r>
            <w:r w:rsidRPr="008A1856">
              <w:rPr>
                <w:rFonts w:ascii="Times New Roman" w:eastAsia="Times New Roman" w:hAnsi="Times New Roman" w:cs="Times New Roman"/>
                <w:color w:val="000000"/>
              </w:rPr>
              <w:fldChar w:fldCharType="end"/>
            </w:r>
          </w:p>
        </w:tc>
      </w:tr>
      <w:tr w:rsidR="00B25C8E" w:rsidRPr="008A1856" w14:paraId="7C2D7305" w14:textId="77777777" w:rsidTr="00B25C8E">
        <w:trPr>
          <w:gridAfter w:val="1"/>
          <w:wAfter w:w="20" w:type="dxa"/>
          <w:trHeight w:val="349"/>
        </w:trPr>
        <w:tc>
          <w:tcPr>
            <w:tcW w:w="4962" w:type="dxa"/>
            <w:tcBorders>
              <w:top w:val="single" w:sz="4" w:space="0" w:color="auto"/>
            </w:tcBorders>
            <w:shd w:val="clear" w:color="auto" w:fill="auto"/>
            <w:tcMar>
              <w:top w:w="0" w:type="dxa"/>
              <w:left w:w="45" w:type="dxa"/>
              <w:bottom w:w="0" w:type="dxa"/>
              <w:right w:w="45" w:type="dxa"/>
            </w:tcMar>
          </w:tcPr>
          <w:p w14:paraId="608C6E40" w14:textId="77777777" w:rsidR="00B25C8E" w:rsidRPr="009A7ADC" w:rsidRDefault="00B25C8E" w:rsidP="005E5C8A">
            <w:pPr>
              <w:spacing w:after="0" w:line="240" w:lineRule="auto"/>
              <w:rPr>
                <w:rFonts w:ascii="Times New Roman" w:eastAsia="Times New Roman" w:hAnsi="Times New Roman" w:cs="Times New Roman"/>
                <w:i/>
                <w:color w:val="000000"/>
              </w:rPr>
            </w:pPr>
            <w:r w:rsidRPr="009A7ADC">
              <w:rPr>
                <w:rFonts w:ascii="Times New Roman" w:eastAsia="Times New Roman" w:hAnsi="Times New Roman" w:cs="Times New Roman"/>
                <w:i/>
                <w:color w:val="000000"/>
              </w:rPr>
              <w:t>Marine ecosystems</w:t>
            </w:r>
          </w:p>
        </w:tc>
        <w:tc>
          <w:tcPr>
            <w:tcW w:w="2693" w:type="dxa"/>
            <w:tcBorders>
              <w:top w:val="single" w:sz="4" w:space="0" w:color="auto"/>
            </w:tcBorders>
            <w:shd w:val="clear" w:color="auto" w:fill="auto"/>
            <w:tcMar>
              <w:top w:w="0" w:type="dxa"/>
              <w:left w:w="45" w:type="dxa"/>
              <w:bottom w:w="0" w:type="dxa"/>
              <w:right w:w="45" w:type="dxa"/>
            </w:tcMar>
          </w:tcPr>
          <w:p w14:paraId="066E8271" w14:textId="77777777" w:rsidR="00B25C8E" w:rsidRDefault="00B25C8E" w:rsidP="005E5C8A">
            <w:pPr>
              <w:spacing w:after="0" w:line="240" w:lineRule="auto"/>
              <w:rPr>
                <w:rFonts w:ascii="Times New Roman" w:eastAsia="Times New Roman" w:hAnsi="Times New Roman" w:cs="Times New Roman"/>
                <w:color w:val="000000"/>
              </w:rPr>
            </w:pPr>
          </w:p>
        </w:tc>
        <w:tc>
          <w:tcPr>
            <w:tcW w:w="1984" w:type="dxa"/>
            <w:gridSpan w:val="2"/>
            <w:tcBorders>
              <w:top w:val="single" w:sz="4" w:space="0" w:color="auto"/>
            </w:tcBorders>
            <w:shd w:val="clear" w:color="auto" w:fill="auto"/>
          </w:tcPr>
          <w:p w14:paraId="588EDFD2" w14:textId="77777777" w:rsidR="00B25C8E" w:rsidRPr="008A1856" w:rsidRDefault="00B25C8E" w:rsidP="00B25C8E">
            <w:pPr>
              <w:spacing w:after="0" w:line="240" w:lineRule="auto"/>
              <w:rPr>
                <w:rFonts w:ascii="Times New Roman" w:eastAsia="Times New Roman" w:hAnsi="Times New Roman" w:cs="Times New Roman"/>
                <w:color w:val="000000"/>
              </w:rPr>
            </w:pPr>
          </w:p>
        </w:tc>
      </w:tr>
      <w:tr w:rsidR="00B25C8E" w:rsidRPr="008A1856" w14:paraId="4E300BA1" w14:textId="77777777" w:rsidTr="00B25C8E">
        <w:trPr>
          <w:gridAfter w:val="1"/>
          <w:wAfter w:w="20" w:type="dxa"/>
          <w:trHeight w:val="349"/>
        </w:trPr>
        <w:tc>
          <w:tcPr>
            <w:tcW w:w="4962" w:type="dxa"/>
            <w:tcBorders>
              <w:top w:val="single" w:sz="4" w:space="0" w:color="auto"/>
            </w:tcBorders>
            <w:shd w:val="clear" w:color="auto" w:fill="auto"/>
            <w:tcMar>
              <w:top w:w="0" w:type="dxa"/>
              <w:left w:w="45" w:type="dxa"/>
              <w:bottom w:w="0" w:type="dxa"/>
              <w:right w:w="45" w:type="dxa"/>
            </w:tcMar>
            <w:hideMark/>
          </w:tcPr>
          <w:p w14:paraId="76A2910E"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Caribbean coral reefs</w:t>
            </w:r>
          </w:p>
        </w:tc>
        <w:tc>
          <w:tcPr>
            <w:tcW w:w="2693" w:type="dxa"/>
            <w:tcBorders>
              <w:top w:val="single" w:sz="4" w:space="0" w:color="auto"/>
            </w:tcBorders>
            <w:shd w:val="clear" w:color="auto" w:fill="auto"/>
            <w:tcMar>
              <w:top w:w="0" w:type="dxa"/>
              <w:left w:w="45" w:type="dxa"/>
              <w:bottom w:w="0" w:type="dxa"/>
              <w:right w:w="45" w:type="dxa"/>
            </w:tcMar>
            <w:hideMark/>
          </w:tcPr>
          <w:p w14:paraId="55A3CB3C" w14:textId="77777777" w:rsidR="00B25C8E" w:rsidRPr="00D31378" w:rsidRDefault="00B25C8E" w:rsidP="005E5C8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Regional</w:t>
            </w:r>
          </w:p>
        </w:tc>
        <w:tc>
          <w:tcPr>
            <w:tcW w:w="1984" w:type="dxa"/>
            <w:gridSpan w:val="2"/>
            <w:tcBorders>
              <w:top w:val="single" w:sz="4" w:space="0" w:color="auto"/>
            </w:tcBorders>
            <w:shd w:val="clear" w:color="auto" w:fill="auto"/>
          </w:tcPr>
          <w:p w14:paraId="07B88E19"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{"citationItems":[{"id":"ITEM-1","itemData":{"DOI":"10.1371/journal.pone.0062111","ISSN":"1932-6203","abstract":"An understanding of risks to biodiversity is needed for planning action to slow current rates of decline and secure ecosystem services for future human use. Although the IUCN Red List criteria provide an effective assessment protocol for species, a standard global assessment of risks to higher levels of biodiversity is currently limited. In 2008, IUCN initiated development of risk assessment criteria to support a global Red List of ecosystems. We present a new conceptual model for ecosystem risk assessment founded on a synthesis of relevant ecological theories. To support the model, we review key elements of ecosystem definition and introduce the concept of ecosystem collapse, an analogue of species extinction. The model identifies four distributional and functional symptoms of ecosystem risk as a basis for assessment criteria: A) rates of decline in ecosystem distribution; B) restricted distributions with continuing declines or threats; C) rates of environmental (abiotic) degradation; and D) rates of disruption to biotic processes. A fifth criterion, E) quantitative estimates of the risk of ecosystem collapse, enables integrated assessment of multiple processes and provides a conceptual anchor for the other criteria. We present the theoretical rationale for the construction and interpretation of each criterion. The assessment protocol and threat categories mirror those of the IUCN Red List of species. A trial of the protocol on terrestrial, subterranean, freshwater and marine ecosystems from around the world shows that its concepts are workable and its outcomes are robust, that required data are available, and that results are consistent with assessments carried out by local experts and authorities. The new protocol provides a consistent, practical and theoretically grounded framework for establishing a systematic Red List of the world’s ecosystems. This will complement the Red List of species and strengthen global capacity to report on and monitor the status of biodiversity","author":[{"dropping-particle":"","family":"Keith","given":"David A.","non-dropping-particle":"","parse-names":false,"suffix":""},{"dropping-particle":"","family":"Rodríguez","given":"Jon Paul","non-dropping-particle":"","parse-names":false,"suffix":""},{"dropping-particle":"","family":"Rodríguez-Clark","given":"Kathryn M.","non-dropping-particle":"","parse-names":false,"suffix":""},{"dropping-particle":"","family":"Nicholson","given":"Emily","non-dropping-particle":"","parse-names":false,"suffix":""},{"dropping-particle":"","family":"Aapala","given":"Kaisu","non-dropping-particle":"","parse-names":false,"suffix":""},{"dropping-particle":"","family":"Alonso","given":"Alfonso","non-dropping-particle":"","parse-names":false,"suffix":""},{"dropping-particle":"","family":"Asmussen","given":"Marianne","non-dropping-particle":"","parse-names":false,"suffix":""},{"dropping-particle":"","family":"Bachman","given":"Steven","non-dropping-particle":"","parse-names":false,"suffix":""},{"dropping-particle":"","family":"Basset","given":"Alberto","non-dropping-particle":"","parse-names":false,"suffix":""},{"dropping-particle":"","family":"Barrow","given":"Edmund G.","non-dropping-particle":"","parse-names":false,"suffix":""},{"dropping-particle":"","family":"Benson","given":"John S.","non-dropping-particle":"","parse-names":false,"suffix":""},{"dropping-particle":"","family":"Bishop","given":"Melanie J.","non-dropping-particle":"","parse-names":false,"suffix":""},{"dropping-particle":"","family":"Bonifacio","given":"Ronald","non-dropping-particle":"","parse-names":false,"suffix":""},{"dropping-particle":"","family":"Brooks","given":"Thomas M.","non-dropping-particle":"","parse-names":false,"suffix":""},{"dropping-particle":"","family":"Burgman","given":"Mark A.","non-dropping-particle":"","parse-names":false,"suffix":""},{"dropping-particle":"","family":"Comer","given":"Patrick","non-dropping-particle":"","parse-names":false,"suffix":""},{"dropping-particle":"","family":"Comín","given":"Francisco A.","non-dropping-particle":"","parse-names":false,"suffix":""},{"dropping-particle":"","family":"Essl","given":"Franz","non-dropping-particle":"","parse-names":false,"suffix":""},{"dropping-particle":"","family":"Faber-Langendoen","given":"Don","non-dropping-particle":"","parse-names":false,"suffix":""},{"dropping-particle":"","family":"Fairweather","given":"Peter G.","non-dropping-particle":"","parse-names":false,"suffix":""},{"dropping-particle":"","family":"Holdaway","given":"Robert J.","non-dropping-particle":"","parse-names":false,"suffix":""},{"dropping-particle":"","family":"Jennings","given":"Michael","non-dropping-particle":"","parse-names":false,"suffix":""},{"dropping-particle":"","family":"Kingsford","given":"Richard T.","non-dropping-particle":"","parse-names":false,"suffix":""},{"dropping-particle":"","family":"Lester","given":"Rebecca E.","non-dropping-particle":"","parse-names":false,"suffix":""},{"dropping-particle":"Mac","family":"Nally","given":"Ralph","non-dropping-particle":"","parse-names":false,"suffix":""},{"dropping-particle":"","family":"McCarthy","given":"Michael A.","non-dropping-particle":"","parse-names":false,"suffix":""},{"dropping-particle":"","family":"Moat","given":"Justin","non-dropping-particle":"","parse-names":false,"suffix":""},{"dropping-particle":"","family":"Oliveira-Miranda","given":"María A.","non-dropping-particle":"","parse-names":false,"suffix":""},{"dropping-particle":"","family":"Pisanu","given":"Phil","non-dropping-particle":"","parse-names":false,"suffix":""},{"dropping-particle":"","family":"Poulin","given":"Brigitte","non-dropping-particle":"","parse-names":false,"suffix":""},{"dropping-particle":"","family":"Regan","given":"Tracey J.","non-dropping-particle":"","parse-names":false,"suffix":""},{"dropping-particle":"","family":"Riecken","given":"Uwe","non-dropping-particle":"","parse-names":false,"suffix":""},{"dropping-particle":"","family":"Spalding","given":"Mark D.","non-dropping-particle":"","parse-names":false,"suffix":""},{"dropping-particle":"","family":"Zambrano-Martínez","given":"Sergio","non-dropping-particle":"","parse-names":false,"suffix":""}],"container-title":"PLoS ONE","editor":[{"dropping-particle":"","family":"Convertino","given":"Matteo","non-dropping-particle":"","parse-names":false,"suffix":""}],"id":"ITEM-1","issue":"5","issued":{"date-parts":[["2013","5","8"]]},"page":"e62111","publisher":"Public Library of Science","title":"Scientific Foundations for an IUCN Red List of Ecosystems","type":"article-journal","volume":"8"},"uris":["http://www.mendeley.com/documents/?uuid=147694ed-97cb-3c90-b1cd-18cf607ba15f"]}],"mendeley":{"formattedCitation":"(Keith et al. 2013)","manualFormatting":"Keith et al. 2013","plainTextFormattedCitation":"(Keith et al. 2013)","previouslyFormattedCitation":"(Keith et al. 2013)"},"properties":{"noteIndex":0},"schema":"https://github.com/citation-style-language/schema/raw/master/csl-citation.json"}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Keith et al. 2013</w:t>
            </w:r>
            <w:r w:rsidRPr="008A1856">
              <w:rPr>
                <w:rFonts w:ascii="Times New Roman" w:eastAsia="Times New Roman" w:hAnsi="Times New Roman" w:cs="Times New Roman"/>
                <w:color w:val="000000"/>
              </w:rPr>
              <w:fldChar w:fldCharType="end"/>
            </w:r>
          </w:p>
        </w:tc>
      </w:tr>
      <w:tr w:rsidR="00B25C8E" w:rsidRPr="008A1856" w14:paraId="1A1F5293" w14:textId="77777777" w:rsidTr="00B25C8E">
        <w:trPr>
          <w:gridAfter w:val="1"/>
          <w:wAfter w:w="20" w:type="dxa"/>
          <w:trHeight w:val="319"/>
        </w:trPr>
        <w:tc>
          <w:tcPr>
            <w:tcW w:w="4962" w:type="dxa"/>
            <w:shd w:val="clear" w:color="auto" w:fill="auto"/>
            <w:tcMar>
              <w:top w:w="0" w:type="dxa"/>
              <w:left w:w="45" w:type="dxa"/>
              <w:bottom w:w="0" w:type="dxa"/>
              <w:right w:w="45" w:type="dxa"/>
            </w:tcMar>
            <w:hideMark/>
          </w:tcPr>
          <w:p w14:paraId="243B0252"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Giant kelp forests, Alaska</w:t>
            </w:r>
          </w:p>
        </w:tc>
        <w:tc>
          <w:tcPr>
            <w:tcW w:w="2693" w:type="dxa"/>
            <w:shd w:val="clear" w:color="auto" w:fill="auto"/>
            <w:tcMar>
              <w:top w:w="0" w:type="dxa"/>
              <w:left w:w="45" w:type="dxa"/>
              <w:bottom w:w="0" w:type="dxa"/>
              <w:right w:w="45" w:type="dxa"/>
            </w:tcMar>
            <w:hideMark/>
          </w:tcPr>
          <w:p w14:paraId="06D4CDAC"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United States of America</w:t>
            </w:r>
          </w:p>
        </w:tc>
        <w:tc>
          <w:tcPr>
            <w:tcW w:w="1984" w:type="dxa"/>
            <w:gridSpan w:val="2"/>
            <w:shd w:val="clear" w:color="auto" w:fill="auto"/>
          </w:tcPr>
          <w:p w14:paraId="2CE2F6B5"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{"citationItems":[{"id":"ITEM-1","itemData":{"DOI":"10.1371/journal.pone.0062111","ISSN":"1932-6203","abstract":"An understanding of risks to biodiversity is needed for planning action to slow current rates of decline and secure ecosystem services for future human use. Although the IUCN Red List criteria provide an effective assessment protocol for species, a standard global assessment of risks to higher levels of biodiversity is currently limited. In 2008, IUCN initiated development of risk assessment criteria to support a global Red List of ecosystems. We present a new conceptual model for ecosystem risk assessment founded on a synthesis of relevant ecological theories. To support the model, we review key elements of ecosystem definition and introduce the concept of ecosystem collapse, an analogue of species extinction. The model identifies four distributional and functional symptoms of ecosystem risk as a basis for assessment criteria: A) rates of decline in ecosystem distribution; B) restricted distributions with continuing declines or threats; C) rates of environmental (abiotic) degradation; and D) rates of disruption to biotic processes. A fifth criterion, E) quantitative estimates of the risk of ecosystem collapse, enables integrated assessment of multiple processes and provides a conceptual anchor for the other criteria. We present the theoretical rationale for the construction and interpretation of each criterion. The assessment protocol and threat categories mirror those of the IUCN Red List of species. A trial of the protocol on terrestrial, subterranean, freshwater and marine ecosystems from around the world shows that its concepts are workable and its outcomes are robust, that required data are available, and that results are consistent with assessments carried out by local experts and authorities. The new protocol provides a consistent, practical and theoretically grounded framework for establishing a systematic Red List of the world’s ecosystems. This will complement the Red List of species and strengthen global capacity to report on and monitor the status of biodiversity","author":[{"dropping-particle":"","family":"Keith","given":"David A.","non-dropping-particle":"","parse-names":false,"suffix":""},{"dropping-particle":"","family":"Rodríguez","given":"Jon Paul","non-dropping-particle":"","parse-names":false,"suffix":""},{"dropping-particle":"","family":"Rodríguez-Clark","given":"Kathryn M.","non-dropping-particle":"","parse-names":false,"suffix":""},{"dropping-particle":"","family":"Nicholson","given":"Emily","non-dropping-particle":"","parse-names":false,"suffix":""},{"dropping-particle":"","family":"Aapala","given":"Kaisu","non-dropping-particle":"","parse-names":false,"suffix":""},{"dropping-particle":"","family":"Alonso","given":"Alfonso","non-dropping-particle":"","parse-names":false,"suffix":""},{"dropping-particle":"","family":"Asmussen","given":"Marianne","non-dropping-particle":"","parse-names":false,"suffix":""},{"dropping-particle":"","family":"Bachman","given":"Steven","non-dropping-particle":"","parse-names":false,"suffix":""},{"dropping-particle":"","family":"Basset","given":"Alberto","non-dropping-particle":"","parse-names":false,"suffix":""},{"dropping-particle":"","family":"Barrow","given":"Edmund G.","non-dropping-particle":"","parse-names":false,"suffix":""},{"dropping-particle":"","family":"Benson","given":"John S.","non-dropping-particle":"","parse-names":false,"suffix":""},{"dropping-particle":"","family":"Bishop","given":"Melanie J.","non-dropping-particle":"","parse-names":false,"suffix":""},{"dropping-particle":"","family":"Bonifacio","given":"Ronald","non-dropping-particle":"","parse-names":false,"suffix":""},{"dropping-particle":"","family":"Brooks","given":"Thomas M.","non-dropping-particle":"","parse-names":false,"suffix":""},{"dropping-particle":"","family":"Burgman","given":"Mark A.","non-dropping-particle":"","parse-names":false,"suffix":""},{"dropping-particle":"","family":"Comer","given":"Patrick","non-dropping-particle":"","parse-names":false,"suffix":""},{"dropping-particle":"","family":"Comín","given":"Francisco A.","non-dropping-particle":"","parse-names":false,"suffix":""},{"dropping-particle":"","family":"Essl","given":"Franz","non-dropping-particle":"","parse-names":false,"suffix":""},{"dropping-particle":"","family":"Faber-Langendoen","given":"Don","non-dropping-particle":"","parse-names":false,"suffix":""},{"dropping-particle":"","family":"Fairweather","given":"Peter G.","non-dropping-particle":"","parse-names":false,"suffix":""},{"dropping-particle":"","family":"Holdaway","given":"Robert J.","non-dropping-particle":"","parse-names":false,"suffix":""},{"dropping-particle":"","family":"Jennings","given":"Michael","non-dropping-particle":"","parse-names":false,"suffix":""},{"dropping-particle":"","family":"Kingsford","given":"Richard T.","non-dropping-particle":"","parse-names":false,"suffix":""},{"dropping-particle":"","family":"Lester","given":"Rebecca E.","non-dropping-particle":"","parse-names":false,"suffix":""},{"dropping-particle":"Mac","family":"Nally","given":"Ralph","non-dropping-particle":"","parse-names":false,"suffix":""},{"dropping-particle":"","family":"McCarthy","given":"Michael A.","non-dropping-particle":"","parse-names":false,"suffix":""},{"dropping-particle":"","family":"Moat","given":"Justin","non-dropping-particle":"","parse-names":false,"suffix":""},{"dropping-particle":"","family":"Oliveira-Miranda","given":"María A.","non-dropping-particle":"","parse-names":false,"suffix":""},{"dropping-particle":"","family":"Pisanu","given":"Phil","non-dropping-particle":"","parse-names":false,"suffix":""},{"dropping-particle":"","family":"Poulin","given":"Brigitte","non-dropping-particle":"","parse-names":false,"suffix":""},{"dropping-particle":"","family":"Regan","given":"Tracey J.","non-dropping-particle":"","parse-names":false,"suffix":""},{"dropping-particle":"","family":"Riecken","given":"Uwe","non-dropping-particle":"","parse-names":false,"suffix":""},{"dropping-particle":"","family":"Spalding","given":"Mark D.","non-dropping-particle":"","parse-names":false,"suffix":""},{"dropping-particle":"","family":"Zambrano-Martínez","given":"Sergio","non-dropping-particle":"","parse-names":false,"suffix":""}],"container-title":"PLoS ONE","editor":[{"dropping-particle":"","family":"Convertino","given":"Matteo","non-dropping-particle":"","parse-names":false,"suffix":""}],"id":"ITEM-1","issue":"5","issued":{"date-parts":[["2013","5","8"]]},"page":"e62111","publisher":"Public Library of Science","title":"Scientific Foundations for an IUCN Red List of Ecosystems","type":"article-journal","volume":"8"},"uris":["http://www.mendeley.com/documents/?uuid=147694ed-97cb-3c90-b1cd-18cf607ba15f"]}],"mendeley":{"formattedCitation":"(Keith et al. 2013)","manualFormatting":"Keith et al. 2013","plainTextFormattedCitation":"(Keith et al. 2013)","previouslyFormattedCitation":"(Keith et al. 2013)"},"properties":{"noteIndex":0},"schema":"https://github.com/citation-style-language/schema/raw/master/csl-citation.json"}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Keith et al. 2013</w:t>
            </w:r>
            <w:r w:rsidRPr="008A1856">
              <w:rPr>
                <w:rFonts w:ascii="Times New Roman" w:eastAsia="Times New Roman" w:hAnsi="Times New Roman" w:cs="Times New Roman"/>
                <w:color w:val="000000"/>
              </w:rPr>
              <w:fldChar w:fldCharType="end"/>
            </w:r>
          </w:p>
        </w:tc>
      </w:tr>
      <w:tr w:rsidR="00B25C8E" w:rsidRPr="008A1856" w14:paraId="53109C25" w14:textId="77777777" w:rsidTr="00B25C8E">
        <w:trPr>
          <w:gridAfter w:val="1"/>
          <w:wAfter w:w="20" w:type="dxa"/>
          <w:trHeight w:val="579"/>
        </w:trPr>
        <w:tc>
          <w:tcPr>
            <w:tcW w:w="4962" w:type="dxa"/>
            <w:shd w:val="clear" w:color="auto" w:fill="auto"/>
            <w:tcMar>
              <w:top w:w="0" w:type="dxa"/>
              <w:left w:w="45" w:type="dxa"/>
              <w:bottom w:w="0" w:type="dxa"/>
              <w:right w:w="45" w:type="dxa"/>
            </w:tcMar>
            <w:hideMark/>
          </w:tcPr>
          <w:p w14:paraId="3EAF9C8E" w14:textId="77777777" w:rsidR="00B25C8E" w:rsidRPr="00D31378" w:rsidRDefault="00B25C8E" w:rsidP="005E5C8A">
            <w:pPr>
              <w:spacing w:after="0" w:line="240" w:lineRule="auto"/>
              <w:rPr>
                <w:rFonts w:ascii="Times New Roman" w:eastAsia="Times New Roman" w:hAnsi="Times New Roman" w:cs="Times New Roman"/>
                <w:color w:val="000000"/>
              </w:rPr>
            </w:pPr>
            <w:proofErr w:type="spellStart"/>
            <w:r w:rsidRPr="00D31378">
              <w:rPr>
                <w:rFonts w:ascii="Times New Roman" w:eastAsia="Times New Roman" w:hAnsi="Times New Roman" w:cs="Times New Roman"/>
                <w:color w:val="000000"/>
              </w:rPr>
              <w:t>Meso</w:t>
            </w:r>
            <w:proofErr w:type="spellEnd"/>
            <w:r w:rsidRPr="00D31378">
              <w:rPr>
                <w:rFonts w:ascii="Times New Roman" w:eastAsia="Times New Roman" w:hAnsi="Times New Roman" w:cs="Times New Roman"/>
                <w:color w:val="000000"/>
              </w:rPr>
              <w:t>-American Reef</w:t>
            </w:r>
          </w:p>
        </w:tc>
        <w:tc>
          <w:tcPr>
            <w:tcW w:w="2693" w:type="dxa"/>
            <w:shd w:val="clear" w:color="auto" w:fill="auto"/>
            <w:tcMar>
              <w:top w:w="0" w:type="dxa"/>
              <w:left w:w="45" w:type="dxa"/>
              <w:bottom w:w="0" w:type="dxa"/>
              <w:right w:w="45" w:type="dxa"/>
            </w:tcMar>
            <w:hideMark/>
          </w:tcPr>
          <w:p w14:paraId="7215D48A" w14:textId="77777777" w:rsidR="00B25C8E" w:rsidRPr="00D31378" w:rsidRDefault="00B25C8E" w:rsidP="005E5C8A">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t>Mexico, Belize, Guatemala, and Honduras</w:t>
            </w:r>
          </w:p>
        </w:tc>
        <w:tc>
          <w:tcPr>
            <w:tcW w:w="1984" w:type="dxa"/>
            <w:gridSpan w:val="2"/>
            <w:shd w:val="clear" w:color="auto" w:fill="auto"/>
          </w:tcPr>
          <w:p w14:paraId="4A87B3FC" w14:textId="261FA453"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005E5C8A">
              <w:rPr>
                <w:rFonts w:ascii="Times New Roman" w:eastAsia="Times New Roman" w:hAnsi="Times New Roman" w:cs="Times New Roman"/>
                <w:color w:val="000000"/>
              </w:rPr>
              <w:instrText>ADDIN CSL_CITATION {"citationItems":[{"id":"ITEM-1","itemData":{"DOI":"10.1098/rspb.2017.0660","ISSN":"1471-2954","PMID":"28931744","abstract":"Effective ecosystem risk assessment relies on a conceptual understanding of ecosystem dynamics and the synthesis of multiple lines of evidence. Risk assessment protocols and ecosystem models integrate limited observational data with threat scenarios, making them valuable tools for monitoring ecosystem status and diagnosing key mechanisms of decline to be addressed by management. We applied the IUCN Red List of Ecosystems criteria to quantify the risk of collapse of the Meso-American Reef, a unique ecosystem containing the second longest barrier reef in the world. We collated a wide array of empirical data (field and remotely sensed), and used a stochastic ecosystem model to backcast past ecosystem dynamics, as well as forecast future ecosystem dynamics under 11 scenarios of threat. The ecosystem is at high risk from mass bleaching in the coming decades, with compounding effects of ocean acidification, hurricanes, pollution and fishing. The overall status of the ecosystem is Critically Endangered (plausibly Vulnerable to Critically Endangered), with notable differences among Red List criteria and data types in detecting the most severe symptoms of risk. Our case study provides a template for assessing risks to coral reefs and for further application of ecosystem models in risk assessment.","author":[{"dropping-particle":"","family":"Bland","given":"Lucie M","non-dropping-particle":"","parse-names":false,"suffix":""},{"dropping-particle":"","family":"Regan","given":"Tracey J","non-dropping-particle":"","parse-names":false,"suffix":""},{"dropping-particle":"","family":"Dinh","given":"Minh Ngoc","non-dropping-particle":"","parse-names":false,"suffix":""},{"dropping-particle":"","family":"Ferrari","given":"Renata","non-dropping-particle":"","parse-names":false,"suffix":""},{"dropping-particle":"","family":"Keith","given":"David A","non-dropping-particle":"","parse-names":false,"suffix":""},{"dropping-particle":"","family":"Lester","given":"Rebecca","non-dropping-particle":"","parse-names":false,"suffix":""},{"dropping-particle":"","family":"Mouillot","given":"David","non-dropping-particle":"","parse-names":false,"suffix":""},{"dropping-particle":"","family":"Murray","given":"Nicholas J","non-dropping-particle":"","parse-names":false,"suffix":""},{"dropping-particle":"","family":"Nguyen","given":"Hoang Anh","non-dropping-particle":"","parse-names":false,"suffix":""},{"dropping-particle":"","family":"Nicholson","given":"Emily","non-dropping-particle":"","parse-names":false,"suffix":""}],"container-title":"Proceedings. Biological sciences","id":"ITEM-1","issue":"1863","issued":{"date-parts":[["2017","9","27"]]},"page":"20170660","publisher":"The Royal Society","title":"Using multiple lines of evidence to assess the risk of ecosystem collapse.","type":"article-journal","volume":"284"},"uris":["http://www.mendeley.com/documents/?uuid=e9c3dca5-2997-37d4-a485-8c84de9dbcd4"]}],"mendeley":{"formattedCitation":"(Bland et al. 2017)","manualFormatting":"Bland et al. 2017b","plainTextFormattedCitation":"(Bland et al. 2017)","previouslyFormattedCitation":"(Bland et al. 2017)"},"properties":{"noteIndex":0},"schema":"https://github.com/citation-style-language/schema/raw/master/csl-citation.json"}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Bland et al. 2017b</w:t>
            </w:r>
            <w:r w:rsidRPr="008A1856">
              <w:rPr>
                <w:rFonts w:ascii="Times New Roman" w:eastAsia="Times New Roman" w:hAnsi="Times New Roman" w:cs="Times New Roman"/>
                <w:color w:val="000000"/>
              </w:rPr>
              <w:fldChar w:fldCharType="end"/>
            </w:r>
          </w:p>
        </w:tc>
      </w:tr>
      <w:tr w:rsidR="00B25C8E" w:rsidRPr="008A1856" w14:paraId="4FD1CDEF" w14:textId="77777777" w:rsidTr="00B25C8E">
        <w:trPr>
          <w:gridAfter w:val="1"/>
          <w:wAfter w:w="20" w:type="dxa"/>
          <w:trHeight w:val="431"/>
        </w:trPr>
        <w:tc>
          <w:tcPr>
            <w:tcW w:w="4962" w:type="dxa"/>
            <w:shd w:val="clear" w:color="auto" w:fill="auto"/>
            <w:tcMar>
              <w:top w:w="0" w:type="dxa"/>
              <w:left w:w="45" w:type="dxa"/>
              <w:bottom w:w="0" w:type="dxa"/>
              <w:right w:w="45" w:type="dxa"/>
            </w:tcMar>
            <w:hideMark/>
          </w:tcPr>
          <w:p w14:paraId="3F4309DD"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Antarctic shallow invertebrate-dominated ecosystems</w:t>
            </w:r>
          </w:p>
        </w:tc>
        <w:tc>
          <w:tcPr>
            <w:tcW w:w="2693" w:type="dxa"/>
            <w:shd w:val="clear" w:color="auto" w:fill="auto"/>
            <w:tcMar>
              <w:top w:w="0" w:type="dxa"/>
              <w:left w:w="45" w:type="dxa"/>
              <w:bottom w:w="0" w:type="dxa"/>
              <w:right w:w="45" w:type="dxa"/>
            </w:tcMar>
            <w:hideMark/>
          </w:tcPr>
          <w:p w14:paraId="09DE35A3" w14:textId="77777777" w:rsidR="00B25C8E" w:rsidRPr="00D31378" w:rsidRDefault="00B25C8E" w:rsidP="005E5C8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Regional</w:t>
            </w:r>
          </w:p>
        </w:tc>
        <w:tc>
          <w:tcPr>
            <w:tcW w:w="1984" w:type="dxa"/>
            <w:gridSpan w:val="2"/>
            <w:shd w:val="clear" w:color="auto" w:fill="auto"/>
          </w:tcPr>
          <w:p w14:paraId="2CBC533B"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{"citationItems":[{"id":"ITEM-1","itemData":{"DOI":"10.1111/aec.12237","ISSN":"14429985","author":[{"dropping-particle":"","family":"Clark","given":"Graeme F.","non-dropping-particle":"","parse-names":false,"suffix":""},{"dropping-particle":"","family":"Raymond","given":"Ben","non-dropping-particle":"","parse-names":false,"suffix":""},{"dropping-particle":"","family":"Riddle","given":"Martin J.","non-dropping-particle":"","parse-names":false,"suffix":""},{"dropping-particle":"","family":"Stark","given":"Jonathan S.","non-dropping-particle":"","parse-names":false,"suffix":""},{"dropping-particle":"","family":"Johnston","given":"Emma L.","non-dropping-particle":"","parse-names":false,"suffix":""}],"container-title":"Austral Ecology","id":"ITEM-1","issue":"4","issued":{"date-parts":[["2015","6","1"]]},"page":"482-491","publisher":"Wiley/Blackwell (10.1111)","title":"Vulnerability of Antarctic shallow invertebrate-dominated ecosystems","type":"article-journal","volume":"40"},"uris":["http://www.mendeley.com/documents/?uuid=19c54c5d-5fe7-33c8-bdce-8c1bd05d4bf9"]}],"mendeley":{"formattedCitation":"(Clark et al. 2015)","manualFormatting":"Clark et al. 2015","plainTextFormattedCitation":"(Clark et al. 2015)","previouslyFormattedCitation":"(Clark et al. 2015)"},"properties":{"noteIndex":0},"schema":"https://github.com/citation-style-language/schema/raw/master/csl-citation.json"}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Clark et al. 2015</w:t>
            </w:r>
            <w:r w:rsidRPr="008A1856">
              <w:rPr>
                <w:rFonts w:ascii="Times New Roman" w:eastAsia="Times New Roman" w:hAnsi="Times New Roman" w:cs="Times New Roman"/>
                <w:color w:val="000000"/>
              </w:rPr>
              <w:fldChar w:fldCharType="end"/>
            </w:r>
          </w:p>
        </w:tc>
      </w:tr>
      <w:tr w:rsidR="00B25C8E" w:rsidRPr="008A1856" w14:paraId="61B5F0EC" w14:textId="77777777" w:rsidTr="00B25C8E">
        <w:trPr>
          <w:gridAfter w:val="1"/>
          <w:wAfter w:w="20" w:type="dxa"/>
          <w:trHeight w:val="567"/>
        </w:trPr>
        <w:tc>
          <w:tcPr>
            <w:tcW w:w="4962" w:type="dxa"/>
            <w:shd w:val="clear" w:color="auto" w:fill="auto"/>
            <w:tcMar>
              <w:top w:w="0" w:type="dxa"/>
              <w:left w:w="45" w:type="dxa"/>
              <w:bottom w:w="0" w:type="dxa"/>
              <w:right w:w="45" w:type="dxa"/>
            </w:tcMar>
            <w:hideMark/>
          </w:tcPr>
          <w:p w14:paraId="3ED618F3"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Tidal flats of the Yellow Sea</w:t>
            </w:r>
          </w:p>
        </w:tc>
        <w:tc>
          <w:tcPr>
            <w:tcW w:w="2693" w:type="dxa"/>
            <w:shd w:val="clear" w:color="auto" w:fill="auto"/>
            <w:tcMar>
              <w:top w:w="0" w:type="dxa"/>
              <w:left w:w="45" w:type="dxa"/>
              <w:bottom w:w="0" w:type="dxa"/>
              <w:right w:w="45" w:type="dxa"/>
            </w:tcMar>
            <w:hideMark/>
          </w:tcPr>
          <w:p w14:paraId="3687F4ED"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China, North Korea</w:t>
            </w:r>
            <w:r>
              <w:rPr>
                <w:rFonts w:ascii="Times New Roman" w:eastAsia="Times New Roman" w:hAnsi="Times New Roman" w:cs="Times New Roman"/>
                <w:color w:val="000000"/>
              </w:rPr>
              <w:t>,</w:t>
            </w:r>
            <w:r w:rsidRPr="00D31378">
              <w:rPr>
                <w:rFonts w:ascii="Times New Roman" w:eastAsia="Times New Roman" w:hAnsi="Times New Roman" w:cs="Times New Roman"/>
                <w:color w:val="000000"/>
              </w:rPr>
              <w:t xml:space="preserve"> and South Korea</w:t>
            </w:r>
          </w:p>
        </w:tc>
        <w:tc>
          <w:tcPr>
            <w:tcW w:w="1984" w:type="dxa"/>
            <w:gridSpan w:val="2"/>
            <w:shd w:val="clear" w:color="auto" w:fill="auto"/>
          </w:tcPr>
          <w:p w14:paraId="18CBE8FD"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{"citationItems":[{"id":"ITEM-1","itemData":{"DOI":"10.1111/aec.12211","ISSN":"14429985","author":[{"dropping-particle":"","family":"Murray","given":"Nicholas J.","non-dropping-particle":"","parse-names":false,"suffix":""},{"dropping-particle":"","family":"Ma","given":"Zhijun","non-dropping-particle":"","parse-names":false,"suffix":""},{"dropping-particle":"","family":"Fuller","given":"Richard A.","non-dropping-particle":"","parse-names":false,"suffix":""}],"container-title":"Austral Ecology","id":"ITEM-1","issue":"4","issued":{"date-parts":[["2015","6","1"]]},"page":"472-481","publisher":"Wiley/Blackwell (10.1111)","title":"Tidal flats of the Yellow Sea: A review of ecosystem status and anthropogenic threats","type":"article-journal","volume":"40"},"uris":["http://www.mendeley.com/documents/?uuid=5fd8cf46-63d6-3ef3-8227-2db6145e003f"]}],"mendeley":{"formattedCitation":"(Murray et al. 2015)","manualFormatting":"Murray et al. 2015","plainTextFormattedCitation":"(Murray et al. 2015)","previouslyFormattedCitation":"(Murray et al. 2015)"},"properties":{"noteIndex":0},"schema":"https://github.com/citation-style-language/schema/raw/master/csl-citation.json"}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Murray et al. 2015</w:t>
            </w:r>
            <w:r w:rsidRPr="008A1856">
              <w:rPr>
                <w:rFonts w:ascii="Times New Roman" w:eastAsia="Times New Roman" w:hAnsi="Times New Roman" w:cs="Times New Roman"/>
                <w:color w:val="000000"/>
              </w:rPr>
              <w:fldChar w:fldCharType="end"/>
            </w:r>
          </w:p>
        </w:tc>
      </w:tr>
      <w:tr w:rsidR="00B25C8E" w:rsidRPr="008A1856" w14:paraId="37C0F859" w14:textId="77777777" w:rsidTr="00B25C8E">
        <w:trPr>
          <w:gridAfter w:val="1"/>
          <w:wAfter w:w="20" w:type="dxa"/>
          <w:trHeight w:val="419"/>
        </w:trPr>
        <w:tc>
          <w:tcPr>
            <w:tcW w:w="4962" w:type="dxa"/>
            <w:shd w:val="clear" w:color="auto" w:fill="auto"/>
            <w:tcMar>
              <w:top w:w="0" w:type="dxa"/>
              <w:left w:w="45" w:type="dxa"/>
              <w:bottom w:w="0" w:type="dxa"/>
              <w:right w:w="45" w:type="dxa"/>
            </w:tcMar>
            <w:hideMark/>
          </w:tcPr>
          <w:p w14:paraId="1BE884B9"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 xml:space="preserve">European </w:t>
            </w:r>
            <w:proofErr w:type="spellStart"/>
            <w:r w:rsidRPr="00D31378">
              <w:rPr>
                <w:rFonts w:ascii="Times New Roman" w:eastAsia="Times New Roman" w:hAnsi="Times New Roman" w:cs="Times New Roman"/>
                <w:color w:val="000000"/>
              </w:rPr>
              <w:t>reedbeds</w:t>
            </w:r>
            <w:proofErr w:type="spellEnd"/>
          </w:p>
        </w:tc>
        <w:tc>
          <w:tcPr>
            <w:tcW w:w="2693" w:type="dxa"/>
            <w:shd w:val="clear" w:color="auto" w:fill="auto"/>
            <w:tcMar>
              <w:top w:w="0" w:type="dxa"/>
              <w:left w:w="45" w:type="dxa"/>
              <w:bottom w:w="0" w:type="dxa"/>
              <w:right w:w="45" w:type="dxa"/>
            </w:tcMar>
            <w:hideMark/>
          </w:tcPr>
          <w:p w14:paraId="423871C4" w14:textId="77777777" w:rsidR="00B25C8E" w:rsidRPr="00D31378" w:rsidRDefault="00B25C8E" w:rsidP="005E5C8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Regional (Europe)</w:t>
            </w:r>
          </w:p>
        </w:tc>
        <w:tc>
          <w:tcPr>
            <w:tcW w:w="1984" w:type="dxa"/>
            <w:gridSpan w:val="2"/>
            <w:shd w:val="clear" w:color="auto" w:fill="auto"/>
          </w:tcPr>
          <w:p w14:paraId="0A714DC3"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{"citationItems":[{"id":"ITEM-1","itemData":{"DOI":"10.1371/journal.pone.0062111","ISSN":"1932-6203","abstract":"An understanding of risks to biodiversity is needed for planning action to slow current rates of decline and secure ecosystem services for future human use. Although the IUCN Red List criteria provide an effective assessment protocol for species, a standard global assessment of risks to higher levels of biodiversity is currently limited. In 2008, IUCN initiated development of risk assessment criteria to support a global Red List of ecosystems. We present a new conceptual model for ecosystem risk assessment founded on a synthesis of relevant ecological theories. To support the model, we review key elements of ecosystem definition and introduce the concept of ecosystem collapse, an analogue of species extinction. The model identifies four distributional and functional symptoms of ecosystem risk as a basis for assessment criteria: A) rates of decline in ecosystem distribution; B) restricted distributions with continuing declines or threats; C) rates of environmental (abiotic) degradation; and D) rates of disruption to biotic processes. A fifth criterion, E) quantitative estimates of the risk of ecosystem collapse, enables integrated assessment of multiple processes and provides a conceptual anchor for the other criteria. We present the theoretical rationale for the construction and interpretation of each criterion. The assessment protocol and threat categories mirror those of the IUCN Red List of species. A trial of the protocol on terrestrial, subterranean, freshwater and marine ecosystems from around the world shows that its concepts are workable and its outcomes are robust, that required data are available, and that results are consistent with assessments carried out by local experts and authorities. The new protocol provides a consistent, practical and theoretically grounded framework for establishing a systematic Red List of the world’s ecosystems. This will complement the Red List of species and strengthen global capacity to report on and monitor the status of biodiversity","author":[{"dropping-particle":"","family":"Keith","given":"David A.","non-dropping-particle":"","parse-names":false,"suffix":""},{"dropping-particle":"","family":"Rodríguez","given":"Jon Paul","non-dropping-particle":"","parse-names":false,"suffix":""},{"dropping-particle":"","family":"Rodríguez-Clark","given":"Kathryn M.","non-dropping-particle":"","parse-names":false,"suffix":""},{"dropping-particle":"","family":"Nicholson","given":"Emily","non-dropping-particle":"","parse-names":false,"suffix":""},{"dropping-particle":"","family":"Aapala","given":"Kaisu","non-dropping-particle":"","parse-names":false,"suffix":""},{"dropping-particle":"","family":"Alonso","given":"Alfonso","non-dropping-particle":"","parse-names":false,"suffix":""},{"dropping-particle":"","family":"Asmussen","given":"Marianne","non-dropping-particle":"","parse-names":false,"suffix":""},{"dropping-particle":"","family":"Bachman","given":"Steven","non-dropping-particle":"","parse-names":false,"suffix":""},{"dropping-particle":"","family":"Basset","given":"Alberto","non-dropping-particle":"","parse-names":false,"suffix":""},{"dropping-particle":"","family":"Barrow","given":"Edmund G.","non-dropping-particle":"","parse-names":false,"suffix":""},{"dropping-particle":"","family":"Benson","given":"John S.","non-dropping-particle":"","parse-names":false,"suffix":""},{"dropping-particle":"","family":"Bishop","given":"Melanie J.","non-dropping-particle":"","parse-names":false,"suffix":""},{"dropping-particle":"","family":"Bonifacio","given":"Ronald","non-dropping-particle":"","parse-names":false,"suffix":""},{"dropping-particle":"","family":"Brooks","given":"Thomas M.","non-dropping-particle":"","parse-names":false,"suffix":""},{"dropping-particle":"","family":"Burgman","given":"Mark A.","non-dropping-particle":"","parse-names":false,"suffix":""},{"dropping-particle":"","family":"Comer","given":"Patrick","non-dropping-particle":"","parse-names":false,"suffix":""},{"dropping-particle":"","family":"Comín","given":"Francisco A.","non-dropping-particle":"","parse-names":false,"suffix":""},{"dropping-particle":"","family":"Essl","given":"Franz","non-dropping-particle":"","parse-names":false,"suffix":""},{"dropping-particle":"","family":"Faber-Langendoen","given":"Don","non-dropping-particle":"","parse-names":false,"suffix":""},{"dropping-particle":"","family":"Fairweather","given":"Peter G.","non-dropping-particle":"","parse-names":false,"suffix":""},{"dropping-particle":"","family":"Holdaway","given":"Robert J.","non-dropping-particle":"","parse-names":false,"suffix":""},{"dropping-particle":"","family":"Jennings","given":"Michael","non-dropping-particle":"","parse-names":false,"suffix":""},{"dropping-particle":"","family":"Kingsford","given":"Richard T.","non-dropping-particle":"","parse-names":false,"suffix":""},{"dropping-particle":"","family":"Lester","given":"Rebecca E.","non-dropping-particle":"","parse-names":false,"suffix":""},{"dropping-particle":"Mac","family":"Nally","given":"Ralph","non-dropping-particle":"","parse-names":false,"suffix":""},{"dropping-particle":"","family":"McCarthy","given":"Michael A.","non-dropping-particle":"","parse-names":false,"suffix":""},{"dropping-particle":"","family":"Moat","given":"Justin","non-dropping-particle":"","parse-names":false,"suffix":""},{"dropping-particle":"","family":"Oliveira-Miranda","given":"María A.","non-dropping-particle":"","parse-names":false,"suffix":""},{"dropping-particle":"","family":"Pisanu","given":"Phil","non-dropping-particle":"","parse-names":false,"suffix":""},{"dropping-particle":"","family":"Poulin","given":"Brigitte","non-dropping-particle":"","parse-names":false,"suffix":""},{"dropping-particle":"","family":"Regan","given":"Tracey J.","non-dropping-particle":"","parse-names":false,"suffix":""},{"dropping-particle":"","family":"Riecken","given":"Uwe","non-dropping-particle":"","parse-names":false,"suffix":""},{"dropping-particle":"","family":"Spalding","given":"Mark D.","non-dropping-particle":"","parse-names":false,"suffix":""},{"dropping-particle":"","family":"Zambrano-Martínez","given":"Sergio","non-dropping-particle":"","parse-names":false,"suffix":""}],"container-title":"PLoS ONE","editor":[{"dropping-particle":"","family":"Convertino","given":"Matteo","non-dropping-particle":"","parse-names":false,"suffix":""}],"id":"ITEM-1","issue":"5","issued":{"date-parts":[["2013","5","8"]]},"page":"e62111","publisher":"Public Library of Science","title":"Scientific Foundations for an IUCN Red List of Ecosystems","type":"article-journal","volume":"8"},"uris":["http://www.mendeley.com/documents/?uuid=147694ed-97cb-3c90-b1cd-18cf607ba15f"]}],"mendeley":{"formattedCitation":"(Keith et al. 2013)","manualFormatting":"Keith et al. 2013","plainTextFormattedCitation":"(Keith et al. 2013)","previouslyFormattedCitation":"(Keith et al. 2013)"},"properties":{"noteIndex":0},"schema":"https://github.com/citation-style-language/schema/raw/master/csl-citation.json"}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Keith et al. 2013</w:t>
            </w:r>
            <w:r w:rsidRPr="008A1856">
              <w:rPr>
                <w:rFonts w:ascii="Times New Roman" w:eastAsia="Times New Roman" w:hAnsi="Times New Roman" w:cs="Times New Roman"/>
                <w:color w:val="000000"/>
              </w:rPr>
              <w:fldChar w:fldCharType="end"/>
            </w:r>
          </w:p>
        </w:tc>
      </w:tr>
      <w:tr w:rsidR="00B25C8E" w:rsidRPr="008A1856" w14:paraId="3F48D80E" w14:textId="77777777" w:rsidTr="00B25C8E">
        <w:trPr>
          <w:gridAfter w:val="1"/>
          <w:wAfter w:w="20" w:type="dxa"/>
          <w:trHeight w:val="424"/>
        </w:trPr>
        <w:tc>
          <w:tcPr>
            <w:tcW w:w="4962" w:type="dxa"/>
            <w:shd w:val="clear" w:color="auto" w:fill="auto"/>
            <w:tcMar>
              <w:top w:w="0" w:type="dxa"/>
              <w:left w:w="45" w:type="dxa"/>
              <w:bottom w:w="0" w:type="dxa"/>
              <w:right w:w="45" w:type="dxa"/>
            </w:tcMar>
            <w:hideMark/>
          </w:tcPr>
          <w:p w14:paraId="01044541"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Intertidal mudflats of the French Atlantic coast</w:t>
            </w:r>
          </w:p>
        </w:tc>
        <w:tc>
          <w:tcPr>
            <w:tcW w:w="2693" w:type="dxa"/>
            <w:shd w:val="clear" w:color="auto" w:fill="auto"/>
            <w:tcMar>
              <w:top w:w="0" w:type="dxa"/>
              <w:left w:w="45" w:type="dxa"/>
              <w:bottom w:w="0" w:type="dxa"/>
              <w:right w:w="45" w:type="dxa"/>
            </w:tcMar>
            <w:hideMark/>
          </w:tcPr>
          <w:p w14:paraId="1BE176B4"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France</w:t>
            </w:r>
          </w:p>
        </w:tc>
        <w:tc>
          <w:tcPr>
            <w:tcW w:w="1984" w:type="dxa"/>
            <w:gridSpan w:val="2"/>
            <w:shd w:val="clear" w:color="auto" w:fill="auto"/>
          </w:tcPr>
          <w:p w14:paraId="339391B0"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author":[{"dropping-particle":"","family":"Carré","given":"A.","non-dropping-particle":"","parse-names":false,"suffix":""},{"dropping-particle":"","family":"Poulin","given":"B.","non-dropping-particle":"","parse-names":false,"suffix":""},{"dropping-particle":"","family":"Peguin","given":"M.","non-dropping-particle":"","parse-names":false,"suffix":""}],"id":"ITEM-1","issued":{"date-parts":[["2012"]]},"title":"Liste Rouge des Écosystèmes de l’UICN. Exercice d’application sur quelques écosystèmes de Zones Humides de France métropolitaine.","type":"report"},"uris":["http://www.mendeley.com/documents/?uuid=04c04975-5656-499a-acb8-fa929166f75a"]}],"mendeley":{"formattedCitation":"(Carré et al. 2012)","manualFormatting":"Carré et al. 2012","plainTextFormattedCitation":"(Carré et al. 2012)","previouslyFormattedCitation":"(Carré et al. 2012)"},"properties":{"noteIndex":0},"schema":"https://github.com/citation-style-language/schema/raw/master/csl-citation.json"}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Carré et al. 2012</w:t>
            </w:r>
            <w:r w:rsidRPr="008A1856">
              <w:rPr>
                <w:rFonts w:ascii="Times New Roman" w:eastAsia="Times New Roman" w:hAnsi="Times New Roman" w:cs="Times New Roman"/>
                <w:color w:val="000000"/>
              </w:rPr>
              <w:fldChar w:fldCharType="end"/>
            </w:r>
          </w:p>
        </w:tc>
      </w:tr>
      <w:tr w:rsidR="00B25C8E" w:rsidRPr="008A1856" w14:paraId="367A4336" w14:textId="77777777" w:rsidTr="00B25C8E">
        <w:trPr>
          <w:gridAfter w:val="1"/>
          <w:wAfter w:w="20" w:type="dxa"/>
          <w:trHeight w:val="572"/>
        </w:trPr>
        <w:tc>
          <w:tcPr>
            <w:tcW w:w="4962" w:type="dxa"/>
            <w:shd w:val="clear" w:color="auto" w:fill="auto"/>
            <w:tcMar>
              <w:top w:w="0" w:type="dxa"/>
              <w:left w:w="45" w:type="dxa"/>
              <w:bottom w:w="0" w:type="dxa"/>
              <w:right w:w="45" w:type="dxa"/>
            </w:tcMar>
            <w:hideMark/>
          </w:tcPr>
          <w:p w14:paraId="68955B60"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Coorong lagoons and</w:t>
            </w:r>
            <w:r>
              <w:rPr>
                <w:rFonts w:ascii="Times New Roman" w:eastAsia="Times New Roman" w:hAnsi="Times New Roman" w:cs="Times New Roman"/>
                <w:color w:val="000000"/>
              </w:rPr>
              <w:t xml:space="preserve"> Murray Mouth inverse estuary, S</w:t>
            </w:r>
            <w:r w:rsidRPr="00D31378">
              <w:rPr>
                <w:rFonts w:ascii="Times New Roman" w:eastAsia="Times New Roman" w:hAnsi="Times New Roman" w:cs="Times New Roman"/>
                <w:color w:val="000000"/>
              </w:rPr>
              <w:t>outh Australia</w:t>
            </w:r>
          </w:p>
        </w:tc>
        <w:tc>
          <w:tcPr>
            <w:tcW w:w="2693" w:type="dxa"/>
            <w:shd w:val="clear" w:color="auto" w:fill="auto"/>
            <w:tcMar>
              <w:top w:w="0" w:type="dxa"/>
              <w:left w:w="45" w:type="dxa"/>
              <w:bottom w:w="0" w:type="dxa"/>
              <w:right w:w="45" w:type="dxa"/>
            </w:tcMar>
            <w:hideMark/>
          </w:tcPr>
          <w:p w14:paraId="44DF6291"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Australia</w:t>
            </w:r>
          </w:p>
        </w:tc>
        <w:tc>
          <w:tcPr>
            <w:tcW w:w="1984" w:type="dxa"/>
            <w:gridSpan w:val="2"/>
            <w:shd w:val="clear" w:color="auto" w:fill="auto"/>
          </w:tcPr>
          <w:p w14:paraId="48D535B5"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{"citationItems":[{"id":"ITEM-1","itemData":{"DOI":"10.1371/journal.pone.0062111","ISSN":"1932-6203","abstract":"An understanding of risks to biodiversity is needed for planning action to slow current rates of decline and secure ecosystem services for future human use. Although the IUCN Red List criteria provide an effective assessment protocol for species, a standard global assessment of risks to higher levels of biodiversity is currently limited. In 2008, IUCN initiated development of risk assessment criteria to support a global Red List of ecosystems. We present a new conceptual model for ecosystem risk assessment founded on a synthesis of relevant ecological theories. To support the model, we review key elements of ecosystem definition and introduce the concept of ecosystem collapse, an analogue of species extinction. The model identifies four distributional and functional symptoms of ecosystem risk as a basis for assessment criteria: A) rates of decline in ecosystem distribution; B) restricted distributions with continuing declines or threats; C) rates of environmental (abiotic) degradation; and D) rates of disruption to biotic processes. A fifth criterion, E) quantitative estimates of the risk of ecosystem collapse, enables integrated assessment of multiple processes and provides a conceptual anchor for the other criteria. We present the theoretical rationale for the construction and interpretation of each criterion. The assessment protocol and threat categories mirror those of the IUCN Red List of species. A trial of the protocol on terrestrial, subterranean, freshwater and marine ecosystems from around the world shows that its concepts are workable and its outcomes are robust, that required data are available, and that results are consistent with assessments carried out by local experts and authorities. The new protocol provides a consistent, practical and theoretically grounded framework for establishing a systematic Red List of the world’s ecosystems. This will complement the Red List of species and strengthen global capacity to report on and monitor the status of biodiversity","author":[{"dropping-particle":"","family":"Keith","given":"David A.","non-dropping-particle":"","parse-names":false,"suffix":""},{"dropping-particle":"","family":"Rodríguez","given":"Jon Paul","non-dropping-particle":"","parse-names":false,"suffix":""},{"dropping-particle":"","family":"Rodríguez-Clark","given":"Kathryn M.","non-dropping-particle":"","parse-names":false,"suffix":""},{"dropping-particle":"","family":"Nicholson","given":"Emily","non-dropping-particle":"","parse-names":false,"suffix":""},{"dropping-particle":"","family":"Aapala","given":"Kaisu","non-dropping-particle":"","parse-names":false,"suffix":""},{"dropping-particle":"","family":"Alonso","given":"Alfonso","non-dropping-particle":"","parse-names":false,"suffix":""},{"dropping-particle":"","family":"Asmussen","given":"Marianne","non-dropping-particle":"","parse-names":false,"suffix":""},{"dropping-particle":"","family":"Bachman","given":"Steven","non-dropping-particle":"","parse-names":false,"suffix":""},{"dropping-particle":"","family":"Basset","given":"Alberto","non-dropping-particle":"","parse-names":false,"suffix":""},{"dropping-particle":"","family":"Barrow","given":"Edmund G.","non-dropping-particle":"","parse-names":false,"suffix":""},{"dropping-particle":"","family":"Benson","given":"John S.","non-dropping-particle":"","parse-names":false,"suffix":""},{"dropping-particle":"","family":"Bishop","given":"Melanie J.","non-dropping-particle":"","parse-names":false,"suffix":""},{"dropping-particle":"","family":"Bonifacio","given":"Ronald","non-dropping-particle":"","parse-names":false,"suffix":""},{"dropping-particle":"","family":"Brooks","given":"Thomas M.","non-dropping-particle":"","parse-names":false,"suffix":""},{"dropping-particle":"","family":"Burgman","given":"Mark A.","non-dropping-particle":"","parse-names":false,"suffix":""},{"dropping-particle":"","family":"Comer","given":"Patrick","non-dropping-particle":"","parse-names":false,"suffix":""},{"dropping-particle":"","family":"Comín","given":"Francisco A.","non-dropping-particle":"","parse-names":false,"suffix":""},{"dropping-particle":"","family":"Essl","given":"Franz","non-dropping-particle":"","parse-names":false,"suffix":""},{"dropping-particle":"","family":"Faber-Langendoen","given":"Don","non-dropping-particle":"","parse-names":false,"suffix":""},{"dropping-particle":"","family":"Fairweather","given":"Peter G.","non-dropping-particle":"","parse-names":false,"suffix":""},{"dropping-particle":"","family":"Holdaway","given":"Robert J.","non-dropping-particle":"","parse-names":false,"suffix":""},{"dropping-particle":"","family":"Jennings","given":"Michael","non-dropping-particle":"","parse-names":false,"suffix":""},{"dropping-particle":"","family":"Kingsford","given":"Richard T.","non-dropping-particle":"","parse-names":false,"suffix":""},{"dropping-particle":"","family":"Lester","given":"Rebecca E.","non-dropping-particle":"","parse-names":false,"suffix":""},{"dropping-particle":"Mac","family":"Nally","given":"Ralph","non-dropping-particle":"","parse-names":false,"suffix":""},{"dropping-particle":"","family":"McCarthy","given":"Michael A.","non-dropping-particle":"","parse-names":false,"suffix":""},{"dropping-particle":"","family":"Moat","given":"Justin","non-dropping-particle":"","parse-names":false,"suffix":""},{"dropping-particle":"","family":"Oliveira-Miranda","given":"María A.","non-dropping-particle":"","parse-names":false,"suffix":""},{"dropping-particle":"","family":"Pisanu","given":"Phil","non-dropping-particle":"","parse-names":false,"suffix":""},{"dropping-particle":"","family":"Poulin","given":"Brigitte","non-dropping-particle":"","parse-names":false,"suffix":""},{"dropping-particle":"","family":"Regan","given":"Tracey J.","non-dropping-particle":"","parse-names":false,"suffix":""},{"dropping-particle":"","family":"Riecken","given":"Uwe","non-dropping-particle":"","parse-names":false,"suffix":""},{"dropping-particle":"","family":"Spalding","given":"Mark D.","non-dropping-particle":"","parse-names":false,"suffix":""},{"dropping-particle":"","family":"Zambrano-Martínez","given":"Sergio","non-dropping-particle":"","parse-names":false,"suffix":""}],"container-title":"PLoS ONE","editor":[{"dropping-particle":"","family":"Convertino","given":"Matteo","non-dropping-particle":"","parse-names":false,"suffix":""}],"id":"ITEM-1","issue":"5","issued":{"date-parts":[["2013","5","8"]]},"page":"e62111","publisher":"Public Library of Science","title":"Scientific Foundations for an IUCN Red List of Ecosystems","type":"article-journal","volume":"8"},"uris":["http://www.mendeley.com/documents/?uuid=147694ed-97cb-3c90-b1cd-18cf607ba15f"]}],"mendeley":{"formattedCitation":"(Keith et al. 2013)","manualFormatting":"Keith et al. 2013","plainTextFormattedCitation":"(Keith et al. 2013)","previouslyFormattedCitation":"(Keith et al. 2013)"},"properties":{"noteIndex":0},"schema":"https://github.com/citation-style-language/schema/raw/master/csl-citation.json"}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Keith et al. 2013</w:t>
            </w:r>
            <w:r w:rsidRPr="008A1856">
              <w:rPr>
                <w:rFonts w:ascii="Times New Roman" w:eastAsia="Times New Roman" w:hAnsi="Times New Roman" w:cs="Times New Roman"/>
                <w:color w:val="000000"/>
              </w:rPr>
              <w:fldChar w:fldCharType="end"/>
            </w:r>
          </w:p>
        </w:tc>
      </w:tr>
      <w:tr w:rsidR="00B25C8E" w:rsidRPr="008A1856" w14:paraId="20F20C3A" w14:textId="77777777" w:rsidTr="00B25C8E">
        <w:trPr>
          <w:gridAfter w:val="1"/>
          <w:wAfter w:w="20" w:type="dxa"/>
          <w:trHeight w:val="425"/>
        </w:trPr>
        <w:tc>
          <w:tcPr>
            <w:tcW w:w="4962" w:type="dxa"/>
            <w:shd w:val="clear" w:color="auto" w:fill="auto"/>
            <w:tcMar>
              <w:top w:w="0" w:type="dxa"/>
              <w:left w:w="45" w:type="dxa"/>
              <w:bottom w:w="0" w:type="dxa"/>
              <w:right w:w="45" w:type="dxa"/>
            </w:tcMar>
            <w:hideMark/>
          </w:tcPr>
          <w:p w14:paraId="0B713C06" w14:textId="77777777" w:rsidR="00B25C8E" w:rsidRPr="00D31378" w:rsidRDefault="00B25C8E" w:rsidP="005E5C8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Seagrass community, S</w:t>
            </w:r>
            <w:r w:rsidRPr="00D31378">
              <w:rPr>
                <w:rFonts w:ascii="Times New Roman" w:eastAsia="Times New Roman" w:hAnsi="Times New Roman" w:cs="Times New Roman"/>
                <w:color w:val="000000"/>
              </w:rPr>
              <w:t>outh Australia</w:t>
            </w:r>
          </w:p>
        </w:tc>
        <w:tc>
          <w:tcPr>
            <w:tcW w:w="2693" w:type="dxa"/>
            <w:shd w:val="clear" w:color="auto" w:fill="auto"/>
            <w:tcMar>
              <w:top w:w="0" w:type="dxa"/>
              <w:left w:w="45" w:type="dxa"/>
              <w:bottom w:w="0" w:type="dxa"/>
              <w:right w:w="45" w:type="dxa"/>
            </w:tcMar>
            <w:hideMark/>
          </w:tcPr>
          <w:p w14:paraId="121857A6"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Australia</w:t>
            </w:r>
          </w:p>
        </w:tc>
        <w:tc>
          <w:tcPr>
            <w:tcW w:w="1984" w:type="dxa"/>
            <w:gridSpan w:val="2"/>
            <w:shd w:val="clear" w:color="auto" w:fill="auto"/>
          </w:tcPr>
          <w:p w14:paraId="4AE727E3"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{"citationItems":[{"id":"ITEM-1","itemData":{"DOI":"10.1371/journal.pone.0062111","ISSN":"1932-6203","abstract":"An understanding of risks to biodiversity is needed for planning action to slow current rates of decline and secure ecosystem services for future human use. Although the IUCN Red List criteria provide an effective assessment protocol for species, a standard global assessment of risks to higher levels of biodiversity is currently limited. In 2008, IUCN initiated development of risk assessment criteria to support a global Red List of ecosystems. We present a new conceptual model for ecosystem risk assessment founded on a synthesis of relevant ecological theories. To support the model, we review key elements of ecosystem definition and introduce the concept of ecosystem collapse, an analogue of species extinction. The model identifies four distributional and functional symptoms of ecosystem risk as a basis for assessment criteria: A) rates of decline in ecosystem distribution; B) restricted distributions with continuing declines or threats; C) rates of environmental (abiotic) degradation; and D) rates of disruption to biotic processes. A fifth criterion, E) quantitative estimates of the risk of ecosystem collapse, enables integrated assessment of multiple processes and provides a conceptual anchor for the other criteria. We present the theoretical rationale for the construction and interpretation of each criterion. The assessment protocol and threat categories mirror those of the IUCN Red List of species. A trial of the protocol on terrestrial, subterranean, freshwater and marine ecosystems from around the world shows that its concepts are workable and its outcomes are robust, that required data are available, and that results are consistent with assessments carried out by local experts and authorities. The new protocol provides a consistent, practical and theoretically grounded framework for establishing a systematic Red List of the world’s ecosystems. This will complement the Red List of species and strengthen global capacity to report on and monitor the status of biodiversity","author":[{"dropping-particle":"","family":"Keith","given":"David A.","non-dropping-particle":"","parse-names":false,"suffix":""},{"dropping-particle":"","family":"Rodríguez","given":"Jon Paul","non-dropping-particle":"","parse-names":false,"suffix":""},{"dropping-particle":"","family":"Rodríguez-Clark","given":"Kathryn M.","non-dropping-particle":"","parse-names":false,"suffix":""},{"dropping-particle":"","family":"Nicholson","given":"Emily","non-dropping-particle":"","parse-names":false,"suffix":""},{"dropping-particle":"","family":"Aapala","given":"Kaisu","non-dropping-particle":"","parse-names":false,"suffix":""},{"dropping-particle":"","family":"Alonso","given":"Alfonso","non-dropping-particle":"","parse-names":false,"suffix":""},{"dropping-particle":"","family":"Asmussen","given":"Marianne","non-dropping-particle":"","parse-names":false,"suffix":""},{"dropping-particle":"","family":"Bachman","given":"Steven","non-dropping-particle":"","parse-names":false,"suffix":""},{"dropping-particle":"","family":"Basset","given":"Alberto","non-dropping-particle":"","parse-names":false,"suffix":""},{"dropping-particle":"","family":"Barrow","given":"Edmund G.","non-dropping-particle":"","parse-names":false,"suffix":""},{"dropping-particle":"","family":"Benson","given":"John S.","non-dropping-particle":"","parse-names":false,"suffix":""},{"dropping-particle":"","family":"Bishop","given":"Melanie J.","non-dropping-particle":"","parse-names":false,"suffix":""},{"dropping-particle":"","family":"Bonifacio","given":"Ronald","non-dropping-particle":"","parse-names":false,"suffix":""},{"dropping-particle":"","family":"Brooks","given":"Thomas M.","non-dropping-particle":"","parse-names":false,"suffix":""},{"dropping-particle":"","family":"Burgman","given":"Mark A.","non-dropping-particle":"","parse-names":false,"suffix":""},{"dropping-particle":"","family":"Comer","given":"Patrick","non-dropping-particle":"","parse-names":false,"suffix":""},{"dropping-particle":"","family":"Comín","given":"Francisco A.","non-dropping-particle":"","parse-names":false,"suffix":""},{"dropping-particle":"","family":"Essl","given":"Franz","non-dropping-particle":"","parse-names":false,"suffix":""},{"dropping-particle":"","family":"Faber-Langendoen","given":"Don","non-dropping-particle":"","parse-names":false,"suffix":""},{"dropping-particle":"","family":"Fairweather","given":"Peter G.","non-dropping-particle":"","parse-names":false,"suffix":""},{"dropping-particle":"","family":"Holdaway","given":"Robert J.","non-dropping-particle":"","parse-names":false,"suffix":""},{"dropping-particle":"","family":"Jennings","given":"Michael","non-dropping-particle":"","parse-names":false,"suffix":""},{"dropping-particle":"","family":"Kingsford","given":"Richard T.","non-dropping-particle":"","parse-names":false,"suffix":""},{"dropping-particle":"","family":"Lester","given":"Rebecca E.","non-dropping-particle":"","parse-names":false,"suffix":""},{"dropping-particle":"Mac","family":"Nally","given":"Ralph","non-dropping-particle":"","parse-names":false,"suffix":""},{"dropping-particle":"","family":"McCarthy","given":"Michael A.","non-dropping-particle":"","parse-names":false,"suffix":""},{"dropping-particle":"","family":"Moat","given":"Justin","non-dropping-particle":"","parse-names":false,"suffix":""},{"dropping-particle":"","family":"Oliveira-Miranda","given":"María A.","non-dropping-particle":"","parse-names":false,"suffix":""},{"dropping-particle":"","family":"Pisanu","given":"Phil","non-dropping-particle":"","parse-names":false,"suffix":""},{"dropping-particle":"","family":"Poulin","given":"Brigitte","non-dropping-particle":"","parse-names":false,"suffix":""},{"dropping-particle":"","family":"Regan","given":"Tracey J.","non-dropping-particle":"","parse-names":false,"suffix":""},{"dropping-particle":"","family":"Riecken","given":"Uwe","non-dropping-particle":"","parse-names":false,"suffix":""},{"dropping-particle":"","family":"Spalding","given":"Mark D.","non-dropping-particle":"","parse-names":false,"suffix":""},{"dropping-particle":"","family":"Zambrano-Martínez","given":"Sergio","non-dropping-particle":"","parse-names":false,"suffix":""}],"container-title":"PLoS ONE","editor":[{"dropping-particle":"","family":"Convertino","given":"Matteo","non-dropping-particle":"","parse-names":false,"suffix":""}],"id":"ITEM-1","issue":"5","issued":{"date-parts":[["2013","5","8"]]},"page":"e62111","publisher":"Public Library of Science","title":"Scientific Foundations for an IUCN Red List of Ecosystems","type":"article-journal","volume":"8"},"uris":["http://www.mendeley.com/documents/?uuid=147694ed-97cb-3c90-b1cd-18cf607ba15f"]}],"mendeley":{"formattedCitation":"(Keith et al. 2013)","manualFormatting":"Keith et al. 2013","plainTextFormattedCitation":"(Keith et al. 2013)","previouslyFormattedCitation":"(Keith et al. 2013)"},"properties":{"noteIndex":0},"schema":"https://github.com/citation-style-language/schema/raw/master/csl-citation.json"}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Keith et al. 2013</w:t>
            </w:r>
            <w:r w:rsidRPr="008A1856">
              <w:rPr>
                <w:rFonts w:ascii="Times New Roman" w:eastAsia="Times New Roman" w:hAnsi="Times New Roman" w:cs="Times New Roman"/>
                <w:color w:val="000000"/>
              </w:rPr>
              <w:fldChar w:fldCharType="end"/>
            </w:r>
          </w:p>
        </w:tc>
      </w:tr>
      <w:tr w:rsidR="00B25C8E" w:rsidRPr="008A1856" w14:paraId="469547AD" w14:textId="77777777" w:rsidTr="00B25C8E">
        <w:trPr>
          <w:trHeight w:val="315"/>
        </w:trPr>
        <w:tc>
          <w:tcPr>
            <w:tcW w:w="4962" w:type="dxa"/>
            <w:shd w:val="clear" w:color="auto" w:fill="auto"/>
            <w:tcMar>
              <w:top w:w="0" w:type="dxa"/>
              <w:left w:w="45" w:type="dxa"/>
              <w:bottom w:w="0" w:type="dxa"/>
              <w:right w:w="45" w:type="dxa"/>
            </w:tcMar>
          </w:tcPr>
          <w:p w14:paraId="00CBE1F8" w14:textId="77777777" w:rsidR="00B25C8E" w:rsidRPr="00371A8C" w:rsidRDefault="00B25C8E" w:rsidP="005E5C8A">
            <w:pPr>
              <w:spacing w:after="0" w:line="240" w:lineRule="auto"/>
              <w:rPr>
                <w:rFonts w:ascii="Times New Roman" w:eastAsia="Times New Roman" w:hAnsi="Times New Roman" w:cs="Times New Roman"/>
                <w:color w:val="000000"/>
              </w:rPr>
            </w:pPr>
            <w:r w:rsidRPr="00371A8C">
              <w:rPr>
                <w:rFonts w:ascii="Times New Roman" w:eastAsia="Times New Roman" w:hAnsi="Times New Roman" w:cs="Times New Roman"/>
                <w:color w:val="000000"/>
              </w:rPr>
              <w:t xml:space="preserve">Southern </w:t>
            </w:r>
            <w:proofErr w:type="spellStart"/>
            <w:r w:rsidRPr="00371A8C">
              <w:rPr>
                <w:rFonts w:ascii="Times New Roman" w:eastAsia="Times New Roman" w:hAnsi="Times New Roman" w:cs="Times New Roman"/>
                <w:color w:val="000000"/>
              </w:rPr>
              <w:t>Benguela</w:t>
            </w:r>
            <w:proofErr w:type="spellEnd"/>
          </w:p>
        </w:tc>
        <w:tc>
          <w:tcPr>
            <w:tcW w:w="2693" w:type="dxa"/>
            <w:shd w:val="clear" w:color="auto" w:fill="auto"/>
            <w:tcMar>
              <w:top w:w="0" w:type="dxa"/>
              <w:left w:w="45" w:type="dxa"/>
              <w:bottom w:w="0" w:type="dxa"/>
              <w:right w:w="45" w:type="dxa"/>
            </w:tcMar>
          </w:tcPr>
          <w:p w14:paraId="28A892DB" w14:textId="77777777" w:rsidR="00B25C8E" w:rsidRPr="00371A8C" w:rsidRDefault="00B25C8E" w:rsidP="005E5C8A">
            <w:pPr>
              <w:spacing w:after="0" w:line="240" w:lineRule="auto"/>
              <w:rPr>
                <w:rFonts w:ascii="Times New Roman" w:eastAsia="Times New Roman" w:hAnsi="Times New Roman" w:cs="Times New Roman"/>
                <w:color w:val="000000"/>
              </w:rPr>
            </w:pPr>
            <w:r w:rsidRPr="00371A8C">
              <w:rPr>
                <w:rFonts w:ascii="Times New Roman" w:eastAsia="Times New Roman" w:hAnsi="Times New Roman" w:cs="Times New Roman"/>
                <w:color w:val="000000"/>
              </w:rPr>
              <w:t>South Africa</w:t>
            </w:r>
          </w:p>
        </w:tc>
        <w:tc>
          <w:tcPr>
            <w:tcW w:w="20" w:type="dxa"/>
            <w:shd w:val="clear" w:color="auto" w:fill="auto"/>
          </w:tcPr>
          <w:p w14:paraId="66169208" w14:textId="77777777" w:rsidR="00B25C8E" w:rsidRPr="00371A8C" w:rsidRDefault="00B25C8E" w:rsidP="00B25C8E">
            <w:pPr>
              <w:spacing w:after="0" w:line="240" w:lineRule="auto"/>
              <w:rPr>
                <w:rFonts w:ascii="Times New Roman" w:eastAsia="Times New Roman" w:hAnsi="Times New Roman" w:cs="Times New Roman"/>
                <w:color w:val="000000"/>
              </w:rPr>
            </w:pPr>
          </w:p>
        </w:tc>
        <w:tc>
          <w:tcPr>
            <w:tcW w:w="1984" w:type="dxa"/>
            <w:gridSpan w:val="2"/>
            <w:shd w:val="clear" w:color="auto" w:fill="auto"/>
            <w:tcMar>
              <w:top w:w="0" w:type="dxa"/>
              <w:left w:w="45" w:type="dxa"/>
              <w:bottom w:w="0" w:type="dxa"/>
              <w:right w:w="45" w:type="dxa"/>
            </w:tcMar>
          </w:tcPr>
          <w:p w14:paraId="0AED2446" w14:textId="77777777" w:rsidR="00B25C8E" w:rsidRPr="00371A8C" w:rsidRDefault="00B25C8E" w:rsidP="00B25C8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fldLock="1"/>
            </w:r>
            <w:r>
              <w:rPr>
                <w:rFonts w:ascii="Times New Roman" w:eastAsia="Times New Roman" w:hAnsi="Times New Roman" w:cs="Times New Roman"/>
                <w:color w:val="000000"/>
              </w:rPr>
              <w:instrText>ADDIN CSL_CITATION {"citationItems":[{"id":"ITEM-1","itemData":{"DOI":"10.1016/J.BIOCON.2018.08.019","ISSN":"0006-3207","abstract":"Assessing risks to marine ecosystems is critical due to their biological and economic importance, and because many have recently undergone regime shifts due to overfishing and environmental change. Yet defining collapsed ecosystem states, selecting informative indicators and reconstructing long-term marine ecosystem changes remains challenging. The IUCN Red List of Ecosystems constitutes the global standard for quantifying risks to ecosystems and we conducted the first Red List assessment of an offshore marine ecosystem, focusing on the southern Benguela in South Africa. We used an analogous but collapsed ecosystem – the northern Benguela – to help define collapse in the southern Benguela and derived collapse thresholds with structured expert elicitation (i.e. repeatable estimation by expert judgment). To capture complex ecosystem dynamics and reconstruct historical ecosystem states, we used environmental indicators as well as survey-, catch- and model-based indicators. We listed the ecosystem in 1960 and 2015 as Endangered, with assessment outcomes robust to alternative model parametrizations. While many indicators improved between 1960 and 2015, seabird populations have suffered large declines since 1900 and remain at risk, pointing towards ongoing management priorities. Catch-based indicators often over-estimated risks compared to survey- and model-based indicators, warning against listing ecosystems as threatened solely based on indicators of pressure. We show that risk assessments provide a framework for interpreting data from indicators, ecosystem models and experts to inform the management of marine ecosystems. This work highlights the feasibility of conducting Red List of Ecosystems assessments for marine ecosystems.","author":[{"dropping-particle":"","family":"Bland","given":"Lucie M.","non-dropping-particle":"","parse-names":false,"suffix":""},{"dropping-particle":"","family":"Watermeyer","given":"Kate E.","non-dropping-particle":"","parse-names":false,"suffix":""},{"dropping-particle":"","family":"Keith","given":"David A.","non-dropping-particle":"","parse-names":false,"suffix":""},{"dropping-particle":"","family":"Nicholson","given":"Emily","non-dropping-particle":"","parse-names":false,"suffix":""},{"dropping-particle":"","family":"Regan","given":"Tracey J.","non-dropping-particle":"","parse-names":false,"suffix":""},{"dropping-particle":"","family":"Shannon","given":"Lynne J.","non-dropping-particle":"","parse-names":false,"suffix":""}],"container-title":"Biological Conservation","id":"ITEM-1","issued":{"date-parts":[["2018","11","1"]]},"page":"19-28","publisher":"Elsevier","title":"Assessing risks to marine ecosystems with indicators, ecosystem models and experts","type":"article-journal","volume":"227"},"uris":["http://www.mendeley.com/documents/?uuid=dc4894d6-7c5b-3669-b5eb-a62d3df48fed"]}],"mendeley":{"formattedCitation":"(Bland et al. 2018)","manualFormatting":"Bland et al. 2018","plainTextFormattedCitation":"(Bland et al. 2018)","previouslyFormattedCitation":"(Bland et al. 2018)"},"properties":{"noteIndex":0},"schema":"https://github.com/citation-style-language/schema/raw/master/csl-citation.json"}</w:instrText>
            </w:r>
            <w:r>
              <w:rPr>
                <w:rFonts w:ascii="Times New Roman" w:eastAsia="Times New Roman" w:hAnsi="Times New Roman" w:cs="Times New Roman"/>
                <w:color w:val="000000"/>
              </w:rPr>
              <w:fldChar w:fldCharType="separate"/>
            </w:r>
            <w:r w:rsidRPr="00371A8C">
              <w:rPr>
                <w:rFonts w:ascii="Times New Roman" w:eastAsia="Times New Roman" w:hAnsi="Times New Roman" w:cs="Times New Roman"/>
                <w:noProof/>
                <w:color w:val="000000"/>
              </w:rPr>
              <w:t>Bland et al. 2018</w:t>
            </w:r>
            <w:r>
              <w:rPr>
                <w:rFonts w:ascii="Times New Roman" w:eastAsia="Times New Roman" w:hAnsi="Times New Roman" w:cs="Times New Roman"/>
                <w:color w:val="000000"/>
              </w:rPr>
              <w:fldChar w:fldCharType="end"/>
            </w:r>
          </w:p>
        </w:tc>
      </w:tr>
      <w:tr w:rsidR="00B25C8E" w:rsidRPr="008A1856" w14:paraId="089ECB54" w14:textId="77777777" w:rsidTr="00B25C8E">
        <w:trPr>
          <w:trHeight w:val="315"/>
        </w:trPr>
        <w:tc>
          <w:tcPr>
            <w:tcW w:w="4962" w:type="dxa"/>
            <w:shd w:val="clear" w:color="auto" w:fill="auto"/>
            <w:tcMar>
              <w:top w:w="0" w:type="dxa"/>
              <w:left w:w="45" w:type="dxa"/>
              <w:bottom w:w="0" w:type="dxa"/>
              <w:right w:w="45" w:type="dxa"/>
            </w:tcMar>
            <w:hideMark/>
          </w:tcPr>
          <w:p w14:paraId="67EBA52A" w14:textId="77777777" w:rsidR="00B25C8E" w:rsidRPr="00007564" w:rsidRDefault="00B25C8E" w:rsidP="005E5C8A">
            <w:pPr>
              <w:spacing w:after="0" w:line="240" w:lineRule="auto"/>
              <w:rPr>
                <w:rFonts w:ascii="Times New Roman" w:eastAsia="Times New Roman" w:hAnsi="Times New Roman" w:cs="Times New Roman"/>
                <w:color w:val="000000"/>
              </w:rPr>
            </w:pPr>
            <w:r w:rsidRPr="00007564">
              <w:rPr>
                <w:rFonts w:ascii="Times New Roman" w:eastAsia="Times New Roman" w:hAnsi="Times New Roman" w:cs="Times New Roman"/>
                <w:color w:val="000000"/>
              </w:rPr>
              <w:t>Chesapeake Bay estuarine ecosystem</w:t>
            </w:r>
          </w:p>
        </w:tc>
        <w:tc>
          <w:tcPr>
            <w:tcW w:w="2693" w:type="dxa"/>
            <w:shd w:val="clear" w:color="auto" w:fill="auto"/>
            <w:tcMar>
              <w:top w:w="0" w:type="dxa"/>
              <w:left w:w="45" w:type="dxa"/>
              <w:bottom w:w="0" w:type="dxa"/>
              <w:right w:w="45" w:type="dxa"/>
            </w:tcMar>
            <w:hideMark/>
          </w:tcPr>
          <w:p w14:paraId="562C3CFC" w14:textId="77777777" w:rsidR="00B25C8E" w:rsidRPr="00007564" w:rsidRDefault="00B25C8E" w:rsidP="005E5C8A">
            <w:pPr>
              <w:spacing w:after="0" w:line="240" w:lineRule="auto"/>
              <w:rPr>
                <w:rFonts w:ascii="Times New Roman" w:eastAsia="Times New Roman" w:hAnsi="Times New Roman" w:cs="Times New Roman"/>
                <w:color w:val="000000"/>
              </w:rPr>
            </w:pPr>
            <w:r w:rsidRPr="00007564">
              <w:rPr>
                <w:rFonts w:ascii="Times New Roman" w:eastAsia="Times New Roman" w:hAnsi="Times New Roman" w:cs="Times New Roman"/>
                <w:color w:val="000000"/>
              </w:rPr>
              <w:t>United States of America</w:t>
            </w:r>
          </w:p>
        </w:tc>
        <w:tc>
          <w:tcPr>
            <w:tcW w:w="20" w:type="dxa"/>
            <w:shd w:val="clear" w:color="auto" w:fill="auto"/>
          </w:tcPr>
          <w:p w14:paraId="7A2C6BA1" w14:textId="77777777" w:rsidR="00B25C8E" w:rsidRPr="00007564" w:rsidRDefault="00B25C8E" w:rsidP="00B25C8E">
            <w:pPr>
              <w:spacing w:after="0" w:line="240" w:lineRule="auto"/>
              <w:rPr>
                <w:rFonts w:ascii="Times New Roman" w:eastAsia="Times New Roman" w:hAnsi="Times New Roman" w:cs="Times New Roman"/>
                <w:color w:val="000000"/>
              </w:rPr>
            </w:pPr>
          </w:p>
        </w:tc>
        <w:tc>
          <w:tcPr>
            <w:tcW w:w="1984" w:type="dxa"/>
            <w:gridSpan w:val="2"/>
            <w:shd w:val="clear" w:color="auto" w:fill="auto"/>
            <w:tcMar>
              <w:top w:w="0" w:type="dxa"/>
              <w:left w:w="45" w:type="dxa"/>
              <w:bottom w:w="0" w:type="dxa"/>
              <w:right w:w="45" w:type="dxa"/>
            </w:tcMar>
            <w:hideMark/>
          </w:tcPr>
          <w:p w14:paraId="152A08C3" w14:textId="6CAE73DE" w:rsidR="00B25C8E" w:rsidRPr="00007564" w:rsidRDefault="00007564" w:rsidP="00007564">
            <w:pPr>
              <w:spacing w:after="0" w:line="240" w:lineRule="auto"/>
              <w:rPr>
                <w:rFonts w:ascii="Times New Roman" w:eastAsia="Times New Roman" w:hAnsi="Times New Roman" w:cs="Times New Roman"/>
                <w:color w:val="000000"/>
              </w:rPr>
            </w:pPr>
            <w:r w:rsidRPr="00007564">
              <w:rPr>
                <w:rFonts w:ascii="Times New Roman" w:eastAsia="Times New Roman" w:hAnsi="Times New Roman" w:cs="Times New Roman"/>
                <w:color w:val="000000"/>
              </w:rPr>
              <w:fldChar w:fldCharType="begin" w:fldLock="1"/>
            </w:r>
            <w:r>
              <w:rPr>
                <w:rFonts w:ascii="Times New Roman" w:eastAsia="Times New Roman" w:hAnsi="Times New Roman" w:cs="Times New Roman"/>
                <w:color w:val="000000"/>
              </w:rPr>
              <w:instrText>ADDIN CSL_CITATION {"citationItems":[{"id":"ITEM-1","itemData":{"DOI":"10.1016/J.OCECOAMAN.2017.02.021","ISSN":"0964-5691","abstract":"Estuarine ecosystems are increasingly threatened by coastal development and climate change. The large number of estuaries globally necessitates risk assessment to prioritise conservation efforts. Schemes for assessing risk of ecosystem collapse have been designed around terrestrial ecosystems, often defined by a single characteristic vegetation type, with their applicability to estuaries unclear. Here we consider the causes and symptoms of estuarine ecosystem collapse and assess, using a case study of the Chesapeake Bay, the applicability of ecosystem-level risk assessments to estuarine ecosystems, typified by mosaics of habitats. Functional estuaries are characterised by habitat heterogeneity and connectivity, maintenance of constituent habitats through recruitment, and a complex trophic structure including apex predators. Additionally, primary production and biomass are dominated by benthic, as opposed to pelagic, species. Hence, homogenisation of habitat types, decreased connectivity, recruitment failure, loss of apex predators and a decreased ratio of benthic to pelagic biomass may be symptoms of a trajectory towards collapse. In terrestrial ecosystems, criteria used for assessing risk of ecosystem collapse include declining or restricted distribution of ecosystems, degradation of the abiotic environment, changes in species composition and declining ecological function. As the boundaries of estuaries are typically defined by topography, rarely do significant changes in the area of the ecosystem occur. Furthermore, because the extent of estuaries is typically small, assessments based on area of occupancy may over-inflate risk. Instead, criteria based on abiotic and biotic changes, many of which are documented through monitoring programs, may be most useful for risk assessments of estuarine ecosystems.","author":[{"dropping-particle":"","family":"Mahoney","given":"P.C.","non-dropping-particle":"","parse-names":false,"suffix":""},{"dropping-particle":"","family":"Bishop","given":"M.J.","non-dropping-particle":"","parse-names":false,"suffix":""}],"container-title":"Ocean &amp; Coastal Management","id":"ITEM-1","issued":{"date-parts":[["2017","5","1"]]},"page":"46-58","publisher":"Elsevier","title":"Assessing risk of estuarine ecosystem collapse","type":"article-journal","volume":"140"},"uris":["http://www.mendeley.com/documents/?uuid=affbb566-0b32-3a31-9827-c7aa7e58334b"]}],"mendeley":{"formattedCitation":"(Mahoney &amp; Bishop 2017)","manualFormatting":"Mahoney &amp; Bishop 2017","plainTextFormattedCitation":"(Mahoney &amp; Bishop 2017)"},"properties":{"noteIndex":0},"schema":"https://github.com/citation-style-language/schema/raw/master/csl-citation.json"}</w:instrText>
            </w:r>
            <w:r w:rsidRPr="00007564">
              <w:rPr>
                <w:rFonts w:ascii="Times New Roman" w:eastAsia="Times New Roman" w:hAnsi="Times New Roman" w:cs="Times New Roman"/>
                <w:color w:val="000000"/>
              </w:rPr>
              <w:fldChar w:fldCharType="separate"/>
            </w:r>
            <w:r w:rsidRPr="00007564">
              <w:rPr>
                <w:rFonts w:ascii="Times New Roman" w:eastAsia="Times New Roman" w:hAnsi="Times New Roman" w:cs="Times New Roman"/>
                <w:noProof/>
                <w:color w:val="000000"/>
              </w:rPr>
              <w:t>Mahoney &amp; Bishop 2017</w:t>
            </w:r>
            <w:r w:rsidRPr="00007564">
              <w:rPr>
                <w:rFonts w:ascii="Times New Roman" w:eastAsia="Times New Roman" w:hAnsi="Times New Roman" w:cs="Times New Roman"/>
                <w:color w:val="000000"/>
              </w:rPr>
              <w:fldChar w:fldCharType="end"/>
            </w:r>
          </w:p>
        </w:tc>
      </w:tr>
      <w:tr w:rsidR="00B25C8E" w:rsidRPr="008A1856" w14:paraId="40A7478C" w14:textId="77777777" w:rsidTr="00B25C8E">
        <w:trPr>
          <w:gridAfter w:val="1"/>
          <w:wAfter w:w="20" w:type="dxa"/>
          <w:trHeight w:val="383"/>
        </w:trPr>
        <w:tc>
          <w:tcPr>
            <w:tcW w:w="4962" w:type="dxa"/>
            <w:tcBorders>
              <w:top w:val="single" w:sz="4" w:space="0" w:color="auto"/>
            </w:tcBorders>
            <w:shd w:val="clear" w:color="auto" w:fill="auto"/>
            <w:tcMar>
              <w:top w:w="0" w:type="dxa"/>
              <w:left w:w="45" w:type="dxa"/>
              <w:bottom w:w="0" w:type="dxa"/>
              <w:right w:w="45" w:type="dxa"/>
            </w:tcMar>
          </w:tcPr>
          <w:p w14:paraId="4EEB089E" w14:textId="77777777" w:rsidR="00B25C8E" w:rsidRPr="009A7ADC" w:rsidRDefault="00B25C8E" w:rsidP="005E5C8A">
            <w:pPr>
              <w:spacing w:after="0" w:line="240" w:lineRule="auto"/>
              <w:rPr>
                <w:rFonts w:ascii="Times New Roman" w:eastAsia="Times New Roman" w:hAnsi="Times New Roman" w:cs="Times New Roman"/>
                <w:i/>
                <w:color w:val="000000"/>
              </w:rPr>
            </w:pPr>
            <w:r w:rsidRPr="009A7ADC">
              <w:rPr>
                <w:rFonts w:ascii="Times New Roman" w:eastAsia="Times New Roman" w:hAnsi="Times New Roman" w:cs="Times New Roman"/>
                <w:i/>
                <w:color w:val="000000"/>
              </w:rPr>
              <w:t>Terrestrial ecosystems</w:t>
            </w:r>
          </w:p>
        </w:tc>
        <w:tc>
          <w:tcPr>
            <w:tcW w:w="2693" w:type="dxa"/>
            <w:tcBorders>
              <w:top w:val="single" w:sz="4" w:space="0" w:color="auto"/>
            </w:tcBorders>
            <w:shd w:val="clear" w:color="auto" w:fill="auto"/>
            <w:tcMar>
              <w:top w:w="0" w:type="dxa"/>
              <w:left w:w="45" w:type="dxa"/>
              <w:bottom w:w="0" w:type="dxa"/>
              <w:right w:w="45" w:type="dxa"/>
            </w:tcMar>
          </w:tcPr>
          <w:p w14:paraId="29B66A98" w14:textId="77777777" w:rsidR="00B25C8E" w:rsidRPr="00D31378" w:rsidRDefault="00B25C8E" w:rsidP="005E5C8A">
            <w:pPr>
              <w:spacing w:after="0" w:line="240" w:lineRule="auto"/>
              <w:rPr>
                <w:rFonts w:ascii="Times New Roman" w:eastAsia="Times New Roman" w:hAnsi="Times New Roman" w:cs="Times New Roman"/>
                <w:color w:val="000000"/>
              </w:rPr>
            </w:pPr>
          </w:p>
        </w:tc>
        <w:tc>
          <w:tcPr>
            <w:tcW w:w="1984" w:type="dxa"/>
            <w:gridSpan w:val="2"/>
            <w:tcBorders>
              <w:top w:val="single" w:sz="4" w:space="0" w:color="auto"/>
            </w:tcBorders>
            <w:shd w:val="clear" w:color="auto" w:fill="auto"/>
          </w:tcPr>
          <w:p w14:paraId="562410D9" w14:textId="77777777" w:rsidR="00B25C8E" w:rsidRPr="008A1856" w:rsidRDefault="00B25C8E" w:rsidP="00B25C8E">
            <w:pPr>
              <w:spacing w:after="0" w:line="240" w:lineRule="auto"/>
              <w:rPr>
                <w:rFonts w:ascii="Times New Roman" w:eastAsia="Times New Roman" w:hAnsi="Times New Roman" w:cs="Times New Roman"/>
                <w:color w:val="000000"/>
              </w:rPr>
            </w:pPr>
          </w:p>
        </w:tc>
      </w:tr>
      <w:tr w:rsidR="00B25C8E" w:rsidRPr="008A1856" w14:paraId="10B2CB80" w14:textId="77777777" w:rsidTr="00B25C8E">
        <w:trPr>
          <w:gridAfter w:val="1"/>
          <w:wAfter w:w="20" w:type="dxa"/>
          <w:trHeight w:val="383"/>
        </w:trPr>
        <w:tc>
          <w:tcPr>
            <w:tcW w:w="4962" w:type="dxa"/>
            <w:tcBorders>
              <w:top w:val="single" w:sz="4" w:space="0" w:color="auto"/>
            </w:tcBorders>
            <w:shd w:val="clear" w:color="auto" w:fill="auto"/>
            <w:tcMar>
              <w:top w:w="0" w:type="dxa"/>
              <w:left w:w="45" w:type="dxa"/>
              <w:bottom w:w="0" w:type="dxa"/>
              <w:right w:w="45" w:type="dxa"/>
            </w:tcMar>
            <w:hideMark/>
          </w:tcPr>
          <w:p w14:paraId="6C70A338"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 xml:space="preserve">Cape </w:t>
            </w:r>
            <w:r w:rsidRPr="009E0C04">
              <w:rPr>
                <w:rFonts w:ascii="Times New Roman" w:eastAsia="Times New Roman" w:hAnsi="Times New Roman" w:cs="Times New Roman"/>
                <w:noProof/>
                <w:color w:val="000000"/>
              </w:rPr>
              <w:t>flats</w:t>
            </w:r>
            <w:r w:rsidRPr="00D31378">
              <w:rPr>
                <w:rFonts w:ascii="Times New Roman" w:eastAsia="Times New Roman" w:hAnsi="Times New Roman" w:cs="Times New Roman"/>
                <w:color w:val="000000"/>
              </w:rPr>
              <w:t xml:space="preserve"> sand fynbos</w:t>
            </w:r>
          </w:p>
        </w:tc>
        <w:tc>
          <w:tcPr>
            <w:tcW w:w="2693" w:type="dxa"/>
            <w:tcBorders>
              <w:top w:val="single" w:sz="4" w:space="0" w:color="auto"/>
            </w:tcBorders>
            <w:shd w:val="clear" w:color="auto" w:fill="auto"/>
            <w:tcMar>
              <w:top w:w="0" w:type="dxa"/>
              <w:left w:w="45" w:type="dxa"/>
              <w:bottom w:w="0" w:type="dxa"/>
              <w:right w:w="45" w:type="dxa"/>
            </w:tcMar>
            <w:hideMark/>
          </w:tcPr>
          <w:p w14:paraId="3832819F"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South Africa</w:t>
            </w:r>
          </w:p>
        </w:tc>
        <w:tc>
          <w:tcPr>
            <w:tcW w:w="1984" w:type="dxa"/>
            <w:gridSpan w:val="2"/>
            <w:tcBorders>
              <w:top w:val="single" w:sz="4" w:space="0" w:color="auto"/>
            </w:tcBorders>
            <w:shd w:val="clear" w:color="auto" w:fill="auto"/>
          </w:tcPr>
          <w:p w14:paraId="04A3885B"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{"citationItems":[{"id":"ITEM-1","itemData":{"DOI":"10.1371/journal.pone.0062111","ISSN":"1932-6203","abstract":"An understanding of risks to biodiversity is needed for planning action to slow current rates of decline and secure ecosystem services for future human use. Although the IUCN Red List criteria provide an effective assessment protocol for species, a standard global assessment of risks to higher levels of biodiversity is currently limited. In 2008, IUCN initiated development of risk assessment criteria to support a global Red List of ecosystems. We present a new conceptual model for ecosystem risk assessment founded on a synthesis of relevant ecological theories. To support the model, we review key elements of ecosystem definition and introduce the concept of ecosystem collapse, an analogue of species extinction. The model identifies four distributional and functional symptoms of ecosystem risk as a basis for assessment criteria: A) rates of decline in ecosystem distribution; B) restricted distributions with continuing declines or threats; C) rates of environmental (abiotic) degradation; and D) rates of disruption to biotic processes. A fifth criterion, E) quantitative estimates of the risk of ecosystem collapse, enables integrated assessment of multiple processes and provides a conceptual anchor for the other criteria. We present the theoretical rationale for the construction and interpretation of each criterion. The assessment protocol and threat categories mirror those of the IUCN Red List of species. A trial of the protocol on terrestrial, subterranean, freshwater and marine ecosystems from around the world shows that its concepts are workable and its outcomes are robust, that required data are available, and that results are consistent with assessments carried out by local experts and authorities. The new protocol provides a consistent, practical and theoretically grounded framework for establishing a systematic Red List of the world’s ecosystems. This will complement the Red List of species and strengthen global capacity to report on and monitor the status of biodiversity","author":[{"dropping-particle":"","family":"Keith","given":"David A.","non-dropping-particle":"","parse-names":false,"suffix":""},{"dropping-particle":"","family":"Rodríguez","given":"Jon Paul","non-dropping-particle":"","parse-names":false,"suffix":""},{"dropping-particle":"","family":"Rodríguez-Clark","given":"Kathryn M.","non-dropping-particle":"","parse-names":false,"suffix":""},{"dropping-particle":"","family":"Nicholson","given":"Emily","non-dropping-particle":"","parse-names":false,"suffix":""},{"dropping-particle":"","family":"Aapala","given":"Kaisu","non-dropping-particle":"","parse-names":false,"suffix":""},{"dropping-particle":"","family":"Alonso","given":"Alfonso","non-dropping-particle":"","parse-names":false,"suffix":""},{"dropping-particle":"","family":"Asmussen","given":"Marianne","non-dropping-particle":"","parse-names":false,"suffix":""},{"dropping-particle":"","family":"Bachman","given":"Steven","non-dropping-particle":"","parse-names":false,"suffix":""},{"dropping-particle":"","family":"Basset","given":"Alberto","non-dropping-particle":"","parse-names":false,"suffix":""},{"dropping-particle":"","family":"Barrow","given":"Edmund G.","non-dropping-particle":"","parse-names":false,"suffix":""},{"dropping-particle":"","family":"Benson","given":"John S.","non-dropping-particle":"","parse-names":false,"suffix":""},{"dropping-particle":"","family":"Bishop","given":"Melanie J.","non-dropping-particle":"","parse-names":false,"suffix":""},{"dropping-particle":"","family":"Bonifacio","given":"Ronald","non-dropping-particle":"","parse-names":false,"suffix":""},{"dropping-particle":"","family":"Brooks","given":"Thomas M.","non-dropping-particle":"","parse-names":false,"suffix":""},{"dropping-particle":"","family":"Burgman","given":"Mark A.","non-dropping-particle":"","parse-names":false,"suffix":""},{"dropping-particle":"","family":"Comer","given":"Patrick","non-dropping-particle":"","parse-names":false,"suffix":""},{"dropping-particle":"","family":"Comín","given":"Francisco A.","non-dropping-particle":"","parse-names":false,"suffix":""},{"dropping-particle":"","family":"Essl","given":"Franz","non-dropping-particle":"","parse-names":false,"suffix":""},{"dropping-particle":"","family":"Faber-Langendoen","given":"Don","non-dropping-particle":"","parse-names":false,"suffix":""},{"dropping-particle":"","family":"Fairweather","given":"Peter G.","non-dropping-particle":"","parse-names":false,"suffix":""},{"dropping-particle":"","family":"Holdaway","given":"Robert J.","non-dropping-particle":"","parse-names":false,"suffix":""},{"dropping-particle":"","family":"Jennings","given":"Michael","non-dropping-particle":"","parse-names":false,"suffix":""},{"dropping-particle":"","family":"Kingsford","given":"Richard T.","non-dropping-particle":"","parse-names":false,"suffix":""},{"dropping-particle":"","family":"Lester","given":"Rebecca E.","non-dropping-particle":"","parse-names":false,"suffix":""},{"dropping-particle":"Mac","family":"Nally","given":"Ralph","non-dropping-particle":"","parse-names":false,"suffix":""},{"dropping-particle":"","family":"McCarthy","given":"Michael A.","non-dropping-particle":"","parse-names":false,"suffix":""},{"dropping-particle":"","family":"Moat","given":"Justin","non-dropping-particle":"","parse-names":false,"suffix":""},{"dropping-particle":"","family":"Oliveira-Miranda","given":"María A.","non-dropping-particle":"","parse-names":false,"suffix":""},{"dropping-particle":"","family":"Pisanu","given":"Phil","non-dropping-particle":"","parse-names":false,"suffix":""},{"dropping-particle":"","family":"Poulin","given":"Brigitte","non-dropping-particle":"","parse-names":false,"suffix":""},{"dropping-particle":"","family":"Regan","given":"Tracey J.","non-dropping-particle":"","parse-names":false,"suffix":""},{"dropping-particle":"","family":"Riecken","given":"Uwe","non-dropping-particle":"","parse-names":false,"suffix":""},{"dropping-particle":"","family":"Spalding","given":"Mark D.","non-dropping-particle":"","parse-names":false,"suffix":""},{"dropping-particle":"","family":"Zambrano-Martínez","given":"Sergio","non-dropping-particle":"","parse-names":false,"suffix":""}],"container-title":"PLoS ONE","editor":[{"dropping-particle":"","family":"Convertino","given":"Matteo","non-dropping-particle":"","parse-names":false,"suffix":""}],"id":"ITEM-1","issue":"5","issued":{"date-parts":[["2013","5","8"]]},"page":"e62111","publisher":"Public Library of Science","title":"Scientific Foundations for an IUCN Red List of Ecosystems","type":"article-journal","volume":"8"},"uris":["http://www.mendeley.com/documents/?uuid=147694ed-97cb-3c90-b1cd-18cf607ba15f"]}],"mendeley":{"formattedCitation":"(Keith et al. 2013)","manualFormatting":"Keith et al. 2013","plainTextFormattedCitation":"(Keith et al. 2013)","previouslyFormattedCitation":"(Keith et al. 2013)"},"properties":{"noteIndex":0},"schema":"https://github.com/citation-style-language/schema/raw/master/csl-citation.json"}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Keith et al. 2013</w:t>
            </w:r>
            <w:r w:rsidRPr="008A1856">
              <w:rPr>
                <w:rFonts w:ascii="Times New Roman" w:eastAsia="Times New Roman" w:hAnsi="Times New Roman" w:cs="Times New Roman"/>
                <w:color w:val="000000"/>
              </w:rPr>
              <w:fldChar w:fldCharType="end"/>
            </w:r>
          </w:p>
        </w:tc>
      </w:tr>
      <w:tr w:rsidR="00B25C8E" w:rsidRPr="008A1856" w14:paraId="153C8662" w14:textId="77777777" w:rsidTr="00B25C8E">
        <w:trPr>
          <w:gridAfter w:val="1"/>
          <w:wAfter w:w="20" w:type="dxa"/>
          <w:trHeight w:val="421"/>
        </w:trPr>
        <w:tc>
          <w:tcPr>
            <w:tcW w:w="4962" w:type="dxa"/>
            <w:shd w:val="clear" w:color="auto" w:fill="auto"/>
            <w:tcMar>
              <w:top w:w="0" w:type="dxa"/>
              <w:left w:w="45" w:type="dxa"/>
              <w:bottom w:w="0" w:type="dxa"/>
              <w:right w:w="45" w:type="dxa"/>
            </w:tcMar>
            <w:hideMark/>
          </w:tcPr>
          <w:p w14:paraId="3635A912" w14:textId="77777777" w:rsidR="00B25C8E" w:rsidRPr="00D31378" w:rsidRDefault="00B25C8E" w:rsidP="005E5C8A">
            <w:pPr>
              <w:spacing w:after="0" w:line="240" w:lineRule="auto"/>
              <w:rPr>
                <w:rFonts w:ascii="Times New Roman" w:eastAsia="Times New Roman" w:hAnsi="Times New Roman" w:cs="Times New Roman"/>
                <w:color w:val="000000"/>
              </w:rPr>
            </w:pPr>
            <w:proofErr w:type="spellStart"/>
            <w:r w:rsidRPr="00D31378">
              <w:rPr>
                <w:rFonts w:ascii="Times New Roman" w:eastAsia="Times New Roman" w:hAnsi="Times New Roman" w:cs="Times New Roman"/>
                <w:color w:val="000000"/>
              </w:rPr>
              <w:t>Gonakier</w:t>
            </w:r>
            <w:proofErr w:type="spellEnd"/>
            <w:r w:rsidRPr="00D31378">
              <w:rPr>
                <w:rFonts w:ascii="Times New Roman" w:eastAsia="Times New Roman" w:hAnsi="Times New Roman" w:cs="Times New Roman"/>
                <w:color w:val="000000"/>
              </w:rPr>
              <w:t xml:space="preserve"> forests of Senegal river floodplain</w:t>
            </w:r>
          </w:p>
        </w:tc>
        <w:tc>
          <w:tcPr>
            <w:tcW w:w="2693" w:type="dxa"/>
            <w:shd w:val="clear" w:color="auto" w:fill="auto"/>
            <w:tcMar>
              <w:top w:w="0" w:type="dxa"/>
              <w:left w:w="45" w:type="dxa"/>
              <w:bottom w:w="0" w:type="dxa"/>
              <w:right w:w="45" w:type="dxa"/>
            </w:tcMar>
            <w:hideMark/>
          </w:tcPr>
          <w:p w14:paraId="43A3DA86"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Senegal and Mauritania</w:t>
            </w:r>
          </w:p>
        </w:tc>
        <w:tc>
          <w:tcPr>
            <w:tcW w:w="1984" w:type="dxa"/>
            <w:gridSpan w:val="2"/>
            <w:shd w:val="clear" w:color="auto" w:fill="auto"/>
          </w:tcPr>
          <w:p w14:paraId="00032F5C"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{"citationItems":[{"id":"ITEM-1","itemData":{"DOI":"10.1371/journal.pone.0062111","ISSN":"1932-6203","abstract":"An understanding of risks to biodiversity is needed for planning action to slow current rates of decline and secure ecosystem services for future human use. Although the IUCN Red List criteria provide an effective assessment protocol for species, a standard global assessment of risks to higher levels of biodiversity is currently limited. In 2008, IUCN initiated development of risk assessment criteria to support a global Red List of ecosystems. We present a new conceptual model for ecosystem risk assessment founded on a synthesis of relevant ecological theories. To support the model, we review key elements of ecosystem definition and introduce the concept of ecosystem collapse, an analogue of species extinction. The model identifies four distributional and functional symptoms of ecosystem risk as a basis for assessment criteria: A) rates of decline in ecosystem distribution; B) restricted distributions with continuing declines or threats; C) rates of environmental (abiotic) degradation; and D) rates of disruption to biotic processes. A fifth criterion, E) quantitative estimates of the risk of ecosystem collapse, enables integrated assessment of multiple processes and provides a conceptual anchor for the other criteria. We present the theoretical rationale for the construction and interpretation of each criterion. The assessment protocol and threat categories mirror those of the IUCN Red List of species. A trial of the protocol on terrestrial, subterranean, freshwater and marine ecosystems from around the world shows that its concepts are workable and its outcomes are robust, that required data are available, and that results are consistent with assessments carried out by local experts and authorities. The new protocol provides a consistent, practical and theoretically grounded framework for establishing a systematic Red List of the world’s ecosystems. This will complement the Red List of species and strengthen global capacity to report on and monitor the status of biodiversity","author":[{"dropping-particle":"","family":"Keith","given":"David A.","non-dropping-particle":"","parse-names":false,"suffix":""},{"dropping-particle":"","family":"Rodríguez","given":"Jon Paul","non-dropping-particle":"","parse-names":false,"suffix":""},{"dropping-particle":"","family":"Rodríguez-Clark","given":"Kathryn M.","non-dropping-particle":"","parse-names":false,"suffix":""},{"dropping-particle":"","family":"Nicholson","given":"Emily","non-dropping-particle":"","parse-names":false,"suffix":""},{"dropping-particle":"","family":"Aapala","given":"Kaisu","non-dropping-particle":"","parse-names":false,"suffix":""},{"dropping-particle":"","family":"Alonso","given":"Alfonso","non-dropping-particle":"","parse-names":false,"suffix":""},{"dropping-particle":"","family":"Asmussen","given":"Marianne","non-dropping-particle":"","parse-names":false,"suffix":""},{"dropping-particle":"","family":"Bachman","given":"Steven","non-dropping-particle":"","parse-names":false,"suffix":""},{"dropping-particle":"","family":"Basset","given":"Alberto","non-dropping-particle":"","parse-names":false,"suffix":""},{"dropping-particle":"","family":"Barrow","given":"Edmund G.","non-dropping-particle":"","parse-names":false,"suffix":""},{"dropping-particle":"","family":"Benson","given":"John S.","non-dropping-particle":"","parse-names":false,"suffix":""},{"dropping-particle":"","family":"Bishop","given":"Melanie J.","non-dropping-particle":"","parse-names":false,"suffix":""},{"dropping-particle":"","family":"Bonifacio","given":"Ronald","non-dropping-particle":"","parse-names":false,"suffix":""},{"dropping-particle":"","family":"Brooks","given":"Thomas M.","non-dropping-particle":"","parse-names":false,"suffix":""},{"dropping-particle":"","family":"Burgman","given":"Mark A.","non-dropping-particle":"","parse-names":false,"suffix":""},{"dropping-particle":"","family":"Comer","given":"Patrick","non-dropping-particle":"","parse-names":false,"suffix":""},{"dropping-particle":"","family":"Comín","given":"Francisco A.","non-dropping-particle":"","parse-names":false,"suffix":""},{"dropping-particle":"","family":"Essl","given":"Franz","non-dropping-particle":"","parse-names":false,"suffix":""},{"dropping-particle":"","family":"Faber-Langendoen","given":"Don","non-dropping-particle":"","parse-names":false,"suffix":""},{"dropping-particle":"","family":"Fairweather","given":"Peter G.","non-dropping-particle":"","parse-names":false,"suffix":""},{"dropping-particle":"","family":"Holdaway","given":"Robert J.","non-dropping-particle":"","parse-names":false,"suffix":""},{"dropping-particle":"","family":"Jennings","given":"Michael","non-dropping-particle":"","parse-names":false,"suffix":""},{"dropping-particle":"","family":"Kingsford","given":"Richard T.","non-dropping-particle":"","parse-names":false,"suffix":""},{"dropping-particle":"","family":"Lester","given":"Rebecca E.","non-dropping-particle":"","parse-names":false,"suffix":""},{"dropping-particle":"Mac","family":"Nally","given":"Ralph","non-dropping-particle":"","parse-names":false,"suffix":""},{"dropping-particle":"","family":"McCarthy","given":"Michael A.","non-dropping-particle":"","parse-names":false,"suffix":""},{"dropping-particle":"","family":"Moat","given":"Justin","non-dropping-particle":"","parse-names":false,"suffix":""},{"dropping-particle":"","family":"Oliveira-Miranda","given":"María A.","non-dropping-particle":"","parse-names":false,"suffix":""},{"dropping-particle":"","family":"Pisanu","given":"Phil","non-dropping-particle":"","parse-names":false,"suffix":""},{"dropping-particle":"","family":"Poulin","given":"Brigitte","non-dropping-particle":"","parse-names":false,"suffix":""},{"dropping-particle":"","family":"Regan","given":"Tracey J.","non-dropping-particle":"","parse-names":false,"suffix":""},{"dropping-particle":"","family":"Riecken","given":"Uwe","non-dropping-particle":"","parse-names":false,"suffix":""},{"dropping-particle":"","family":"Spalding","given":"Mark D.","non-dropping-particle":"","parse-names":false,"suffix":""},{"dropping-particle":"","family":"Zambrano-Martínez","given":"Sergio","non-dropping-particle":"","parse-names":false,"suffix":""}],"container-title":"PLoS ONE","editor":[{"dropping-particle":"","family":"Convertino","given":"Matteo","non-dropping-particle":"","parse-names":false,"suffix":""}],"id":"ITEM-1","issue":"5","issued":{"date-parts":[["2013","5","8"]]},"page":"e62111","publisher":"Public Library of Science","title":"Scientific Foundations for an IUCN Red List of Ecosystems","type":"article-journal","volume":"8"},"uris":["http://www.mendeley.com/documents/?uuid=147694ed-97cb-3c90-b1cd-18cf607ba15f"]}],"mendeley":{"formattedCitation":"(Keith et al. 2013)","manualFormatting":"Keith et al. 2013","plainTextFormattedCitation":"(Keith et al. 2013)","previouslyFormattedCitation":"(Keith et al. 2013)"},"properties":{"noteIndex":0},"schema":"https://github.com/citation-style-language/schema/raw/master/csl-citation.json"}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Keith et al. 2013</w:t>
            </w:r>
            <w:r w:rsidRPr="008A1856">
              <w:rPr>
                <w:rFonts w:ascii="Times New Roman" w:eastAsia="Times New Roman" w:hAnsi="Times New Roman" w:cs="Times New Roman"/>
                <w:color w:val="000000"/>
              </w:rPr>
              <w:fldChar w:fldCharType="end"/>
            </w:r>
          </w:p>
        </w:tc>
      </w:tr>
      <w:tr w:rsidR="00B25C8E" w:rsidRPr="008A1856" w14:paraId="04613C60" w14:textId="77777777" w:rsidTr="00B25C8E">
        <w:trPr>
          <w:gridAfter w:val="1"/>
          <w:wAfter w:w="20" w:type="dxa"/>
          <w:trHeight w:val="284"/>
        </w:trPr>
        <w:tc>
          <w:tcPr>
            <w:tcW w:w="4962" w:type="dxa"/>
            <w:shd w:val="clear" w:color="auto" w:fill="auto"/>
            <w:tcMar>
              <w:top w:w="0" w:type="dxa"/>
              <w:left w:w="45" w:type="dxa"/>
              <w:bottom w:w="0" w:type="dxa"/>
              <w:right w:w="45" w:type="dxa"/>
            </w:tcMar>
            <w:hideMark/>
          </w:tcPr>
          <w:p w14:paraId="4DFC2CA7"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lastRenderedPageBreak/>
              <w:t>Tapia forest</w:t>
            </w:r>
          </w:p>
        </w:tc>
        <w:tc>
          <w:tcPr>
            <w:tcW w:w="2693" w:type="dxa"/>
            <w:shd w:val="clear" w:color="auto" w:fill="auto"/>
            <w:tcMar>
              <w:top w:w="0" w:type="dxa"/>
              <w:left w:w="45" w:type="dxa"/>
              <w:bottom w:w="0" w:type="dxa"/>
              <w:right w:w="45" w:type="dxa"/>
            </w:tcMar>
            <w:hideMark/>
          </w:tcPr>
          <w:p w14:paraId="5E49DC2B"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Madagascar</w:t>
            </w:r>
          </w:p>
        </w:tc>
        <w:tc>
          <w:tcPr>
            <w:tcW w:w="1984" w:type="dxa"/>
            <w:gridSpan w:val="2"/>
            <w:shd w:val="clear" w:color="auto" w:fill="auto"/>
          </w:tcPr>
          <w:p w14:paraId="52904984"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{"citationItems":[{"id":"ITEM-1","itemData":{"DOI":"10.1371/journal.pone.0062111","ISSN":"1932-6203","abstract":"An understanding of risks to biodiversity is needed for planning action to slow current rates of decline and secure ecosystem services for future human use. Although the IUCN Red List criteria provide an effective assessment protocol for species, a standard global assessment of risks to higher levels of biodiversity is currently limited. In 2008, IUCN initiated development of risk assessment criteria to support a global Red List of ecosystems. We present a new conceptual model for ecosystem risk assessment founded on a synthesis of relevant ecological theories. To support the model, we review key elements of ecosystem definition and introduce the concept of ecosystem collapse, an analogue of species extinction. The model identifies four distributional and functional symptoms of ecosystem risk as a basis for assessment criteria: A) rates of decline in ecosystem distribution; B) restricted distributions with continuing declines or threats; C) rates of environmental (abiotic) degradation; and D) rates of disruption to biotic processes. A fifth criterion, E) quantitative estimates of the risk of ecosystem collapse, enables integrated assessment of multiple processes and provides a conceptual anchor for the other criteria. We present the theoretical rationale for the construction and interpretation of each criterion. The assessment protocol and threat categories mirror those of the IUCN Red List of species. A trial of the protocol on terrestrial, subterranean, freshwater and marine ecosystems from around the world shows that its concepts are workable and its outcomes are robust, that required data are available, and that results are consistent with assessments carried out by local experts and authorities. The new protocol provides a consistent, practical and theoretically grounded framework for establishing a systematic Red List of the world’s ecosystems. This will complement the Red List of species and strengthen global capacity to report on and monitor the status of biodiversity","author":[{"dropping-particle":"","family":"Keith","given":"David A.","non-dropping-particle":"","parse-names":false,"suffix":""},{"dropping-particle":"","family":"Rodríguez","given":"Jon Paul","non-dropping-particle":"","parse-names":false,"suffix":""},{"dropping-particle":"","family":"Rodríguez-Clark","given":"Kathryn M.","non-dropping-particle":"","parse-names":false,"suffix":""},{"dropping-particle":"","family":"Nicholson","given":"Emily","non-dropping-particle":"","parse-names":false,"suffix":""},{"dropping-particle":"","family":"Aapala","given":"Kaisu","non-dropping-particle":"","parse-names":false,"suffix":""},{"dropping-particle":"","family":"Alonso","given":"Alfonso","non-dropping-particle":"","parse-names":false,"suffix":""},{"dropping-particle":"","family":"Asmussen","given":"Marianne","non-dropping-particle":"","parse-names":false,"suffix":""},{"dropping-particle":"","family":"Bachman","given":"Steven","non-dropping-particle":"","parse-names":false,"suffix":""},{"dropping-particle":"","family":"Basset","given":"Alberto","non-dropping-particle":"","parse-names":false,"suffix":""},{"dropping-particle":"","family":"Barrow","given":"Edmund G.","non-dropping-particle":"","parse-names":false,"suffix":""},{"dropping-particle":"","family":"Benson","given":"John S.","non-dropping-particle":"","parse-names":false,"suffix":""},{"dropping-particle":"","family":"Bishop","given":"Melanie J.","non-dropping-particle":"","parse-names":false,"suffix":""},{"dropping-particle":"","family":"Bonifacio","given":"Ronald","non-dropping-particle":"","parse-names":false,"suffix":""},{"dropping-particle":"","family":"Brooks","given":"Thomas M.","non-dropping-particle":"","parse-names":false,"suffix":""},{"dropping-particle":"","family":"Burgman","given":"Mark A.","non-dropping-particle":"","parse-names":false,"suffix":""},{"dropping-particle":"","family":"Comer","given":"Patrick","non-dropping-particle":"","parse-names":false,"suffix":""},{"dropping-particle":"","family":"Comín","given":"Francisco A.","non-dropping-particle":"","parse-names":false,"suffix":""},{"dropping-particle":"","family":"Essl","given":"Franz","non-dropping-particle":"","parse-names":false,"suffix":""},{"dropping-particle":"","family":"Faber-Langendoen","given":"Don","non-dropping-particle":"","parse-names":false,"suffix":""},{"dropping-particle":"","family":"Fairweather","given":"Peter G.","non-dropping-particle":"","parse-names":false,"suffix":""},{"dropping-particle":"","family":"Holdaway","given":"Robert J.","non-dropping-particle":"","parse-names":false,"suffix":""},{"dropping-particle":"","family":"Jennings","given":"Michael","non-dropping-particle":"","parse-names":false,"suffix":""},{"dropping-particle":"","family":"Kingsford","given":"Richard T.","non-dropping-particle":"","parse-names":false,"suffix":""},{"dropping-particle":"","family":"Lester","given":"Rebecca E.","non-dropping-particle":"","parse-names":false,"suffix":""},{"dropping-particle":"Mac","family":"Nally","given":"Ralph","non-dropping-particle":"","parse-names":false,"suffix":""},{"dropping-particle":"","family":"McCarthy","given":"Michael A.","non-dropping-particle":"","parse-names":false,"suffix":""},{"dropping-particle":"","family":"Moat","given":"Justin","non-dropping-particle":"","parse-names":false,"suffix":""},{"dropping-particle":"","family":"Oliveira-Miranda","given":"María A.","non-dropping-particle":"","parse-names":false,"suffix":""},{"dropping-particle":"","family":"Pisanu","given":"Phil","non-dropping-particle":"","parse-names":false,"suffix":""},{"dropping-particle":"","family":"Poulin","given":"Brigitte","non-dropping-particle":"","parse-names":false,"suffix":""},{"dropping-particle":"","family":"Regan","given":"Tracey J.","non-dropping-particle":"","parse-names":false,"suffix":""},{"dropping-particle":"","family":"Riecken","given":"Uwe","non-dropping-particle":"","parse-names":false,"suffix":""},{"dropping-particle":"","family":"Spalding","given":"Mark D.","non-dropping-particle":"","parse-names":false,"suffix":""},{"dropping-particle":"","family":"Zambrano-Martínez","given":"Sergio","non-dropping-particle":"","parse-names":false,"suffix":""}],"container-title":"PLoS ONE","editor":[{"dropping-particle":"","family":"Convertino","given":"Matteo","non-dropping-particle":"","parse-names":false,"suffix":""}],"id":"ITEM-1","issue":"5","issued":{"date-parts":[["2013","5","8"]]},"page":"e62111","publisher":"Public Library of Science","title":"Scientific Foundations for an IUCN Red List of Ecosystems","type":"article-journal","volume":"8"},"uris":["http://www.mendeley.com/documents/?uuid=147694ed-97cb-3c90-b1cd-18cf607ba15f"]}],"mendeley":{"formattedCitation":"(Keith et al. 2013)","manualFormatting":"Keith et al. 2013","plainTextFormattedCitation":"(Keith et al. 2013)","previouslyFormattedCitation":"(Keith et al. 2013)"},"properties":{"noteIndex":0},"schema":"https://github.com/citation-style-language/schema/raw/master/csl-citation.json"}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Keith et al. 2013</w:t>
            </w:r>
            <w:r w:rsidRPr="008A1856">
              <w:rPr>
                <w:rFonts w:ascii="Times New Roman" w:eastAsia="Times New Roman" w:hAnsi="Times New Roman" w:cs="Times New Roman"/>
                <w:color w:val="000000"/>
              </w:rPr>
              <w:fldChar w:fldCharType="end"/>
            </w:r>
          </w:p>
        </w:tc>
      </w:tr>
      <w:tr w:rsidR="00B25C8E" w:rsidRPr="008A1856" w14:paraId="0612F1B4" w14:textId="77777777" w:rsidTr="00B25C8E">
        <w:trPr>
          <w:gridAfter w:val="1"/>
          <w:wAfter w:w="20" w:type="dxa"/>
          <w:trHeight w:val="568"/>
        </w:trPr>
        <w:tc>
          <w:tcPr>
            <w:tcW w:w="4962" w:type="dxa"/>
            <w:shd w:val="clear" w:color="auto" w:fill="auto"/>
            <w:tcMar>
              <w:top w:w="0" w:type="dxa"/>
              <w:left w:w="45" w:type="dxa"/>
              <w:bottom w:w="0" w:type="dxa"/>
              <w:right w:w="45" w:type="dxa"/>
            </w:tcMar>
            <w:hideMark/>
          </w:tcPr>
          <w:p w14:paraId="2155E62D" w14:textId="6E1A1FF8"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 xml:space="preserve">Great Lakes </w:t>
            </w:r>
            <w:r w:rsidR="009E0C04">
              <w:rPr>
                <w:rFonts w:ascii="Times New Roman" w:eastAsia="Times New Roman" w:hAnsi="Times New Roman" w:cs="Times New Roman"/>
                <w:noProof/>
                <w:color w:val="000000"/>
              </w:rPr>
              <w:t>a</w:t>
            </w:r>
            <w:r w:rsidRPr="009E0C04">
              <w:rPr>
                <w:rFonts w:ascii="Times New Roman" w:eastAsia="Times New Roman" w:hAnsi="Times New Roman" w:cs="Times New Roman"/>
                <w:noProof/>
                <w:color w:val="000000"/>
              </w:rPr>
              <w:t>lvar</w:t>
            </w:r>
          </w:p>
        </w:tc>
        <w:tc>
          <w:tcPr>
            <w:tcW w:w="2693" w:type="dxa"/>
            <w:shd w:val="clear" w:color="auto" w:fill="auto"/>
            <w:tcMar>
              <w:top w:w="0" w:type="dxa"/>
              <w:left w:w="45" w:type="dxa"/>
              <w:bottom w:w="0" w:type="dxa"/>
              <w:right w:w="45" w:type="dxa"/>
            </w:tcMar>
            <w:hideMark/>
          </w:tcPr>
          <w:p w14:paraId="776C01C5" w14:textId="77777777" w:rsidR="00B25C8E" w:rsidRPr="00D31378" w:rsidRDefault="00B25C8E" w:rsidP="005E5C8A">
            <w:pPr>
              <w:spacing w:after="0" w:line="240" w:lineRule="auto"/>
              <w:rPr>
                <w:rFonts w:ascii="Times New Roman" w:eastAsia="Times New Roman" w:hAnsi="Times New Roman" w:cs="Times New Roman"/>
                <w:color w:val="000000"/>
              </w:rPr>
            </w:pPr>
            <w:r w:rsidRPr="009E0C04">
              <w:rPr>
                <w:rFonts w:ascii="Times New Roman" w:eastAsia="Times New Roman" w:hAnsi="Times New Roman" w:cs="Times New Roman"/>
                <w:noProof/>
                <w:color w:val="000000"/>
              </w:rPr>
              <w:t>United</w:t>
            </w:r>
            <w:r w:rsidRPr="00D31378">
              <w:rPr>
                <w:rFonts w:ascii="Times New Roman" w:eastAsia="Times New Roman" w:hAnsi="Times New Roman" w:cs="Times New Roman"/>
                <w:color w:val="000000"/>
              </w:rPr>
              <w:t xml:space="preserve"> States of America and Canada</w:t>
            </w:r>
          </w:p>
        </w:tc>
        <w:tc>
          <w:tcPr>
            <w:tcW w:w="1984" w:type="dxa"/>
            <w:gridSpan w:val="2"/>
            <w:shd w:val="clear" w:color="auto" w:fill="auto"/>
          </w:tcPr>
          <w:p w14:paraId="058CCFF7"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{"citationItems":[{"id":"ITEM-1","itemData":{"DOI":"10.1371/journal.pone.0062111","ISSN":"1932-6203","abstract":"An understanding of risks to biodiversity is needed for planning action to slow current rates of decline and secure ecosystem services for future human use. Although the IUCN Red List criteria provide an effective assessment protocol for species, a standard global assessment of risks to higher levels of biodiversity is currently limited. In 2008, IUCN initiated development of risk assessment criteria to support a global Red List of ecosystems. We present a new conceptual model for ecosystem risk assessment founded on a synthesis of relevant ecological theories. To support the model, we review key elements of ecosystem definition and introduce the concept of ecosystem collapse, an analogue of species extinction. The model identifies four distributional and functional symptoms of ecosystem risk as a basis for assessment criteria: A) rates of decline in ecosystem distribution; B) restricted distributions with continuing declines or threats; C) rates of environmental (abiotic) degradation; and D) rates of disruption to biotic processes. A fifth criterion, E) quantitative estimates of the risk of ecosystem collapse, enables integrated assessment of multiple processes and provides a conceptual anchor for the other criteria. We present the theoretical rationale for the construction and interpretation of each criterion. The assessment protocol and threat categories mirror those of the IUCN Red List of species. A trial of the protocol on terrestrial, subterranean, freshwater and marine ecosystems from around the world shows that its concepts are workable and its outcomes are robust, that required data are available, and that results are consistent with assessments carried out by local experts and authorities. The new protocol provides a consistent, practical and theoretically grounded framework for establishing a systematic Red List of the world’s ecosystems. This will complement the Red List of species and strengthen global capacity to report on and monitor the status of biodiversity","author":[{"dropping-particle":"","family":"Keith","given":"David A.","non-dropping-particle":"","parse-names":false,"suffix":""},{"dropping-particle":"","family":"Rodríguez","given":"Jon Paul","non-dropping-particle":"","parse-names":false,"suffix":""},{"dropping-particle":"","family":"Rodríguez-Clark","given":"Kathryn M.","non-dropping-particle":"","parse-names":false,"suffix":""},{"dropping-particle":"","family":"Nicholson","given":"Emily","non-dropping-particle":"","parse-names":false,"suffix":""},{"dropping-particle":"","family":"Aapala","given":"Kaisu","non-dropping-particle":"","parse-names":false,"suffix":""},{"dropping-particle":"","family":"Alonso","given":"Alfonso","non-dropping-particle":"","parse-names":false,"suffix":""},{"dropping-particle":"","family":"Asmussen","given":"Marianne","non-dropping-particle":"","parse-names":false,"suffix":""},{"dropping-particle":"","family":"Bachman","given":"Steven","non-dropping-particle":"","parse-names":false,"suffix":""},{"dropping-particle":"","family":"Basset","given":"Alberto","non-dropping-particle":"","parse-names":false,"suffix":""},{"dropping-particle":"","family":"Barrow","given":"Edmund G.","non-dropping-particle":"","parse-names":false,"suffix":""},{"dropping-particle":"","family":"Benson","given":"John S.","non-dropping-particle":"","parse-names":false,"suffix":""},{"dropping-particle":"","family":"Bishop","given":"Melanie J.","non-dropping-particle":"","parse-names":false,"suffix":""},{"dropping-particle":"","family":"Bonifacio","given":"Ronald","non-dropping-particle":"","parse-names":false,"suffix":""},{"dropping-particle":"","family":"Brooks","given":"Thomas M.","non-dropping-particle":"","parse-names":false,"suffix":""},{"dropping-particle":"","family":"Burgman","given":"Mark A.","non-dropping-particle":"","parse-names":false,"suffix":""},{"dropping-particle":"","family":"Comer","given":"Patrick","non-dropping-particle":"","parse-names":false,"suffix":""},{"dropping-particle":"","family":"Comín","given":"Francisco A.","non-dropping-particle":"","parse-names":false,"suffix":""},{"dropping-particle":"","family":"Essl","given":"Franz","non-dropping-particle":"","parse-names":false,"suffix":""},{"dropping-particle":"","family":"Faber-Langendoen","given":"Don","non-dropping-particle":"","parse-names":false,"suffix":""},{"dropping-particle":"","family":"Fairweather","given":"Peter G.","non-dropping-particle":"","parse-names":false,"suffix":""},{"dropping-particle":"","family":"Holdaway","given":"Robert J.","non-dropping-particle":"","parse-names":false,"suffix":""},{"dropping-particle":"","family":"Jennings","given":"Michael","non-dropping-particle":"","parse-names":false,"suffix":""},{"dropping-particle":"","family":"Kingsford","given":"Richard T.","non-dropping-particle":"","parse-names":false,"suffix":""},{"dropping-particle":"","family":"Lester","given":"Rebecca E.","non-dropping-particle":"","parse-names":false,"suffix":""},{"dropping-particle":"Mac","family":"Nally","given":"Ralph","non-dropping-particle":"","parse-names":false,"suffix":""},{"dropping-particle":"","family":"McCarthy","given":"Michael A.","non-dropping-particle":"","parse-names":false,"suffix":""},{"dropping-particle":"","family":"Moat","given":"Justin","non-dropping-particle":"","parse-names":false,"suffix":""},{"dropping-particle":"","family":"Oliveira-Miranda","given":"María A.","non-dropping-particle":"","parse-names":false,"suffix":""},{"dropping-particle":"","family":"Pisanu","given":"Phil","non-dropping-particle":"","parse-names":false,"suffix":""},{"dropping-particle":"","family":"Poulin","given":"Brigitte","non-dropping-particle":"","parse-names":false,"suffix":""},{"dropping-particle":"","family":"Regan","given":"Tracey J.","non-dropping-particle":"","parse-names":false,"suffix":""},{"dropping-particle":"","family":"Riecken","given":"Uwe","non-dropping-particle":"","parse-names":false,"suffix":""},{"dropping-particle":"","family":"Spalding","given":"Mark D.","non-dropping-particle":"","parse-names":false,"suffix":""},{"dropping-particle":"","family":"Zambrano-Martínez","given":"Sergio","non-dropping-particle":"","parse-names":false,"suffix":""}],"container-title":"PLoS ONE","editor":[{"dropping-particle":"","family":"Convertino","given":"Matteo","non-dropping-particle":"","parse-names":false,"suffix":""}],"id":"ITEM-1","issue":"5","issued":{"date-parts":[["2013","5","8"]]},"page":"e62111","publisher":"Public Library of Science","title":"Scientific Foundations for an IUCN Red List of Ecosystems","type":"article-journal","volume":"8"},"uris":["http://www.mendeley.com/documents/?uuid=147694ed-97cb-3c90-b1cd-18cf607ba15f"]}],"mendeley":{"formattedCitation":"(Keith et al. 2013)","manualFormatting":"Keith et al. 2013","plainTextFormattedCitation":"(Keith et al. 2013)","previouslyFormattedCitation":"(Keith et al. 2013)"},"properties":{"noteIndex":0},"schema":"https://github.com/citation-style-language/schema/raw/master/csl-citation.json"}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Keith et al. 2013</w:t>
            </w:r>
            <w:r w:rsidRPr="008A1856">
              <w:rPr>
                <w:rFonts w:ascii="Times New Roman" w:eastAsia="Times New Roman" w:hAnsi="Times New Roman" w:cs="Times New Roman"/>
                <w:color w:val="000000"/>
              </w:rPr>
              <w:fldChar w:fldCharType="end"/>
            </w:r>
          </w:p>
        </w:tc>
      </w:tr>
      <w:tr w:rsidR="00B25C8E" w:rsidRPr="008A1856" w14:paraId="21F4F7DE" w14:textId="77777777" w:rsidTr="00B25C8E">
        <w:trPr>
          <w:gridAfter w:val="1"/>
          <w:wAfter w:w="20" w:type="dxa"/>
          <w:trHeight w:val="426"/>
        </w:trPr>
        <w:tc>
          <w:tcPr>
            <w:tcW w:w="4962" w:type="dxa"/>
            <w:shd w:val="clear" w:color="auto" w:fill="auto"/>
            <w:tcMar>
              <w:top w:w="0" w:type="dxa"/>
              <w:left w:w="45" w:type="dxa"/>
              <w:bottom w:w="0" w:type="dxa"/>
              <w:right w:w="45" w:type="dxa"/>
            </w:tcMar>
            <w:hideMark/>
          </w:tcPr>
          <w:p w14:paraId="1FCF37FF" w14:textId="77777777" w:rsidR="00B25C8E" w:rsidRPr="00D31378" w:rsidRDefault="00B25C8E" w:rsidP="005E5C8A">
            <w:pPr>
              <w:spacing w:after="0" w:line="240" w:lineRule="auto"/>
              <w:rPr>
                <w:rFonts w:ascii="Times New Roman" w:eastAsia="Times New Roman" w:hAnsi="Times New Roman" w:cs="Times New Roman"/>
                <w:color w:val="000000"/>
              </w:rPr>
            </w:pPr>
            <w:proofErr w:type="spellStart"/>
            <w:r w:rsidRPr="00D31378">
              <w:rPr>
                <w:rFonts w:ascii="Times New Roman" w:eastAsia="Times New Roman" w:hAnsi="Times New Roman" w:cs="Times New Roman"/>
                <w:color w:val="000000"/>
              </w:rPr>
              <w:t>Tepui</w:t>
            </w:r>
            <w:proofErr w:type="spellEnd"/>
            <w:r w:rsidRPr="00D31378">
              <w:rPr>
                <w:rFonts w:ascii="Times New Roman" w:eastAsia="Times New Roman" w:hAnsi="Times New Roman" w:cs="Times New Roman"/>
                <w:color w:val="000000"/>
              </w:rPr>
              <w:t xml:space="preserve"> </w:t>
            </w:r>
            <w:proofErr w:type="spellStart"/>
            <w:r w:rsidRPr="00D31378">
              <w:rPr>
                <w:rFonts w:ascii="Times New Roman" w:eastAsia="Times New Roman" w:hAnsi="Times New Roman" w:cs="Times New Roman"/>
                <w:color w:val="000000"/>
              </w:rPr>
              <w:t>shrublands</w:t>
            </w:r>
            <w:proofErr w:type="spellEnd"/>
          </w:p>
        </w:tc>
        <w:tc>
          <w:tcPr>
            <w:tcW w:w="2693" w:type="dxa"/>
            <w:shd w:val="clear" w:color="auto" w:fill="auto"/>
            <w:tcMar>
              <w:top w:w="0" w:type="dxa"/>
              <w:left w:w="45" w:type="dxa"/>
              <w:bottom w:w="0" w:type="dxa"/>
              <w:right w:w="45" w:type="dxa"/>
            </w:tcMar>
            <w:hideMark/>
          </w:tcPr>
          <w:p w14:paraId="6BA3EE8D"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Venezuela</w:t>
            </w:r>
          </w:p>
        </w:tc>
        <w:tc>
          <w:tcPr>
            <w:tcW w:w="1984" w:type="dxa"/>
            <w:gridSpan w:val="2"/>
            <w:shd w:val="clear" w:color="auto" w:fill="auto"/>
          </w:tcPr>
          <w:p w14:paraId="0B038AEA"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{"citationItems":[{"id":"ITEM-1","itemData":{"DOI":"10.1371/journal.pone.0062111","ISSN":"1932-6203","abstract":"An understanding of risks to biodiversity is needed for planning action to slow current rates of decline and secure ecosystem services for future human use. Although the IUCN Red List criteria provide an effective assessment protocol for species, a standard global assessment of risks to higher levels of biodiversity is currently limited. In 2008, IUCN initiated development of risk assessment criteria to support a global Red List of ecosystems. We present a new conceptual model for ecosystem risk assessment founded on a synthesis of relevant ecological theories. To support the model, we review key elements of ecosystem definition and introduce the concept of ecosystem collapse, an analogue of species extinction. The model identifies four distributional and functional symptoms of ecosystem risk as a basis for assessment criteria: A) rates of decline in ecosystem distribution; B) restricted distributions with continuing declines or threats; C) rates of environmental (abiotic) degradation; and D) rates of disruption to biotic processes. A fifth criterion, E) quantitative estimates of the risk of ecosystem collapse, enables integrated assessment of multiple processes and provides a conceptual anchor for the other criteria. We present the theoretical rationale for the construction and interpretation of each criterion. The assessment protocol and threat categories mirror those of the IUCN Red List of species. A trial of the protocol on terrestrial, subterranean, freshwater and marine ecosystems from around the world shows that its concepts are workable and its outcomes are robust, that required data are available, and that results are consistent with assessments carried out by local experts and authorities. The new protocol provides a consistent, practical and theoretically grounded framework for establishing a systematic Red List of the world’s ecosystems. This will complement the Red List of species and strengthen global capacity to report on and monitor the status of biodiversity","author":[{"dropping-particle":"","family":"Keith","given":"David A.","non-dropping-particle":"","parse-names":false,"suffix":""},{"dropping-particle":"","family":"Rodríguez","given":"Jon Paul","non-dropping-particle":"","parse-names":false,"suffix":""},{"dropping-particle":"","family":"Rodríguez-Clark","given":"Kathryn M.","non-dropping-particle":"","parse-names":false,"suffix":""},{"dropping-particle":"","family":"Nicholson","given":"Emily","non-dropping-particle":"","parse-names":false,"suffix":""},{"dropping-particle":"","family":"Aapala","given":"Kaisu","non-dropping-particle":"","parse-names":false,"suffix":""},{"dropping-particle":"","family":"Alonso","given":"Alfonso","non-dropping-particle":"","parse-names":false,"suffix":""},{"dropping-particle":"","family":"Asmussen","given":"Marianne","non-dropping-particle":"","parse-names":false,"suffix":""},{"dropping-particle":"","family":"Bachman","given":"Steven","non-dropping-particle":"","parse-names":false,"suffix":""},{"dropping-particle":"","family":"Basset","given":"Alberto","non-dropping-particle":"","parse-names":false,"suffix":""},{"dropping-particle":"","family":"Barrow","given":"Edmund G.","non-dropping-particle":"","parse-names":false,"suffix":""},{"dropping-particle":"","family":"Benson","given":"John S.","non-dropping-particle":"","parse-names":false,"suffix":""},{"dropping-particle":"","family":"Bishop","given":"Melanie J.","non-dropping-particle":"","parse-names":false,"suffix":""},{"dropping-particle":"","family":"Bonifacio","given":"Ronald","non-dropping-particle":"","parse-names":false,"suffix":""},{"dropping-particle":"","family":"Brooks","given":"Thomas M.","non-dropping-particle":"","parse-names":false,"suffix":""},{"dropping-particle":"","family":"Burgman","given":"Mark A.","non-dropping-particle":"","parse-names":false,"suffix":""},{"dropping-particle":"","family":"Comer","given":"Patrick","non-dropping-particle":"","parse-names":false,"suffix":""},{"dropping-particle":"","family":"Comín","given":"Francisco A.","non-dropping-particle":"","parse-names":false,"suffix":""},{"dropping-particle":"","family":"Essl","given":"Franz","non-dropping-particle":"","parse-names":false,"suffix":""},{"dropping-particle":"","family":"Faber-Langendoen","given":"Don","non-dropping-particle":"","parse-names":false,"suffix":""},{"dropping-particle":"","family":"Fairweather","given":"Peter G.","non-dropping-particle":"","parse-names":false,"suffix":""},{"dropping-particle":"","family":"Holdaway","given":"Robert J.","non-dropping-particle":"","parse-names":false,"suffix":""},{"dropping-particle":"","family":"Jennings","given":"Michael","non-dropping-particle":"","parse-names":false,"suffix":""},{"dropping-particle":"","family":"Kingsford","given":"Richard T.","non-dropping-particle":"","parse-names":false,"suffix":""},{"dropping-particle":"","family":"Lester","given":"Rebecca E.","non-dropping-particle":"","parse-names":false,"suffix":""},{"dropping-particle":"Mac","family":"Nally","given":"Ralph","non-dropping-particle":"","parse-names":false,"suffix":""},{"dropping-particle":"","family":"McCarthy","given":"Michael A.","non-dropping-particle":"","parse-names":false,"suffix":""},{"dropping-particle":"","family":"Moat","given":"Justin","non-dropping-particle":"","parse-names":false,"suffix":""},{"dropping-particle":"","family":"Oliveira-Miranda","given":"María A.","non-dropping-particle":"","parse-names":false,"suffix":""},{"dropping-particle":"","family":"Pisanu","given":"Phil","non-dropping-particle":"","parse-names":false,"suffix":""},{"dropping-particle":"","family":"Poulin","given":"Brigitte","non-dropping-particle":"","parse-names":false,"suffix":""},{"dropping-particle":"","family":"Regan","given":"Tracey J.","non-dropping-particle":"","parse-names":false,"suffix":""},{"dropping-particle":"","family":"Riecken","given":"Uwe","non-dropping-particle":"","parse-names":false,"suffix":""},{"dropping-particle":"","family":"Spalding","given":"Mark D.","non-dropping-particle":"","parse-names":false,"suffix":""},{"dropping-particle":"","family":"Zambrano-Martínez","given":"Sergio","non-dropping-particle":"","parse-names":false,"suffix":""}],"container-title":"PLoS ONE","editor":[{"dropping-particle":"","family":"Convertino","given":"Matteo","non-dropping-particle":"","parse-names":false,"suffix":""}],"id":"ITEM-1","issue":"5","issued":{"date-parts":[["2013","5","8"]]},"page":"e62111","publisher":"Public Library of Science","title":"Scientific Foundations for an IUCN Red List of Ecosystems","type":"article-journal","volume":"8"},"uris":["http://www.mendeley.com/documents/?uuid=147694ed-97cb-3c90-b1cd-18cf607ba15f"]}],"mendeley":{"formattedCitation":"(Keith et al. 2013)","manualFormatting":"Keith et al. 2013","plainTextFormattedCitation":"(Keith et al. 2013)","previouslyFormattedCitation":"(Keith et al. 2013)"},"properties":{"noteIndex":0},"schema":"https://github.com/citation-style-language/schema/raw/master/csl-citation.json"}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Keith et al. 2013</w:t>
            </w:r>
            <w:r w:rsidRPr="008A1856">
              <w:rPr>
                <w:rFonts w:ascii="Times New Roman" w:eastAsia="Times New Roman" w:hAnsi="Times New Roman" w:cs="Times New Roman"/>
                <w:color w:val="000000"/>
              </w:rPr>
              <w:fldChar w:fldCharType="end"/>
            </w:r>
          </w:p>
        </w:tc>
      </w:tr>
      <w:tr w:rsidR="00B25C8E" w:rsidRPr="008A1856" w14:paraId="11438B8B" w14:textId="77777777" w:rsidTr="00B25C8E">
        <w:trPr>
          <w:gridAfter w:val="1"/>
          <w:wAfter w:w="20" w:type="dxa"/>
          <w:trHeight w:val="418"/>
        </w:trPr>
        <w:tc>
          <w:tcPr>
            <w:tcW w:w="4962" w:type="dxa"/>
            <w:shd w:val="clear" w:color="auto" w:fill="auto"/>
            <w:tcMar>
              <w:top w:w="0" w:type="dxa"/>
              <w:left w:w="45" w:type="dxa"/>
              <w:bottom w:w="0" w:type="dxa"/>
              <w:right w:w="45" w:type="dxa"/>
            </w:tcMar>
            <w:hideMark/>
          </w:tcPr>
          <w:p w14:paraId="4DD5D6B7"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 xml:space="preserve">Alpine snow patch </w:t>
            </w:r>
            <w:r w:rsidRPr="009E0C04">
              <w:rPr>
                <w:rFonts w:ascii="Times New Roman" w:eastAsia="Times New Roman" w:hAnsi="Times New Roman" w:cs="Times New Roman"/>
                <w:noProof/>
                <w:color w:val="000000"/>
              </w:rPr>
              <w:t>herbfields</w:t>
            </w:r>
          </w:p>
        </w:tc>
        <w:tc>
          <w:tcPr>
            <w:tcW w:w="2693" w:type="dxa"/>
            <w:shd w:val="clear" w:color="auto" w:fill="auto"/>
            <w:tcMar>
              <w:top w:w="0" w:type="dxa"/>
              <w:left w:w="45" w:type="dxa"/>
              <w:bottom w:w="0" w:type="dxa"/>
              <w:right w:w="45" w:type="dxa"/>
            </w:tcMar>
            <w:hideMark/>
          </w:tcPr>
          <w:p w14:paraId="1F9B06DF"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Australia</w:t>
            </w:r>
          </w:p>
        </w:tc>
        <w:tc>
          <w:tcPr>
            <w:tcW w:w="1984" w:type="dxa"/>
            <w:gridSpan w:val="2"/>
            <w:shd w:val="clear" w:color="auto" w:fill="auto"/>
          </w:tcPr>
          <w:p w14:paraId="19634B11"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{"citationItems":[{"id":"ITEM-1","itemData":{"DOI":"10.1111/aec.12266","ISSN":"14429985","author":[{"dropping-particle":"","family":"Williams","given":"R. J.","non-dropping-particle":"","parse-names":false,"suffix":""},{"dropping-particle":"","family":"Wahren","given":"C.-H.","non-dropping-particle":"","parse-names":false,"suffix":""},{"dropping-particle":"","family":"Stott","given":"K. A. J.","non-dropping-particle":"","parse-names":false,"suffix":""},{"dropping-particle":"","family":"Camac","given":"J. S.","non-dropping-particle":"","parse-names":false,"suffix":""},{"dropping-particle":"","family":"White","given":"M.","non-dropping-particle":"","parse-names":false,"suffix":""},{"dropping-particle":"","family":"Burns","given":"E.","non-dropping-particle":"","parse-names":false,"suffix":""},{"dropping-particle":"","family":"Harris","given":"S.","non-dropping-particle":"","parse-names":false,"suffix":""},{"dropping-particle":"","family":"Nash","given":"M.","non-dropping-particle":"","parse-names":false,"suffix":""},{"dropping-particle":"","family":"Morgan","given":"J. W.","non-dropping-particle":"","parse-names":false,"suffix":""},{"dropping-particle":"","family":"Venn","given":"S.","non-dropping-particle":"","parse-names":false,"suffix":""},{"dropping-particle":"","family":"Papst","given":"W. A.","non-dropping-particle":"","parse-names":false,"suffix":""},{"dropping-particle":"","family":"Hoffmann","given":"A. A.","non-dropping-particle":"","parse-names":false,"suffix":""}],"container-title":"Austral Ecology","id":"ITEM-1","issue":"4","issued":{"date-parts":[["2015","6","1"]]},"page":"433-443","publisher":"Wiley/Blackwell (10.1111)","title":"An International Union for the Conservation of Nature Red List ecosystems risk assessment for alpine snow patch herbfields, South-Eastern Australia","type":"article-journal","volume":"40"},"uris":["http://www.mendeley.com/documents/?uuid=ad1528c4-d787-388a-900c-5e6b44798677"]}],"mendeley":{"formattedCitation":"(Williams et al. 2015)","manualFormatting":"Williams et al. 2015","plainTextFormattedCitation":"(Williams et al. 2015)","previouslyFormattedCitation":"(Williams et al. 2015)"},"properties":{"noteIndex":0},"schema":"https://github.com/citation-style-language/schema/raw/master/csl-citation.json"}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Williams et al. 2015</w:t>
            </w:r>
            <w:r w:rsidRPr="008A1856">
              <w:rPr>
                <w:rFonts w:ascii="Times New Roman" w:eastAsia="Times New Roman" w:hAnsi="Times New Roman" w:cs="Times New Roman"/>
                <w:color w:val="000000"/>
              </w:rPr>
              <w:fldChar w:fldCharType="end"/>
            </w:r>
          </w:p>
        </w:tc>
      </w:tr>
      <w:tr w:rsidR="00B25C8E" w:rsidRPr="008A1856" w14:paraId="24D49982" w14:textId="77777777" w:rsidTr="00B25C8E">
        <w:trPr>
          <w:gridAfter w:val="1"/>
          <w:wAfter w:w="20" w:type="dxa"/>
          <w:trHeight w:val="579"/>
        </w:trPr>
        <w:tc>
          <w:tcPr>
            <w:tcW w:w="4962" w:type="dxa"/>
            <w:shd w:val="clear" w:color="auto" w:fill="auto"/>
            <w:tcMar>
              <w:top w:w="0" w:type="dxa"/>
              <w:left w:w="45" w:type="dxa"/>
              <w:bottom w:w="0" w:type="dxa"/>
              <w:right w:w="45" w:type="dxa"/>
            </w:tcMar>
            <w:hideMark/>
          </w:tcPr>
          <w:p w14:paraId="674D0818"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Coastal lowland rainforests of the wet tropics bioregion, Queensland</w:t>
            </w:r>
          </w:p>
        </w:tc>
        <w:tc>
          <w:tcPr>
            <w:tcW w:w="2693" w:type="dxa"/>
            <w:shd w:val="clear" w:color="auto" w:fill="auto"/>
            <w:tcMar>
              <w:top w:w="0" w:type="dxa"/>
              <w:left w:w="45" w:type="dxa"/>
              <w:bottom w:w="0" w:type="dxa"/>
              <w:right w:w="45" w:type="dxa"/>
            </w:tcMar>
            <w:hideMark/>
          </w:tcPr>
          <w:p w14:paraId="113C6E31"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Australia</w:t>
            </w:r>
          </w:p>
        </w:tc>
        <w:tc>
          <w:tcPr>
            <w:tcW w:w="1984" w:type="dxa"/>
            <w:gridSpan w:val="2"/>
            <w:shd w:val="clear" w:color="auto" w:fill="auto"/>
          </w:tcPr>
          <w:p w14:paraId="565C0FBD"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{"citationItems":[{"id":"ITEM-1","itemData":{"DOI":"10.1111/aec.12263","ISSN":"14429985","author":[{"dropping-particle":"","family":"Metcalfe","given":"Daniel J.","non-dropping-particle":"","parse-names":false,"suffix":""},{"dropping-particle":"","family":"Lawson","given":"T. J.","non-dropping-particle":"","parse-names":false,"suffix":""}],"container-title":"Austral Ecology","id":"ITEM-1","issue":"4","issued":{"date-parts":[["2015","6","1"]]},"page":"373-385","publisher":"Wiley/Blackwell (10.1111)","title":"An International Union for Conservation of Nature risk assessment of coastal lowland rainforests of the Wet Tropics Bioregion, Queensland, Australia","type":"article-journal","volume":"40"},"uris":["http://www.mendeley.com/documents/?uuid=c5531b59-bea5-30d3-8112-b36ac148e747"]}],"mendeley":{"formattedCitation":"(Metcalfe &amp; Lawson 2015)","manualFormatting":"Metcalfe &amp; Lawson 2015","plainTextFormattedCitation":"(Metcalfe &amp; Lawson 2015)","previouslyFormattedCitation":"(Metcalfe &amp; Lawson 2015)"},"properties":{"noteIndex":0},"schema":"https://github.com/citation-style-language/schema/raw/master/csl-citation.json"}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Metcalfe &amp; Lawson 2015</w:t>
            </w:r>
            <w:r w:rsidRPr="008A1856">
              <w:rPr>
                <w:rFonts w:ascii="Times New Roman" w:eastAsia="Times New Roman" w:hAnsi="Times New Roman" w:cs="Times New Roman"/>
                <w:color w:val="000000"/>
              </w:rPr>
              <w:fldChar w:fldCharType="end"/>
            </w:r>
          </w:p>
        </w:tc>
      </w:tr>
      <w:tr w:rsidR="00B25C8E" w:rsidRPr="008A1856" w14:paraId="5BD3B8AD" w14:textId="77777777" w:rsidTr="00B25C8E">
        <w:trPr>
          <w:gridAfter w:val="1"/>
          <w:wAfter w:w="20" w:type="dxa"/>
          <w:trHeight w:val="417"/>
        </w:trPr>
        <w:tc>
          <w:tcPr>
            <w:tcW w:w="4962" w:type="dxa"/>
            <w:shd w:val="clear" w:color="auto" w:fill="auto"/>
            <w:tcMar>
              <w:top w:w="0" w:type="dxa"/>
              <w:left w:w="45" w:type="dxa"/>
              <w:bottom w:w="0" w:type="dxa"/>
              <w:right w:w="45" w:type="dxa"/>
            </w:tcMar>
            <w:hideMark/>
          </w:tcPr>
          <w:p w14:paraId="0B11CD85" w14:textId="79E3DAFA" w:rsidR="00B25C8E" w:rsidRPr="00D31378" w:rsidRDefault="009A7ADC" w:rsidP="005E5C8A">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Coolibah</w:t>
            </w:r>
            <w:proofErr w:type="spellEnd"/>
            <w:r>
              <w:rPr>
                <w:rFonts w:ascii="Times New Roman" w:eastAsia="Times New Roman" w:hAnsi="Times New Roman" w:cs="Times New Roman"/>
                <w:color w:val="000000"/>
              </w:rPr>
              <w:t xml:space="preserve"> </w:t>
            </w:r>
            <w:r w:rsidRPr="009E0C04">
              <w:rPr>
                <w:rFonts w:ascii="Times New Roman" w:eastAsia="Times New Roman" w:hAnsi="Times New Roman" w:cs="Times New Roman"/>
                <w:color w:val="000000"/>
              </w:rPr>
              <w:t>—</w:t>
            </w:r>
            <w:r w:rsidR="00B25C8E" w:rsidRPr="00D31378">
              <w:rPr>
                <w:rFonts w:ascii="Times New Roman" w:eastAsia="Times New Roman" w:hAnsi="Times New Roman" w:cs="Times New Roman"/>
                <w:color w:val="000000"/>
              </w:rPr>
              <w:t xml:space="preserve"> Black Box woodlands</w:t>
            </w:r>
          </w:p>
        </w:tc>
        <w:tc>
          <w:tcPr>
            <w:tcW w:w="2693" w:type="dxa"/>
            <w:shd w:val="clear" w:color="auto" w:fill="auto"/>
            <w:tcMar>
              <w:top w:w="0" w:type="dxa"/>
              <w:left w:w="45" w:type="dxa"/>
              <w:bottom w:w="0" w:type="dxa"/>
              <w:right w:w="45" w:type="dxa"/>
            </w:tcMar>
            <w:hideMark/>
          </w:tcPr>
          <w:p w14:paraId="4506311F"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Australia</w:t>
            </w:r>
          </w:p>
        </w:tc>
        <w:tc>
          <w:tcPr>
            <w:tcW w:w="1984" w:type="dxa"/>
            <w:gridSpan w:val="2"/>
            <w:shd w:val="clear" w:color="auto" w:fill="auto"/>
          </w:tcPr>
          <w:p w14:paraId="199748E2"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{"citationItems":[{"id":"ITEM-1","itemData":{"DOI":"10.1371/journal.pone.0062111","ISSN":"1932-6203","abstract":"An understanding of risks to biodiversity is needed for planning action to slow current rates of decline and secure ecosystem services for future human use. Although the IUCN Red List criteria provide an effective assessment protocol for species, a standard global assessment of risks to higher levels of biodiversity is currently limited. In 2008, IUCN initiated development of risk assessment criteria to support a global Red List of ecosystems. We present a new conceptual model for ecosystem risk assessment founded on a synthesis of relevant ecological theories. To support the model, we review key elements of ecosystem definition and introduce the concept of ecosystem collapse, an analogue of species extinction. The model identifies four distributional and functional symptoms of ecosystem risk as a basis for assessment criteria: A) rates of decline in ecosystem distribution; B) restricted distributions with continuing declines or threats; C) rates of environmental (abiotic) degradation; and D) rates of disruption to biotic processes. A fifth criterion, E) quantitative estimates of the risk of ecosystem collapse, enables integrated assessment of multiple processes and provides a conceptual anchor for the other criteria. We present the theoretical rationale for the construction and interpretation of each criterion. The assessment protocol and threat categories mirror those of the IUCN Red List of species. A trial of the protocol on terrestrial, subterranean, freshwater and marine ecosystems from around the world shows that its concepts are workable and its outcomes are robust, that required data are available, and that results are consistent with assessments carried out by local experts and authorities. The new protocol provides a consistent, practical and theoretically grounded framework for establishing a systematic Red List of the world’s ecosystems. This will complement the Red List of species and strengthen global capacity to report on and monitor the status of biodiversity","author":[{"dropping-particle":"","family":"Keith","given":"David A.","non-dropping-particle":"","parse-names":false,"suffix":""},{"dropping-particle":"","family":"Rodríguez","given":"Jon Paul","non-dropping-particle":"","parse-names":false,"suffix":""},{"dropping-particle":"","family":"Rodríguez-Clark","given":"Kathryn M.","non-dropping-particle":"","parse-names":false,"suffix":""},{"dropping-particle":"","family":"Nicholson","given":"Emily","non-dropping-particle":"","parse-names":false,"suffix":""},{"dropping-particle":"","family":"Aapala","given":"Kaisu","non-dropping-particle":"","parse-names":false,"suffix":""},{"dropping-particle":"","family":"Alonso","given":"Alfonso","non-dropping-particle":"","parse-names":false,"suffix":""},{"dropping-particle":"","family":"Asmussen","given":"Marianne","non-dropping-particle":"","parse-names":false,"suffix":""},{"dropping-particle":"","family":"Bachman","given":"Steven","non-dropping-particle":"","parse-names":false,"suffix":""},{"dropping-particle":"","family":"Basset","given":"Alberto","non-dropping-particle":"","parse-names":false,"suffix":""},{"dropping-particle":"","family":"Barrow","given":"Edmund G.","non-dropping-particle":"","parse-names":false,"suffix":""},{"dropping-particle":"","family":"Benson","given":"John S.","non-dropping-particle":"","parse-names":false,"suffix":""},{"dropping-particle":"","family":"Bishop","given":"Melanie J.","non-dropping-particle":"","parse-names":false,"suffix":""},{"dropping-particle":"","family":"Bonifacio","given":"Ronald","non-dropping-particle":"","parse-names":false,"suffix":""},{"dropping-particle":"","family":"Brooks","given":"Thomas M.","non-dropping-particle":"","parse-names":false,"suffix":""},{"dropping-particle":"","family":"Burgman","given":"Mark A.","non-dropping-particle":"","parse-names":false,"suffix":""},{"dropping-particle":"","family":"Comer","given":"Patrick","non-dropping-particle":"","parse-names":false,"suffix":""},{"dropping-particle":"","family":"Comín","given":"Francisco A.","non-dropping-particle":"","parse-names":false,"suffix":""},{"dropping-particle":"","family":"Essl","given":"Franz","non-dropping-particle":"","parse-names":false,"suffix":""},{"dropping-particle":"","family":"Faber-Langendoen","given":"Don","non-dropping-particle":"","parse-names":false,"suffix":""},{"dropping-particle":"","family":"Fairweather","given":"Peter G.","non-dropping-particle":"","parse-names":false,"suffix":""},{"dropping-particle":"","family":"Holdaway","given":"Robert J.","non-dropping-particle":"","parse-names":false,"suffix":""},{"dropping-particle":"","family":"Jennings","given":"Michael","non-dropping-particle":"","parse-names":false,"suffix":""},{"dropping-particle":"","family":"Kingsford","given":"Richard T.","non-dropping-particle":"","parse-names":false,"suffix":""},{"dropping-particle":"","family":"Lester","given":"Rebecca E.","non-dropping-particle":"","parse-names":false,"suffix":""},{"dropping-particle":"Mac","family":"Nally","given":"Ralph","non-dropping-particle":"","parse-names":false,"suffix":""},{"dropping-particle":"","family":"McCarthy","given":"Michael A.","non-dropping-particle":"","parse-names":false,"suffix":""},{"dropping-particle":"","family":"Moat","given":"Justin","non-dropping-particle":"","parse-names":false,"suffix":""},{"dropping-particle":"","family":"Oliveira-Miranda","given":"María A.","non-dropping-particle":"","parse-names":false,"suffix":""},{"dropping-particle":"","family":"Pisanu","given":"Phil","non-dropping-particle":"","parse-names":false,"suffix":""},{"dropping-particle":"","family":"Poulin","given":"Brigitte","non-dropping-particle":"","parse-names":false,"suffix":""},{"dropping-particle":"","family":"Regan","given":"Tracey J.","non-dropping-particle":"","parse-names":false,"suffix":""},{"dropping-particle":"","family":"Riecken","given":"Uwe","non-dropping-particle":"","parse-names":false,"suffix":""},{"dropping-particle":"","family":"Spalding","given":"Mark D.","non-dropping-particle":"","parse-names":false,"suffix":""},{"dropping-particle":"","family":"Zambrano-Martínez","given":"Sergio","non-dropping-particle":"","parse-names":false,"suffix":""}],"container-title":"PLoS ONE","editor":[{"dropping-particle":"","family":"Convertino","given":"Matteo","non-dropping-particle":"","parse-names":false,"suffix":""}],"id":"ITEM-1","issue":"5","issued":{"date-parts":[["2013","5","8"]]},"page":"e62111","publisher":"Public Library of Science","title":"Scientific Foundations for an IUCN Red List of Ecosystems","type":"article-journal","volume":"8"},"uris":["http://www.mendeley.com/documents/?uuid=147694ed-97cb-3c90-b1cd-18cf607ba15f"]}],"mendeley":{"formattedCitation":"(Keith et al. 2013)","manualFormatting":"Keith et al. 2013","plainTextFormattedCitation":"(Keith et al. 2013)","previouslyFormattedCitation":"(Keith et al. 2013)"},"properties":{"noteIndex":0},"schema":"https://github.com/citation-style-language/schema/raw/master/csl-citation.json"}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Keith et al. 2013</w:t>
            </w:r>
            <w:r w:rsidRPr="008A1856">
              <w:rPr>
                <w:rFonts w:ascii="Times New Roman" w:eastAsia="Times New Roman" w:hAnsi="Times New Roman" w:cs="Times New Roman"/>
                <w:color w:val="000000"/>
              </w:rPr>
              <w:fldChar w:fldCharType="end"/>
            </w:r>
          </w:p>
        </w:tc>
      </w:tr>
      <w:tr w:rsidR="00B25C8E" w:rsidRPr="008A1856" w14:paraId="54CF4419" w14:textId="77777777" w:rsidTr="00B25C8E">
        <w:trPr>
          <w:gridAfter w:val="1"/>
          <w:wAfter w:w="20" w:type="dxa"/>
          <w:trHeight w:val="437"/>
        </w:trPr>
        <w:tc>
          <w:tcPr>
            <w:tcW w:w="4962" w:type="dxa"/>
            <w:shd w:val="clear" w:color="auto" w:fill="auto"/>
            <w:tcMar>
              <w:top w:w="0" w:type="dxa"/>
              <w:left w:w="45" w:type="dxa"/>
              <w:bottom w:w="0" w:type="dxa"/>
              <w:right w:w="45" w:type="dxa"/>
            </w:tcMar>
            <w:hideMark/>
          </w:tcPr>
          <w:p w14:paraId="6460B5FD"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Cumberland plain woodland</w:t>
            </w:r>
          </w:p>
        </w:tc>
        <w:tc>
          <w:tcPr>
            <w:tcW w:w="2693" w:type="dxa"/>
            <w:shd w:val="clear" w:color="auto" w:fill="auto"/>
            <w:tcMar>
              <w:top w:w="0" w:type="dxa"/>
              <w:left w:w="45" w:type="dxa"/>
              <w:bottom w:w="0" w:type="dxa"/>
              <w:right w:w="45" w:type="dxa"/>
            </w:tcMar>
            <w:hideMark/>
          </w:tcPr>
          <w:p w14:paraId="6D328F63"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Australia</w:t>
            </w:r>
          </w:p>
        </w:tc>
        <w:tc>
          <w:tcPr>
            <w:tcW w:w="1984" w:type="dxa"/>
            <w:gridSpan w:val="2"/>
            <w:shd w:val="clear" w:color="auto" w:fill="auto"/>
          </w:tcPr>
          <w:p w14:paraId="47B3B90F"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{"citationItems":[{"id":"ITEM-1","itemData":{"DOI":"10.1111/aec.12201","ISSN":"14429985","author":[{"dropping-particle":"","family":"Tozer","given":"Mark G.","non-dropping-particle":"","parse-names":false,"suffix":""},{"dropping-particle":"","family":"Leishman","given":"Michelle R.","non-dropping-particle":"","parse-names":false,"suffix":""},{"dropping-particle":"","family":"Auld","given":"Tony D.","non-dropping-particle":"","parse-names":false,"suffix":""}],"container-title":"Austral Ecology","id":"ITEM-1","issue":"4","issued":{"date-parts":[["2015","6","1"]]},"page":"400-410","publisher":"Wiley/Blackwell (10.1111)","title":"Ecosystem risk assessment for Cumberland Plain Woodland, New South Wales, Australia","type":"article-journal","volume":"40"},"uris":["http://www.mendeley.com/documents/?uuid=ca680d06-21a5-30f2-a2da-e005eaed8567"]}],"mendeley":{"formattedCitation":"(Tozer et al. 2015)","manualFormatting":"Tozer et al. 2015","plainTextFormattedCitation":"(Tozer et al. 2015)","previouslyFormattedCitation":"(Tozer et al. 2015)"},"properties":{"noteIndex":0},"schema":"https://github.com/citation-style-language/schema/raw/master/csl-citation.json"}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Tozer et al. 2015</w:t>
            </w:r>
            <w:r w:rsidRPr="008A1856">
              <w:rPr>
                <w:rFonts w:ascii="Times New Roman" w:eastAsia="Times New Roman" w:hAnsi="Times New Roman" w:cs="Times New Roman"/>
                <w:color w:val="000000"/>
              </w:rPr>
              <w:fldChar w:fldCharType="end"/>
            </w:r>
          </w:p>
        </w:tc>
      </w:tr>
      <w:tr w:rsidR="00B25C8E" w:rsidRPr="008A1856" w14:paraId="1EE094EE" w14:textId="77777777" w:rsidTr="00B25C8E">
        <w:trPr>
          <w:gridAfter w:val="1"/>
          <w:wAfter w:w="20" w:type="dxa"/>
          <w:trHeight w:val="645"/>
        </w:trPr>
        <w:tc>
          <w:tcPr>
            <w:tcW w:w="4962" w:type="dxa"/>
            <w:shd w:val="clear" w:color="auto" w:fill="auto"/>
            <w:tcMar>
              <w:top w:w="0" w:type="dxa"/>
              <w:left w:w="45" w:type="dxa"/>
              <w:bottom w:w="0" w:type="dxa"/>
              <w:right w:w="45" w:type="dxa"/>
            </w:tcMar>
            <w:hideMark/>
          </w:tcPr>
          <w:p w14:paraId="2E745025" w14:textId="4D78B9C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 xml:space="preserve">Eastern </w:t>
            </w:r>
            <w:r w:rsidR="009E0C04">
              <w:rPr>
                <w:rFonts w:ascii="Times New Roman" w:eastAsia="Times New Roman" w:hAnsi="Times New Roman" w:cs="Times New Roman"/>
                <w:noProof/>
                <w:color w:val="000000"/>
              </w:rPr>
              <w:t>S</w:t>
            </w:r>
            <w:r w:rsidRPr="009E0C04">
              <w:rPr>
                <w:rFonts w:ascii="Times New Roman" w:eastAsia="Times New Roman" w:hAnsi="Times New Roman" w:cs="Times New Roman"/>
                <w:noProof/>
                <w:color w:val="000000"/>
              </w:rPr>
              <w:t>tirling</w:t>
            </w:r>
            <w:r w:rsidRPr="00D31378">
              <w:rPr>
                <w:rFonts w:ascii="Times New Roman" w:eastAsia="Times New Roman" w:hAnsi="Times New Roman" w:cs="Times New Roman"/>
                <w:color w:val="000000"/>
              </w:rPr>
              <w:t xml:space="preserve"> range </w:t>
            </w:r>
            <w:r w:rsidRPr="009E0C04">
              <w:rPr>
                <w:rFonts w:ascii="Times New Roman" w:eastAsia="Times New Roman" w:hAnsi="Times New Roman" w:cs="Times New Roman"/>
                <w:noProof/>
                <w:color w:val="000000"/>
              </w:rPr>
              <w:t>mo</w:t>
            </w:r>
            <w:r w:rsidR="009E0C04" w:rsidRPr="009E0C04">
              <w:rPr>
                <w:rFonts w:ascii="Times New Roman" w:eastAsia="Times New Roman" w:hAnsi="Times New Roman" w:cs="Times New Roman"/>
                <w:noProof/>
                <w:color w:val="000000"/>
              </w:rPr>
              <w:t>u</w:t>
            </w:r>
            <w:r w:rsidRPr="009E0C04">
              <w:rPr>
                <w:rFonts w:ascii="Times New Roman" w:eastAsia="Times New Roman" w:hAnsi="Times New Roman" w:cs="Times New Roman"/>
                <w:noProof/>
                <w:color w:val="000000"/>
              </w:rPr>
              <w:t>ntain</w:t>
            </w:r>
            <w:r w:rsidRPr="00D31378">
              <w:rPr>
                <w:rFonts w:ascii="Times New Roman" w:eastAsia="Times New Roman" w:hAnsi="Times New Roman" w:cs="Times New Roman"/>
                <w:color w:val="000000"/>
              </w:rPr>
              <w:t xml:space="preserve"> heath and thicket community</w:t>
            </w:r>
          </w:p>
        </w:tc>
        <w:tc>
          <w:tcPr>
            <w:tcW w:w="2693" w:type="dxa"/>
            <w:shd w:val="clear" w:color="auto" w:fill="auto"/>
            <w:tcMar>
              <w:top w:w="0" w:type="dxa"/>
              <w:left w:w="45" w:type="dxa"/>
              <w:bottom w:w="0" w:type="dxa"/>
              <w:right w:w="45" w:type="dxa"/>
            </w:tcMar>
            <w:hideMark/>
          </w:tcPr>
          <w:p w14:paraId="3F3365D8"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Australia</w:t>
            </w:r>
          </w:p>
        </w:tc>
        <w:tc>
          <w:tcPr>
            <w:tcW w:w="1984" w:type="dxa"/>
            <w:gridSpan w:val="2"/>
            <w:shd w:val="clear" w:color="auto" w:fill="auto"/>
          </w:tcPr>
          <w:p w14:paraId="31D6F778"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{"citationItems":[{"id":"ITEM-1","itemData":{"DOI":"10.1111/aec.12199","ISSN":"14429985","author":[{"dropping-particle":"","family":"Barrett","given":"Sarah","non-dropping-particle":"","parse-names":false,"suffix":""},{"dropping-particle":"","family":"Yates","given":"Colin J.","non-dropping-particle":"","parse-names":false,"suffix":""}],"container-title":"Austral Ecology","id":"ITEM-1","issue":"4","issued":{"date-parts":[["2015","6","1"]]},"page":"423-432","publisher":"Wiley/Blackwell (10.1111)","title":"Risks to a mountain summit ecosystem with endemic biota in southwestern Australia","type":"article-journal","volume":"40"},"uris":["http://www.mendeley.com/documents/?uuid=b6a1e7c8-7319-397f-9075-0d2b54481eef"]}],"mendeley":{"formattedCitation":"(Barrett &amp; Yates 2015)","manualFormatting":"Barrett &amp; Yates 2015","plainTextFormattedCitation":"(Barrett &amp; Yates 2015)","previouslyFormattedCitation":"(Barrett &amp; Yates 2015)"},"properties":{"noteIndex":0},"schema":"https://github.com/citation-style-language/schema/raw/master/csl-citation.json"}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Barrett &amp; Yates 2015</w:t>
            </w:r>
            <w:r w:rsidRPr="008A1856">
              <w:rPr>
                <w:rFonts w:ascii="Times New Roman" w:eastAsia="Times New Roman" w:hAnsi="Times New Roman" w:cs="Times New Roman"/>
                <w:color w:val="000000"/>
              </w:rPr>
              <w:fldChar w:fldCharType="end"/>
            </w:r>
          </w:p>
        </w:tc>
      </w:tr>
      <w:tr w:rsidR="00B25C8E" w:rsidRPr="008A1856" w14:paraId="6AD95C75" w14:textId="77777777" w:rsidTr="00B25C8E">
        <w:trPr>
          <w:gridAfter w:val="1"/>
          <w:wAfter w:w="20" w:type="dxa"/>
          <w:trHeight w:val="339"/>
        </w:trPr>
        <w:tc>
          <w:tcPr>
            <w:tcW w:w="4962" w:type="dxa"/>
            <w:shd w:val="clear" w:color="auto" w:fill="auto"/>
            <w:tcMar>
              <w:top w:w="0" w:type="dxa"/>
              <w:left w:w="45" w:type="dxa"/>
              <w:bottom w:w="0" w:type="dxa"/>
              <w:right w:w="45" w:type="dxa"/>
            </w:tcMar>
            <w:hideMark/>
          </w:tcPr>
          <w:p w14:paraId="28BE3C3D"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Fringe mangrove forests</w:t>
            </w:r>
          </w:p>
        </w:tc>
        <w:tc>
          <w:tcPr>
            <w:tcW w:w="2693" w:type="dxa"/>
            <w:shd w:val="clear" w:color="auto" w:fill="auto"/>
            <w:tcMar>
              <w:top w:w="0" w:type="dxa"/>
              <w:left w:w="45" w:type="dxa"/>
              <w:bottom w:w="0" w:type="dxa"/>
              <w:right w:w="45" w:type="dxa"/>
            </w:tcMar>
            <w:hideMark/>
          </w:tcPr>
          <w:p w14:paraId="2519B878"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Philippines</w:t>
            </w:r>
          </w:p>
        </w:tc>
        <w:tc>
          <w:tcPr>
            <w:tcW w:w="1984" w:type="dxa"/>
            <w:gridSpan w:val="2"/>
            <w:shd w:val="clear" w:color="auto" w:fill="auto"/>
          </w:tcPr>
          <w:p w14:paraId="66C691EF"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{"citationItems":[{"id":"ITEM-1","itemData":{"DOI":"10.1016/J.ECOLIND.2018.03.076","ISSN":"1470-160X","abstract":"Ecosystem collapse, i.e. the endpoint of ecosystem decline, is a central concept of IUCN Red List of Ecosystems (RLE) assessments and the identification of ecosystems most vulnerable to global environmental change. Estimating collapse risk can be challenging for ecosystems reliant on a few dominant species to perform most of their functions because the range of suitable and feasible indicators is small. This study investigates the robustness and adequacy of the current RLE approach for risk assessments in such ecosystems, using a fringe mangrove ecosystem as a case study. Following the RLE protocol, we constructed a conceptual model of the key ecosystem processes for the Philippines’ fringe mangrove forests. Satellite remote sensing data and existing maps of mangrove forests were then combined to assess the spatial distribution of the ecosystem considered (Criteria A and B), while the Normalized Difference Vegetation Index was used to assess biotic degradation (Criterion D). Insufficient data were available to assess Criteria C (environmental degradation) and E (quantitative analysis). Overall, the ecosystem was assessed as ‘Least Concern’ based on extensive geographic distribution and only weak support for declines in extent. Criterion D was classed as ‘Data Deficient’ since there was no clear relationship between the vegetation index and fringe mangrove degradation. Our results demonstrate how gaps in our appreciation and understanding of the structure and functioning of ecosystems are more likely to impede risk assessments of ecosystems characterised by a small number of foundation species, due to the low level of redundancy between candidate indicators available for their assessments. Satellite remote sensing combined with derivation of explicit conceptual ecosystem models provides a way to structure efforts to identify suitable indicators as well as opportunities to overcome many of these challenges, even for relatively data-poor ecosystems.","author":[{"dropping-particle":"","family":"Marshall","given":"Ashleigh","non-dropping-particle":"","parse-names":false,"suffix":""},{"dropping-particle":"","family":"Schulte to Bühne","given":"Henrike","non-dropping-particle":"","parse-names":false,"suffix":""},{"dropping-particle":"","family":"Bland","given":"Lucie","non-dropping-particle":"","parse-names":false,"suffix":""},{"dropping-particle":"","family":"Pettorelli","given":"Nathalie","non-dropping-particle":"","parse-names":false,"suffix":""}],"container-title":"Ecological Indicators","id":"ITEM-1","issued":{"date-parts":[["2018","8","1"]]},"page":"128-137","publisher":"Elsevier","title":"Assessing ecosystem collapse risk in ecosystems dominated by foundation species: The case of fringe mangroves","type":"article-journal","volume":"91"},"uris":["http://www.mendeley.com/documents/?uuid=a48a05c9-01e1-30a8-8b6f-5634b2c4f7f1"]}],"mendeley":{"formattedCitation":"(Marshall et al. 2018)","manualFormatting":"Marshall et al. 2018","plainTextFormattedCitation":"(Marshall et al. 2018)","previouslyFormattedCitation":"(Marshall et al. 2018)"},"properties":{"noteIndex":0},"schema":"https://github.com/citation-style-language/schema/raw/master/csl-citation.json"}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Marshall et al. 2018</w:t>
            </w:r>
            <w:r w:rsidRPr="008A1856">
              <w:rPr>
                <w:rFonts w:ascii="Times New Roman" w:eastAsia="Times New Roman" w:hAnsi="Times New Roman" w:cs="Times New Roman"/>
                <w:color w:val="000000"/>
              </w:rPr>
              <w:fldChar w:fldCharType="end"/>
            </w:r>
          </w:p>
        </w:tc>
      </w:tr>
      <w:tr w:rsidR="00B25C8E" w:rsidRPr="008A1856" w14:paraId="0D0CF20A" w14:textId="77777777" w:rsidTr="00B25C8E">
        <w:trPr>
          <w:gridAfter w:val="1"/>
          <w:wAfter w:w="20" w:type="dxa"/>
          <w:trHeight w:val="404"/>
        </w:trPr>
        <w:tc>
          <w:tcPr>
            <w:tcW w:w="4962" w:type="dxa"/>
            <w:shd w:val="clear" w:color="auto" w:fill="auto"/>
            <w:tcMar>
              <w:top w:w="0" w:type="dxa"/>
              <w:left w:w="45" w:type="dxa"/>
              <w:bottom w:w="0" w:type="dxa"/>
              <w:right w:w="45" w:type="dxa"/>
            </w:tcMar>
            <w:hideMark/>
          </w:tcPr>
          <w:p w14:paraId="2FBCDE27"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 xml:space="preserve">Georgina </w:t>
            </w:r>
            <w:proofErr w:type="spellStart"/>
            <w:r w:rsidRPr="00D31378">
              <w:rPr>
                <w:rFonts w:ascii="Times New Roman" w:eastAsia="Times New Roman" w:hAnsi="Times New Roman" w:cs="Times New Roman"/>
                <w:color w:val="000000"/>
              </w:rPr>
              <w:t>gidgee</w:t>
            </w:r>
            <w:proofErr w:type="spellEnd"/>
            <w:r w:rsidRPr="00D31378">
              <w:rPr>
                <w:rFonts w:ascii="Times New Roman" w:eastAsia="Times New Roman" w:hAnsi="Times New Roman" w:cs="Times New Roman"/>
                <w:color w:val="000000"/>
              </w:rPr>
              <w:t xml:space="preserve"> woodlands</w:t>
            </w:r>
          </w:p>
        </w:tc>
        <w:tc>
          <w:tcPr>
            <w:tcW w:w="2693" w:type="dxa"/>
            <w:shd w:val="clear" w:color="auto" w:fill="auto"/>
            <w:tcMar>
              <w:top w:w="0" w:type="dxa"/>
              <w:left w:w="45" w:type="dxa"/>
              <w:bottom w:w="0" w:type="dxa"/>
              <w:right w:w="45" w:type="dxa"/>
            </w:tcMar>
            <w:hideMark/>
          </w:tcPr>
          <w:p w14:paraId="7BA35C80"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Australia</w:t>
            </w:r>
          </w:p>
        </w:tc>
        <w:tc>
          <w:tcPr>
            <w:tcW w:w="1984" w:type="dxa"/>
            <w:gridSpan w:val="2"/>
            <w:shd w:val="clear" w:color="auto" w:fill="auto"/>
          </w:tcPr>
          <w:p w14:paraId="45208EA4"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{"citationItems":[{"id":"ITEM-1","itemData":{"DOI":"10.1111/aec.12265","ISSN":"14429985","author":[{"dropping-particle":"","family":"Wardle","given":"Glenda M.","non-dropping-particle":"","parse-names":false,"suffix":""},{"dropping-particle":"","family":"Greenville","given":"Aaron C.","non-dropping-particle":"","parse-names":false,"suffix":""},{"dropping-particle":"","family":"Frank","given":"Anke S. K.","non-dropping-particle":"","parse-names":false,"suffix":""},{"dropping-particle":"","family":"Tischler","given":"Max","non-dropping-particle":"","parse-names":false,"suffix":""},{"dropping-particle":"","family":"Emery","given":"Nathan J.","non-dropping-particle":"","parse-names":false,"suffix":""},{"dropping-particle":"","family":"Dickman","given":"Chris R.","non-dropping-particle":"","parse-names":false,"suffix":""}],"container-title":"Austral Ecology","id":"ITEM-1","issue":"4","issued":{"date-parts":[["2015","6","1"]]},"page":"444-459","publisher":"Wiley/Blackwell (10.1111)","title":"Ecosystem risk assessment of Georgina gidgee woodlands in central Australia","type":"article-journal","volume":"40"},"uris":["http://www.mendeley.com/documents/?uuid=e89ad414-84e1-3f22-8091-9b29685f697a"]}],"mendeley":{"formattedCitation":"(Wardle et al. 2015)","manualFormatting":"Wardle et al. 2015","plainTextFormattedCitation":"(Wardle et al. 2015)","previouslyFormattedCitation":"(Wardle et al. 2015)"},"properties":{"noteIndex":0},"schema":"https://github.com/citation-style-language/schema/raw/master/csl-citation.json"}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Wardle et al. 2015</w:t>
            </w:r>
            <w:r w:rsidRPr="008A1856">
              <w:rPr>
                <w:rFonts w:ascii="Times New Roman" w:eastAsia="Times New Roman" w:hAnsi="Times New Roman" w:cs="Times New Roman"/>
                <w:color w:val="000000"/>
              </w:rPr>
              <w:fldChar w:fldCharType="end"/>
            </w:r>
          </w:p>
        </w:tc>
      </w:tr>
      <w:tr w:rsidR="00B25C8E" w:rsidRPr="008A1856" w14:paraId="2D70F873" w14:textId="77777777" w:rsidTr="00B25C8E">
        <w:trPr>
          <w:gridAfter w:val="1"/>
          <w:wAfter w:w="20" w:type="dxa"/>
          <w:trHeight w:val="283"/>
        </w:trPr>
        <w:tc>
          <w:tcPr>
            <w:tcW w:w="4962" w:type="dxa"/>
            <w:shd w:val="clear" w:color="auto" w:fill="auto"/>
            <w:tcMar>
              <w:top w:w="0" w:type="dxa"/>
              <w:left w:w="45" w:type="dxa"/>
              <w:bottom w:w="0" w:type="dxa"/>
              <w:right w:w="45" w:type="dxa"/>
            </w:tcMar>
            <w:hideMark/>
          </w:tcPr>
          <w:p w14:paraId="44AE0F8C"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Gnarled mossy cloud forest, Lord Howe Island</w:t>
            </w:r>
          </w:p>
        </w:tc>
        <w:tc>
          <w:tcPr>
            <w:tcW w:w="2693" w:type="dxa"/>
            <w:shd w:val="clear" w:color="auto" w:fill="auto"/>
            <w:tcMar>
              <w:top w:w="0" w:type="dxa"/>
              <w:left w:w="45" w:type="dxa"/>
              <w:bottom w:w="0" w:type="dxa"/>
              <w:right w:w="45" w:type="dxa"/>
            </w:tcMar>
            <w:hideMark/>
          </w:tcPr>
          <w:p w14:paraId="64974440"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Australia</w:t>
            </w:r>
          </w:p>
        </w:tc>
        <w:tc>
          <w:tcPr>
            <w:tcW w:w="1984" w:type="dxa"/>
            <w:gridSpan w:val="2"/>
            <w:shd w:val="clear" w:color="auto" w:fill="auto"/>
          </w:tcPr>
          <w:p w14:paraId="1A2235A7"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{"citationItems":[{"id":"ITEM-1","itemData":{"DOI":"10.1111/aec.12202","ISSN":"14429985","author":[{"dropping-particle":"","family":"Auld","given":"Tony D.","non-dropping-particle":"","parse-names":false,"suffix":""},{"dropping-particle":"","family":"Leishman","given":"Michelle R.","non-dropping-particle":"","parse-names":false,"suffix":""}],"container-title":"Austral Ecology","id":"ITEM-1","issue":"4","issued":{"date-parts":[["2015","6","1"]]},"page":"364-372","publisher":"Wiley/Blackwell (10.1111)","title":"Ecosystem risk assessment for Gnarled Mossy Cloud Forest, Lord Howe Island, Australia","type":"article-journal","volume":"40"},"uris":["http://www.mendeley.com/documents/?uuid=dc3cf3a7-60ed-348c-8794-429a4f181590"]}],"mendeley":{"formattedCitation":"(Auld &amp; Leishman 2015)","manualFormatting":"Auld &amp; Leishman 2015","plainTextFormattedCitation":"(Auld &amp; Leishman 2015)","previouslyFormattedCitation":"(Auld &amp; Leishman 2015)"},"properties":{"noteIndex":0},"schema":"https://github.com/citation-style-language/schema/raw/master/csl-citation.json"}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Auld &amp; Leishman 2015</w:t>
            </w:r>
            <w:r w:rsidRPr="008A1856">
              <w:rPr>
                <w:rFonts w:ascii="Times New Roman" w:eastAsia="Times New Roman" w:hAnsi="Times New Roman" w:cs="Times New Roman"/>
                <w:color w:val="000000"/>
              </w:rPr>
              <w:fldChar w:fldCharType="end"/>
            </w:r>
          </w:p>
        </w:tc>
      </w:tr>
      <w:tr w:rsidR="00B25C8E" w:rsidRPr="008A1856" w14:paraId="2F1EF19F" w14:textId="77777777" w:rsidTr="00B25C8E">
        <w:trPr>
          <w:gridAfter w:val="1"/>
          <w:wAfter w:w="20" w:type="dxa"/>
          <w:trHeight w:val="347"/>
        </w:trPr>
        <w:tc>
          <w:tcPr>
            <w:tcW w:w="4962" w:type="dxa"/>
            <w:shd w:val="clear" w:color="auto" w:fill="auto"/>
            <w:tcMar>
              <w:top w:w="0" w:type="dxa"/>
              <w:left w:w="45" w:type="dxa"/>
              <w:bottom w:w="0" w:type="dxa"/>
              <w:right w:w="45" w:type="dxa"/>
            </w:tcMar>
            <w:hideMark/>
          </w:tcPr>
          <w:p w14:paraId="61F810C4"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Granite gravel fields and sand plains</w:t>
            </w:r>
          </w:p>
        </w:tc>
        <w:tc>
          <w:tcPr>
            <w:tcW w:w="2693" w:type="dxa"/>
            <w:shd w:val="clear" w:color="auto" w:fill="auto"/>
            <w:tcMar>
              <w:top w:w="0" w:type="dxa"/>
              <w:left w:w="45" w:type="dxa"/>
              <w:bottom w:w="0" w:type="dxa"/>
              <w:right w:w="45" w:type="dxa"/>
            </w:tcMar>
            <w:hideMark/>
          </w:tcPr>
          <w:p w14:paraId="04A829DD"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New Zealand</w:t>
            </w:r>
          </w:p>
        </w:tc>
        <w:tc>
          <w:tcPr>
            <w:tcW w:w="1984" w:type="dxa"/>
            <w:gridSpan w:val="2"/>
            <w:shd w:val="clear" w:color="auto" w:fill="auto"/>
          </w:tcPr>
          <w:p w14:paraId="425AC406"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{"citationItems":[{"id":"ITEM-1","itemData":{"DOI":"10.1371/journal.pone.0062111","ISSN":"1932-6203","abstract":"An understanding of risks to biodiversity is needed for planning action to slow current rates of decline and secure ecosystem services for future human use. Although the IUCN Red List criteria provide an effective assessment protocol for species, a standard global assessment of risks to higher levels of biodiversity is currently limited. In 2008, IUCN initiated development of risk assessment criteria to support a global Red List of ecosystems. We present a new conceptual model for ecosystem risk assessment founded on a synthesis of relevant ecological theories. To support the model, we review key elements of ecosystem definition and introduce the concept of ecosystem collapse, an analogue of species extinction. The model identifies four distributional and functional symptoms of ecosystem risk as a basis for assessment criteria: A) rates of decline in ecosystem distribution; B) restricted distributions with continuing declines or threats; C) rates of environmental (abiotic) degradation; and D) rates of disruption to biotic processes. A fifth criterion, E) quantitative estimates of the risk of ecosystem collapse, enables integrated assessment of multiple processes and provides a conceptual anchor for the other criteria. We present the theoretical rationale for the construction and interpretation of each criterion. The assessment protocol and threat categories mirror those of the IUCN Red List of species. A trial of the protocol on terrestrial, subterranean, freshwater and marine ecosystems from around the world shows that its concepts are workable and its outcomes are robust, that required data are available, and that results are consistent with assessments carried out by local experts and authorities. The new protocol provides a consistent, practical and theoretically grounded framework for establishing a systematic Red List of the world’s ecosystems. This will complement the Red List of species and strengthen global capacity to report on and monitor the status of biodiversity","author":[{"dropping-particle":"","family":"Keith","given":"David A.","non-dropping-particle":"","parse-names":false,"suffix":""},{"dropping-particle":"","family":"Rodríguez","given":"Jon Paul","non-dropping-particle":"","parse-names":false,"suffix":""},{"dropping-particle":"","family":"Rodríguez-Clark","given":"Kathryn M.","non-dropping-particle":"","parse-names":false,"suffix":""},{"dropping-particle":"","family":"Nicholson","given":"Emily","non-dropping-particle":"","parse-names":false,"suffix":""},{"dropping-particle":"","family":"Aapala","given":"Kaisu","non-dropping-particle":"","parse-names":false,"suffix":""},{"dropping-particle":"","family":"Alonso","given":"Alfonso","non-dropping-particle":"","parse-names":false,"suffix":""},{"dropping-particle":"","family":"Asmussen","given":"Marianne","non-dropping-particle":"","parse-names":false,"suffix":""},{"dropping-particle":"","family":"Bachman","given":"Steven","non-dropping-particle":"","parse-names":false,"suffix":""},{"dropping-particle":"","family":"Basset","given":"Alberto","non-dropping-particle":"","parse-names":false,"suffix":""},{"dropping-particle":"","family":"Barrow","given":"Edmund G.","non-dropping-particle":"","parse-names":false,"suffix":""},{"dropping-particle":"","family":"Benson","given":"John S.","non-dropping-particle":"","parse-names":false,"suffix":""},{"dropping-particle":"","family":"Bishop","given":"Melanie J.","non-dropping-particle":"","parse-names":false,"suffix":""},{"dropping-particle":"","family":"Bonifacio","given":"Ronald","non-dropping-particle":"","parse-names":false,"suffix":""},{"dropping-particle":"","family":"Brooks","given":"Thomas M.","non-dropping-particle":"","parse-names":false,"suffix":""},{"dropping-particle":"","family":"Burgman","given":"Mark A.","non-dropping-particle":"","parse-names":false,"suffix":""},{"dropping-particle":"","family":"Comer","given":"Patrick","non-dropping-particle":"","parse-names":false,"suffix":""},{"dropping-particle":"","family":"Comín","given":"Francisco A.","non-dropping-particle":"","parse-names":false,"suffix":""},{"dropping-particle":"","family":"Essl","given":"Franz","non-dropping-particle":"","parse-names":false,"suffix":""},{"dropping-particle":"","family":"Faber-Langendoen","given":"Don","non-dropping-particle":"","parse-names":false,"suffix":""},{"dropping-particle":"","family":"Fairweather","given":"Peter G.","non-dropping-particle":"","parse-names":false,"suffix":""},{"dropping-particle":"","family":"Holdaway","given":"Robert J.","non-dropping-particle":"","parse-names":false,"suffix":""},{"dropping-particle":"","family":"Jennings","given":"Michael","non-dropping-particle":"","parse-names":false,"suffix":""},{"dropping-particle":"","family":"Kingsford","given":"Richard T.","non-dropping-particle":"","parse-names":false,"suffix":""},{"dropping-particle":"","family":"Lester","given":"Rebecca E.","non-dropping-particle":"","parse-names":false,"suffix":""},{"dropping-particle":"Mac","family":"Nally","given":"Ralph","non-dropping-particle":"","parse-names":false,"suffix":""},{"dropping-particle":"","family":"McCarthy","given":"Michael A.","non-dropping-particle":"","parse-names":false,"suffix":""},{"dropping-particle":"","family":"Moat","given":"Justin","non-dropping-particle":"","parse-names":false,"suffix":""},{"dropping-particle":"","family":"Oliveira-Miranda","given":"María A.","non-dropping-particle":"","parse-names":false,"suffix":""},{"dropping-particle":"","family":"Pisanu","given":"Phil","non-dropping-particle":"","parse-names":false,"suffix":""},{"dropping-particle":"","family":"Poulin","given":"Brigitte","non-dropping-particle":"","parse-names":false,"suffix":""},{"dropping-particle":"","family":"Regan","given":"Tracey J.","non-dropping-particle":"","parse-names":false,"suffix":""},{"dropping-particle":"","family":"Riecken","given":"Uwe","non-dropping-particle":"","parse-names":false,"suffix":""},{"dropping-particle":"","family":"Spalding","given":"Mark D.","non-dropping-particle":"","parse-names":false,"suffix":""},{"dropping-particle":"","family":"Zambrano-Martínez","given":"Sergio","non-dropping-particle":"","parse-names":false,"suffix":""}],"container-title":"PLoS ONE","editor":[{"dropping-particle":"","family":"Convertino","given":"Matteo","non-dropping-particle":"","parse-names":false,"suffix":""}],"id":"ITEM-1","issue":"5","issued":{"date-parts":[["2013","5","8"]]},"page":"e62111","publisher":"Public Library of Science","title":"Scientific Foundations for an IUCN Red List of Ecosystems","type":"article-journal","volume":"8"},"uris":["http://www.mendeley.com/documents/?uuid=147694ed-97cb-3c90-b1cd-18cf607ba15f"]}],"mendeley":{"formattedCitation":"(Keith et al. 2013)","manualFormatting":"Keith et al. 2013","plainTextFormattedCitation":"(Keith et al. 2013)","previouslyFormattedCitation":"(Keith et al. 2013)"},"properties":{"noteIndex":0},"schema":"https://github.com/citation-style-language/schema/raw/master/csl-citation.json"}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Keith et al. 2013</w:t>
            </w:r>
            <w:r w:rsidRPr="008A1856">
              <w:rPr>
                <w:rFonts w:ascii="Times New Roman" w:eastAsia="Times New Roman" w:hAnsi="Times New Roman" w:cs="Times New Roman"/>
                <w:color w:val="000000"/>
              </w:rPr>
              <w:fldChar w:fldCharType="end"/>
            </w:r>
          </w:p>
        </w:tc>
      </w:tr>
      <w:tr w:rsidR="00B25C8E" w:rsidRPr="008A1856" w14:paraId="33CC9DF9" w14:textId="77777777" w:rsidTr="00B25C8E">
        <w:trPr>
          <w:gridAfter w:val="1"/>
          <w:wAfter w:w="20" w:type="dxa"/>
          <w:trHeight w:val="564"/>
        </w:trPr>
        <w:tc>
          <w:tcPr>
            <w:tcW w:w="4962" w:type="dxa"/>
            <w:shd w:val="clear" w:color="auto" w:fill="auto"/>
            <w:tcMar>
              <w:top w:w="0" w:type="dxa"/>
              <w:left w:w="45" w:type="dxa"/>
              <w:bottom w:w="0" w:type="dxa"/>
              <w:right w:w="45" w:type="dxa"/>
            </w:tcMar>
            <w:hideMark/>
          </w:tcPr>
          <w:p w14:paraId="512839A0"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 xml:space="preserve">Ironstone </w:t>
            </w:r>
            <w:proofErr w:type="spellStart"/>
            <w:r w:rsidRPr="00D31378">
              <w:rPr>
                <w:rFonts w:ascii="Times New Roman" w:eastAsia="Times New Roman" w:hAnsi="Times New Roman" w:cs="Times New Roman"/>
                <w:color w:val="000000"/>
              </w:rPr>
              <w:t>shrubland</w:t>
            </w:r>
            <w:proofErr w:type="spellEnd"/>
          </w:p>
        </w:tc>
        <w:tc>
          <w:tcPr>
            <w:tcW w:w="2693" w:type="dxa"/>
            <w:shd w:val="clear" w:color="auto" w:fill="auto"/>
            <w:tcMar>
              <w:top w:w="0" w:type="dxa"/>
              <w:left w:w="45" w:type="dxa"/>
              <w:bottom w:w="0" w:type="dxa"/>
              <w:right w:w="45" w:type="dxa"/>
            </w:tcMar>
            <w:hideMark/>
          </w:tcPr>
          <w:p w14:paraId="0F37994D"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Australia</w:t>
            </w:r>
          </w:p>
        </w:tc>
        <w:tc>
          <w:tcPr>
            <w:tcW w:w="1984" w:type="dxa"/>
            <w:gridSpan w:val="2"/>
            <w:shd w:val="clear" w:color="auto" w:fill="auto"/>
          </w:tcPr>
          <w:p w14:paraId="6300E135"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{"citationItems":[{"id":"ITEM-1","itemData":{"DOI":"10.1111/aec.12177","ISSN":"14429985","author":[{"dropping-particle":"","family":"English","given":"Valerie","non-dropping-particle":"","parse-names":false,"suffix":""},{"dropping-particle":"","family":"Keith","given":"David A.","non-dropping-particle":"","parse-names":false,"suffix":""}],"container-title":"Austral Ecology","id":"ITEM-1","issue":"4","issued":{"date-parts":[["2015","6","1"]]},"page":"411-422","publisher":"Wiley/Blackwell (10.1111)","title":"Assessing risks to ecosystems within biodiversity hotspots: a case study from southwestern Australia","type":"article-journal","volume":"40"},"uris":["http://www.mendeley.com/documents/?uuid=6bfb198b-923a-373c-b0ed-24350d5cceef"]}],"mendeley":{"formattedCitation":"(English &amp; Keith 2015)","manualFormatting":"English &amp; Keith 2015","plainTextFormattedCitation":"(English &amp; Keith 2015)","previouslyFormattedCitation":"(English &amp; Keith 2015)"},"properties":{"noteIndex":0},"schema":"https://github.com/citation-style-language/schema/raw/master/csl-citation.json"}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English &amp; Keith 2015</w:t>
            </w:r>
            <w:r w:rsidRPr="008A1856">
              <w:rPr>
                <w:rFonts w:ascii="Times New Roman" w:eastAsia="Times New Roman" w:hAnsi="Times New Roman" w:cs="Times New Roman"/>
                <w:color w:val="000000"/>
              </w:rPr>
              <w:fldChar w:fldCharType="end"/>
            </w:r>
          </w:p>
        </w:tc>
      </w:tr>
      <w:tr w:rsidR="00B25C8E" w:rsidRPr="008A1856" w14:paraId="1386BA0B" w14:textId="77777777" w:rsidTr="00B25C8E">
        <w:trPr>
          <w:gridAfter w:val="1"/>
          <w:wAfter w:w="20" w:type="dxa"/>
          <w:trHeight w:val="572"/>
        </w:trPr>
        <w:tc>
          <w:tcPr>
            <w:tcW w:w="4962" w:type="dxa"/>
            <w:shd w:val="clear" w:color="auto" w:fill="auto"/>
            <w:tcMar>
              <w:top w:w="0" w:type="dxa"/>
              <w:left w:w="45" w:type="dxa"/>
              <w:bottom w:w="0" w:type="dxa"/>
              <w:right w:w="45" w:type="dxa"/>
            </w:tcMar>
            <w:hideMark/>
          </w:tcPr>
          <w:p w14:paraId="4BD52CA1" w14:textId="6376F317" w:rsidR="00B25C8E" w:rsidRPr="00D31378" w:rsidRDefault="009E0C04" w:rsidP="005E5C8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Mock olive </w:t>
            </w:r>
            <w:r w:rsidRPr="009E0C04">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Wilga</w:t>
            </w:r>
            <w:proofErr w:type="spellEnd"/>
            <w:r>
              <w:rPr>
                <w:rFonts w:ascii="Times New Roman" w:eastAsia="Times New Roman" w:hAnsi="Times New Roman" w:cs="Times New Roman"/>
                <w:color w:val="000000"/>
              </w:rPr>
              <w:t xml:space="preserve"> </w:t>
            </w:r>
            <w:r w:rsidRPr="009E0C04">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Peach bush </w:t>
            </w:r>
            <w:r w:rsidRPr="009E0C04">
              <w:rPr>
                <w:rFonts w:ascii="Times New Roman" w:eastAsia="Times New Roman" w:hAnsi="Times New Roman" w:cs="Times New Roman"/>
                <w:color w:val="000000"/>
              </w:rPr>
              <w:t>—</w:t>
            </w:r>
            <w:r w:rsidR="00B25C8E" w:rsidRPr="00D31378">
              <w:rPr>
                <w:rFonts w:ascii="Times New Roman" w:eastAsia="Times New Roman" w:hAnsi="Times New Roman" w:cs="Times New Roman"/>
                <w:color w:val="000000"/>
              </w:rPr>
              <w:t xml:space="preserve"> Carissa dry sub-tropical semi-evergreen vine thicket</w:t>
            </w:r>
          </w:p>
        </w:tc>
        <w:tc>
          <w:tcPr>
            <w:tcW w:w="2693" w:type="dxa"/>
            <w:shd w:val="clear" w:color="auto" w:fill="auto"/>
            <w:tcMar>
              <w:top w:w="0" w:type="dxa"/>
              <w:left w:w="45" w:type="dxa"/>
              <w:bottom w:w="0" w:type="dxa"/>
              <w:right w:w="45" w:type="dxa"/>
            </w:tcMar>
            <w:hideMark/>
          </w:tcPr>
          <w:p w14:paraId="4C1DE7CA"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Australia</w:t>
            </w:r>
          </w:p>
        </w:tc>
        <w:tc>
          <w:tcPr>
            <w:tcW w:w="1984" w:type="dxa"/>
            <w:gridSpan w:val="2"/>
            <w:shd w:val="clear" w:color="auto" w:fill="auto"/>
          </w:tcPr>
          <w:p w14:paraId="32521F47"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sidRPr="008A1856">
              <w:rPr>
                <w:rFonts w:ascii="Times New Roman" w:eastAsia="Times New Roman" w:hAnsi="Times New Roman" w:cs="Times New Roman"/>
                <w:color w:val="000000"/>
              </w:rPr>
              <w:instrText>ADDIN CSL_CITATION {"citationItems":[{"id":"ITEM-1","itemData":{"DOI":"10.1371/journal.pone.0062111","ISSN":"1932-6203","abstract":"An understanding of risks to biodiversity is needed for planning action to slow current rates of decline and secure ecosystem services for future human use. Although the IUCN Red List criteria provide an effective assessment protocol for species, a standard global assessment of risks to higher levels of biodiversity is currently limited. In 2008, IUCN initiated development of risk assessment criteria to support a global Red List of ecosystems. We present a new conceptual model for ecosystem risk assessment founded on a synthesis of relevant ecological theories. To support the model, we review key elements of ecosystem definition and introduce the concept of ecosystem collapse, an analogue of species extinction. The model identifies four distributional and functional symptoms of ecosystem risk as a basis for assessment criteria: A) rates of decline in ecosystem distribution; B) restricted distributions with continuing declines or threats; C) rates of environmental (abiotic) degradation; and D) rates of disruption to biotic processes. A fifth criterion, E) quantitative estimates of the risk of ecosystem collapse, enables integrated assessment of multiple processes and provides a conceptual anchor for the other criteria. We present the theoretical rationale for the construction and interpretation of each criterion. The assessment protocol and threat categories mirror those of the IUCN Red List of species. A trial of the protocol on terrestrial, subterranean, freshwater and marine ecosystems from around the world shows that its concepts are workable and its outcomes are robust, that required data are available, and that results are consistent with assessments carried out by local experts and authorities. The new protocol provides a consistent, practical and theoretically grounded framework for establishing a systematic Red List of the world’s ecosystems. This will complement the Red List of species and strengthen global capacity to report on and monitor the status of biodiversity","author":[{"dropping-particle":"","family":"Keith","given":"David A.","non-dropping-particle":"","parse-names":false,"suffix":""},{"dropping-particle":"","family":"Rodríguez","given":"Jon Paul","non-dropping-particle":"","parse-names":false,"suffix":""},{"dropping-particle":"","family":"Rodríguez-Clark","given":"Kathryn M.","non-dropping-particle":"","parse-names":false,"suffix":""},{"dropping-particle":"","family":"Nicholson","given":"Emily","non-dropping-particle":"","parse-names":false,"suffix":""},{"dropping-particle":"","family":"Aapala","given":"Kaisu","non-dropping-particle":"","parse-names":false,"suffix":""},{"dropping-particle":"","family":"Alonso","given":"Alfonso","non-dropping-particle":"","parse-names":false,"suffix":""},{"dropping-particle":"","family":"Asmussen","given":"Marianne","non-dropping-particle":"","parse-names":false,"suffix":""},{"dropping-particle":"","family":"Bachman","given":"Steven","non-dropping-particle":"","parse-names":false,"suffix":""},{"dropping-particle":"","family":"Basset","given":"Alberto","non-dropping-particle":"","parse-names":false,"suffix":""},{"dropping-particle":"","family":"Barrow","given":"Edmund G.","non-dropping-particle":"","parse-names":false,"suffix":""},{"dropping-particle":"","family":"Benson","given":"John S.","non-dropping-particle":"","parse-names":false,"suffix":""},{"dropping-particle":"","family":"Bishop","given":"Melanie J.","non-dropping-particle":"","parse-names":false,"suffix":""},{"dropping-particle":"","family":"Bonifacio","given":"Ronald","non-dropping-particle":"","parse-names":false,"suffix":""},{"dropping-particle":"","family":"Brooks","given":"Thomas M.","non-dropping-particle":"","parse-names":false,"suffix":""},{"dropping-particle":"","family":"Burgman","given":"Mark A.","non-dropping-particle":"","parse-names":false,"suffix":""},{"dropping-particle":"","family":"Comer","given":"Patrick","non-dropping-particle":"","parse-names":false,"suffix":""},{"dropping-particle":"","family":"Comín","given":"Francisco A.","non-dropping-particle":"","parse-names":false,"suffix":""},{"dropping-particle":"","family":"Essl","given":"Franz","non-dropping-particle":"","parse-names":false,"suffix":""},{"dropping-particle":"","family":"Faber-Langendoen","given":"Don","non-dropping-particle":"","parse-names":false,"suffix":""},{"dropping-particle":"","family":"Fairweather","given":"Peter G.","non-dropping-particle":"","parse-names":false,"suffix":""},{"dropping-particle":"","family":"Holdaway","given":"Robert J.","non-dropping-particle":"","parse-names":false,"suffix":""},{"dropping-particle":"","family":"Jennings","given":"Michael","non-dropping-particle":"","parse-names":false,"suffix":""},{"dropping-particle":"","family":"Kingsford","given":"Richard T.","non-dropping-particle":"","parse-names":false,"suffix":""},{"dropping-particle":"","family":"Lester","given":"Rebecca E.","non-dropping-particle":"","parse-names":false,"suffix":""},{"dropping-particle":"Mac","family":"Nally","given":"Ralph","non-dropping-particle":"","parse-names":false,"suffix":""},{"dropping-particle":"","family":"McCarthy","given":"Michael A.","non-dropping-particle":"","parse-names":false,"suffix":""},{"dropping-particle":"","family":"Moat","given":"Justin","non-dropping-particle":"","parse-names":false,"suffix":""},{"dropping-particle":"","family":"Oliveira-Miranda","given":"María A.","non-dropping-particle":"","parse-names":false,"suffix":""},{"dropping-particle":"","family":"Pisanu","given":"Phil","non-dropping-particle":"","parse-names":false,"suffix":""},{"dropping-particle":"","family":"Poulin","given":"Brigitte","non-dropping-particle":"","parse-names":false,"suffix":""},{"dropping-particle":"","family":"Regan","given":"Tracey J.","non-dropping-particle":"","parse-names":false,"suffix":""},{"dropping-particle":"","family":"Riecken","given":"Uwe","non-dropping-particle":"","parse-names":false,"suffix":""},{"dropping-particle":"","family":"Spalding","given":"Mark D.","non-dropping-particle":"","parse-names":false,"suffix":""},{"dropping-particle":"","family":"Zambrano-Martínez","given":"Sergio","non-dropping-particle":"","parse-names":false,"suffix":""}],"container-title":"PLoS ONE","editor":[{"dropping-particle":"","family":"Convertino","given":"Matteo","non-dropping-particle":"","parse-names":false,"suffix":""}],"id":"ITEM-1","issue":"5","issued":{"date-parts":[["2013","5","8"]]},"page":"e62111","publisher":"Public Library of Science","title":"Scientific Foundations for an IUCN Red List of Ecosystems","type":"article-journal","volume":"8"},"uris":["http://www.mendeley.com/documents/?uuid=147694ed-97cb-3c90-b1cd-18cf607ba15f"]}],"mendeley":{"formattedCitation":"(Keith et al. 2013)","manualFormatting":"Keith et al. 2013","plainTextFormattedCitation":"(Keith et al. 2013)","previouslyFormattedCitation":"(Keith et al. 2013)"},"properties":{"noteIndex":0},"schema":"https://github.com/citation-style-language/schema/raw/master/csl-citation.json"}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Keith et al. 2013</w:t>
            </w:r>
            <w:r w:rsidRPr="008A1856">
              <w:rPr>
                <w:rFonts w:ascii="Times New Roman" w:eastAsia="Times New Roman" w:hAnsi="Times New Roman" w:cs="Times New Roman"/>
                <w:color w:val="000000"/>
              </w:rPr>
              <w:fldChar w:fldCharType="end"/>
            </w:r>
          </w:p>
        </w:tc>
      </w:tr>
      <w:tr w:rsidR="00B25C8E" w:rsidRPr="008A1856" w14:paraId="16CEB87D" w14:textId="77777777" w:rsidTr="00B25C8E">
        <w:trPr>
          <w:gridAfter w:val="1"/>
          <w:wAfter w:w="20" w:type="dxa"/>
          <w:trHeight w:val="453"/>
        </w:trPr>
        <w:tc>
          <w:tcPr>
            <w:tcW w:w="4962" w:type="dxa"/>
            <w:tcBorders>
              <w:bottom w:val="single" w:sz="4" w:space="0" w:color="auto"/>
            </w:tcBorders>
            <w:shd w:val="clear" w:color="auto" w:fill="auto"/>
            <w:tcMar>
              <w:top w:w="0" w:type="dxa"/>
              <w:left w:w="45" w:type="dxa"/>
              <w:bottom w:w="0" w:type="dxa"/>
              <w:right w:w="45" w:type="dxa"/>
            </w:tcMar>
            <w:hideMark/>
          </w:tcPr>
          <w:p w14:paraId="329BE3E8"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Mountain ash forest</w:t>
            </w:r>
          </w:p>
        </w:tc>
        <w:tc>
          <w:tcPr>
            <w:tcW w:w="2693" w:type="dxa"/>
            <w:tcBorders>
              <w:bottom w:val="single" w:sz="4" w:space="0" w:color="auto"/>
            </w:tcBorders>
            <w:shd w:val="clear" w:color="auto" w:fill="auto"/>
            <w:tcMar>
              <w:top w:w="0" w:type="dxa"/>
              <w:left w:w="45" w:type="dxa"/>
              <w:bottom w:w="0" w:type="dxa"/>
              <w:right w:w="45" w:type="dxa"/>
            </w:tcMar>
            <w:hideMark/>
          </w:tcPr>
          <w:p w14:paraId="2182FFB1" w14:textId="77777777" w:rsidR="00B25C8E" w:rsidRPr="00D31378" w:rsidRDefault="00B25C8E" w:rsidP="005E5C8A">
            <w:pPr>
              <w:spacing w:after="0" w:line="240" w:lineRule="auto"/>
              <w:rPr>
                <w:rFonts w:ascii="Times New Roman" w:eastAsia="Times New Roman" w:hAnsi="Times New Roman" w:cs="Times New Roman"/>
                <w:color w:val="000000"/>
              </w:rPr>
            </w:pPr>
            <w:r w:rsidRPr="00D31378">
              <w:rPr>
                <w:rFonts w:ascii="Times New Roman" w:eastAsia="Times New Roman" w:hAnsi="Times New Roman" w:cs="Times New Roman"/>
                <w:color w:val="000000"/>
              </w:rPr>
              <w:t>Australia</w:t>
            </w:r>
          </w:p>
        </w:tc>
        <w:tc>
          <w:tcPr>
            <w:tcW w:w="1984" w:type="dxa"/>
            <w:gridSpan w:val="2"/>
            <w:tcBorders>
              <w:bottom w:val="single" w:sz="4" w:space="0" w:color="auto"/>
            </w:tcBorders>
            <w:shd w:val="clear" w:color="auto" w:fill="auto"/>
          </w:tcPr>
          <w:p w14:paraId="3997FCEC" w14:textId="77777777" w:rsidR="00B25C8E" w:rsidRPr="008A1856" w:rsidRDefault="00B25C8E" w:rsidP="00B25C8E">
            <w:pPr>
              <w:spacing w:after="0" w:line="240" w:lineRule="auto"/>
              <w:rPr>
                <w:rFonts w:ascii="Times New Roman" w:eastAsia="Times New Roman" w:hAnsi="Times New Roman" w:cs="Times New Roman"/>
                <w:color w:val="000000"/>
              </w:rPr>
            </w:pPr>
            <w:r w:rsidRPr="008A1856">
              <w:rPr>
                <w:rFonts w:ascii="Times New Roman" w:eastAsia="Times New Roman" w:hAnsi="Times New Roman" w:cs="Times New Roman"/>
                <w:color w:val="000000"/>
              </w:rPr>
              <w:fldChar w:fldCharType="begin" w:fldLock="1"/>
            </w:r>
            <w:r>
              <w:rPr>
                <w:rFonts w:ascii="Times New Roman" w:eastAsia="Times New Roman" w:hAnsi="Times New Roman" w:cs="Times New Roman"/>
                <w:color w:val="000000"/>
              </w:rPr>
              <w:instrText>ADDIN CSL_CITATION {"citationItems":[{"id":"ITEM-1","itemData":{"DOI":"10.1111/aec.12200","ISSN":"14429985","author":[{"dropping-particle":"","family":"Burns","given":"Emma L.","non-dropping-particle":"","parse-names":false,"suffix":""},{"dropping-particle":"","family":"Lindenmayer","given":"David B.","non-dropping-particle":"","parse-names":false,"suffix":""},{"dropping-particle":"","family":"Stein","given":"John","non-dropping-particle":"","parse-names":false,"suffix":""},{"dropping-particle":"","family":"Blanchard","given":"Wade","non-dropping-particle":"","parse-names":false,"suffix":""},{"dropping-particle":"","family":"McBurney","given":"Lachlan","non-dropping-particle":"","parse-names":false,"suffix":""},{"dropping-particle":"","family":"Blair","given":"David","non-dropping-particle":"","parse-names":false,"suffix":""},{"dropping-particle":"","family":"Banks","given":"Sam C.","non-dropping-particle":"","parse-names":false,"suffix":""}],"container-title":"Austral Ecology","id":"ITEM-1","issue":"4","issued":{"date-parts":[["2015","6","1"]]},"page":"386-399","publisher":"Wiley/Blackwell (10.1111)","title":"Ecosystem assessment of mountain ash forest in the Central Highlands of Victoria, south-eastern Australia","type":"article-journal","volume":"40"},"uris":["http://www.mendeley.com/documents/?uuid=0505b8bd-1955-3105-81fa-82e48e8f2507"]}],"mendeley":{"formattedCitation":"(Burns et al. 2015)","manualFormatting":"Burns et al. 2015","plainTextFormattedCitation":"(Burns et al. 2015)","previouslyFormattedCitation":"(Burns et al. 2015)"},"properties":{"noteIndex":0},"schema":"https://github.com/citation-style-language/schema/raw/master/csl-citation.json"}</w:instrText>
            </w:r>
            <w:r w:rsidRPr="008A1856">
              <w:rPr>
                <w:rFonts w:ascii="Times New Roman" w:eastAsia="Times New Roman" w:hAnsi="Times New Roman" w:cs="Times New Roman"/>
                <w:color w:val="000000"/>
              </w:rPr>
              <w:fldChar w:fldCharType="separate"/>
            </w:r>
            <w:r w:rsidRPr="008A1856">
              <w:rPr>
                <w:rFonts w:ascii="Times New Roman" w:eastAsia="Times New Roman" w:hAnsi="Times New Roman" w:cs="Times New Roman"/>
                <w:noProof/>
                <w:color w:val="000000"/>
              </w:rPr>
              <w:t>Burns et al. 2015</w:t>
            </w:r>
            <w:r w:rsidRPr="008A1856">
              <w:rPr>
                <w:rFonts w:ascii="Times New Roman" w:eastAsia="Times New Roman" w:hAnsi="Times New Roman" w:cs="Times New Roman"/>
                <w:color w:val="000000"/>
              </w:rPr>
              <w:fldChar w:fldCharType="end"/>
            </w:r>
          </w:p>
        </w:tc>
      </w:tr>
    </w:tbl>
    <w:p w14:paraId="13884338" w14:textId="77777777" w:rsidR="00B25C8E" w:rsidRDefault="00B25C8E" w:rsidP="00B25C8E">
      <w:pPr>
        <w:rPr>
          <w:rFonts w:ascii="Times New Roman" w:hAnsi="Times New Roman" w:cs="Times New Roman"/>
          <w:b/>
          <w:sz w:val="24"/>
          <w:szCs w:val="24"/>
        </w:rPr>
      </w:pPr>
      <w:r>
        <w:rPr>
          <w:rFonts w:ascii="Times New Roman" w:hAnsi="Times New Roman" w:cs="Times New Roman"/>
          <w:b/>
          <w:sz w:val="24"/>
          <w:szCs w:val="24"/>
        </w:rPr>
        <w:br w:type="page"/>
      </w:r>
    </w:p>
    <w:p w14:paraId="6D876A79" w14:textId="2D1F6405" w:rsidR="00B25C8E" w:rsidRDefault="00B25C8E" w:rsidP="00B25C8E">
      <w:pPr>
        <w:spacing w:line="480" w:lineRule="auto"/>
        <w:rPr>
          <w:rFonts w:ascii="Times New Roman" w:hAnsi="Times New Roman" w:cs="Times New Roman"/>
          <w:sz w:val="24"/>
          <w:szCs w:val="24"/>
        </w:rPr>
      </w:pPr>
      <w:r w:rsidRPr="00053ACB">
        <w:rPr>
          <w:rFonts w:ascii="Times New Roman" w:hAnsi="Times New Roman" w:cs="Times New Roman"/>
          <w:b/>
          <w:sz w:val="24"/>
          <w:szCs w:val="24"/>
        </w:rPr>
        <w:lastRenderedPageBreak/>
        <w:t xml:space="preserve">Table </w:t>
      </w:r>
      <w:r>
        <w:rPr>
          <w:rFonts w:ascii="Times New Roman" w:hAnsi="Times New Roman" w:cs="Times New Roman"/>
          <w:b/>
          <w:sz w:val="24"/>
          <w:szCs w:val="24"/>
        </w:rPr>
        <w:t>S</w:t>
      </w:r>
      <w:r w:rsidRPr="00053ACB">
        <w:rPr>
          <w:rFonts w:ascii="Times New Roman" w:hAnsi="Times New Roman" w:cs="Times New Roman"/>
          <w:b/>
          <w:sz w:val="24"/>
          <w:szCs w:val="24"/>
        </w:rPr>
        <w:t>2.</w:t>
      </w:r>
      <w:r>
        <w:rPr>
          <w:rFonts w:ascii="Times New Roman" w:hAnsi="Times New Roman" w:cs="Times New Roman"/>
          <w:sz w:val="24"/>
          <w:szCs w:val="24"/>
        </w:rPr>
        <w:t xml:space="preserve"> Proposed </w:t>
      </w:r>
      <w:r w:rsidR="009E0C04">
        <w:rPr>
          <w:rFonts w:ascii="Times New Roman" w:hAnsi="Times New Roman" w:cs="Times New Roman"/>
          <w:sz w:val="24"/>
          <w:szCs w:val="24"/>
        </w:rPr>
        <w:t>International Union for Conservation of Nature</w:t>
      </w:r>
      <w:r>
        <w:rPr>
          <w:rFonts w:ascii="Times New Roman" w:hAnsi="Times New Roman" w:cs="Times New Roman"/>
          <w:sz w:val="24"/>
          <w:szCs w:val="24"/>
        </w:rPr>
        <w:t xml:space="preserve"> </w:t>
      </w:r>
      <w:r>
        <w:rPr>
          <w:rFonts w:ascii="Times New Roman" w:hAnsi="Times New Roman" w:cs="Times New Roman"/>
          <w:sz w:val="24"/>
          <w:szCs w:val="24"/>
        </w:rPr>
        <w:t>Red List of Ecosystems indicators and processes to inform the Aichi Targets of the Convention on Biological Diversity.</w:t>
      </w:r>
      <w:r w:rsidR="005E5C8A">
        <w:rPr>
          <w:rFonts w:ascii="Times New Roman" w:hAnsi="Times New Roman" w:cs="Times New Roman"/>
          <w:sz w:val="24"/>
          <w:szCs w:val="24"/>
        </w:rPr>
        <w:t xml:space="preserve"> The Red List Index of Ecosystems is based on overall ecosystem status, the Ecosystem Area Index is derived from trends in ecosystem area (criterion A), and the Ecosystem Health Index is derived from trends in ecological function </w:t>
      </w:r>
      <w:r w:rsidR="005E5C8A">
        <w:rPr>
          <w:rFonts w:ascii="Times New Roman" w:hAnsi="Times New Roman" w:cs="Times New Roman"/>
          <w:sz w:val="24"/>
          <w:szCs w:val="24"/>
        </w:rPr>
        <w:fldChar w:fldCharType="begin" w:fldLock="1"/>
      </w:r>
      <w:r w:rsidR="00007564">
        <w:rPr>
          <w:rFonts w:ascii="Times New Roman" w:hAnsi="Times New Roman" w:cs="Times New Roman"/>
          <w:sz w:val="24"/>
          <w:szCs w:val="24"/>
        </w:rPr>
        <w:instrText>ADDIN CSL_CITATION {"citationItems":[{"id":"ITEM-1","itemData":{"author":[{"dropping-particle":"","family":"Rowland","given":"Jessica A.","non-dropping-particle":"","parse-names":false,"suffix":""}],"container-title":"in prep.","id":"ITEM-1","issued":{"date-parts":[["2018"]]},"title":"Biodiversity indicators for ecosystems to support global conservation targets","type":"article-journal"},"uris":["http://www.mendeley.com/documents/?uuid=7873d240-29d2-43ea-85b9-c25460cfc2e0"]}],"mendeley":{"formattedCitation":"(Rowland 2018)","manualFormatting":"(criteria C and D; Rowland 2018)","plainTextFormattedCitation":"(Rowland 2018)","previouslyFormattedCitation":"(Rowland 2018)"},"properties":{"noteIndex":0},"schema":"https://github.com/citation-style-language/schema/raw/master/csl-citation.json"}</w:instrText>
      </w:r>
      <w:r w:rsidR="005E5C8A">
        <w:rPr>
          <w:rFonts w:ascii="Times New Roman" w:hAnsi="Times New Roman" w:cs="Times New Roman"/>
          <w:sz w:val="24"/>
          <w:szCs w:val="24"/>
        </w:rPr>
        <w:fldChar w:fldCharType="separate"/>
      </w:r>
      <w:r w:rsidR="005E5C8A" w:rsidRPr="005E5C8A">
        <w:rPr>
          <w:rFonts w:ascii="Times New Roman" w:hAnsi="Times New Roman" w:cs="Times New Roman"/>
          <w:noProof/>
          <w:sz w:val="24"/>
          <w:szCs w:val="24"/>
        </w:rPr>
        <w:t>(</w:t>
      </w:r>
      <w:r w:rsidR="005E5C8A">
        <w:rPr>
          <w:rFonts w:ascii="Times New Roman" w:hAnsi="Times New Roman" w:cs="Times New Roman"/>
          <w:noProof/>
          <w:sz w:val="24"/>
          <w:szCs w:val="24"/>
        </w:rPr>
        <w:t>criteria C and D;</w:t>
      </w:r>
      <w:r w:rsidR="005E5C8A" w:rsidRPr="005E5C8A">
        <w:rPr>
          <w:rFonts w:ascii="Times New Roman" w:hAnsi="Times New Roman" w:cs="Times New Roman"/>
          <w:noProof/>
          <w:sz w:val="24"/>
          <w:szCs w:val="24"/>
        </w:rPr>
        <w:t xml:space="preserve"> Rowland 2018)</w:t>
      </w:r>
      <w:r w:rsidR="005E5C8A">
        <w:rPr>
          <w:rFonts w:ascii="Times New Roman" w:hAnsi="Times New Roman" w:cs="Times New Roman"/>
          <w:sz w:val="24"/>
          <w:szCs w:val="24"/>
        </w:rPr>
        <w:fldChar w:fldCharType="end"/>
      </w:r>
      <w:r w:rsidR="005E5C8A">
        <w:rPr>
          <w:rFonts w:ascii="Times New Roman" w:hAnsi="Times New Roman" w:cs="Times New Roman"/>
          <w:sz w:val="24"/>
          <w:szCs w:val="24"/>
        </w:rPr>
        <w:t>.</w:t>
      </w:r>
    </w:p>
    <w:tbl>
      <w:tblPr>
        <w:tblStyle w:val="TableGrid"/>
        <w:tblW w:w="10490" w:type="dxa"/>
        <w:tblInd w:w="-567" w:type="dxa"/>
        <w:tblLook w:val="04A0" w:firstRow="1" w:lastRow="0" w:firstColumn="1" w:lastColumn="0" w:noHBand="0" w:noVBand="1"/>
      </w:tblPr>
      <w:tblGrid>
        <w:gridCol w:w="1418"/>
        <w:gridCol w:w="2977"/>
        <w:gridCol w:w="4252"/>
        <w:gridCol w:w="1843"/>
      </w:tblGrid>
      <w:tr w:rsidR="00B25C8E" w:rsidRPr="00053ACB" w14:paraId="64F706BC" w14:textId="77777777" w:rsidTr="009E0C04">
        <w:tc>
          <w:tcPr>
            <w:tcW w:w="1418" w:type="dxa"/>
            <w:tcBorders>
              <w:left w:val="nil"/>
              <w:bottom w:val="single" w:sz="4" w:space="0" w:color="auto"/>
              <w:right w:val="nil"/>
            </w:tcBorders>
          </w:tcPr>
          <w:p w14:paraId="7F0C8775" w14:textId="77777777" w:rsidR="00B25C8E" w:rsidRPr="00053ACB" w:rsidRDefault="00B25C8E" w:rsidP="005E5C8A">
            <w:pPr>
              <w:rPr>
                <w:rFonts w:ascii="Times New Roman" w:hAnsi="Times New Roman" w:cs="Times New Roman"/>
                <w:b/>
                <w:sz w:val="20"/>
                <w:szCs w:val="20"/>
              </w:rPr>
            </w:pPr>
            <w:r>
              <w:rPr>
                <w:rFonts w:ascii="Times New Roman" w:hAnsi="Times New Roman" w:cs="Times New Roman"/>
                <w:b/>
                <w:sz w:val="20"/>
                <w:szCs w:val="20"/>
              </w:rPr>
              <w:t>Aichi T</w:t>
            </w:r>
            <w:r w:rsidRPr="00053ACB">
              <w:rPr>
                <w:rFonts w:ascii="Times New Roman" w:hAnsi="Times New Roman" w:cs="Times New Roman"/>
                <w:b/>
                <w:sz w:val="20"/>
                <w:szCs w:val="20"/>
              </w:rPr>
              <w:t>arget</w:t>
            </w:r>
          </w:p>
        </w:tc>
        <w:tc>
          <w:tcPr>
            <w:tcW w:w="2977" w:type="dxa"/>
            <w:tcBorders>
              <w:left w:val="nil"/>
              <w:bottom w:val="single" w:sz="4" w:space="0" w:color="auto"/>
              <w:right w:val="nil"/>
            </w:tcBorders>
          </w:tcPr>
          <w:p w14:paraId="1EB59C1A" w14:textId="77777777" w:rsidR="00B25C8E" w:rsidRPr="00053ACB" w:rsidRDefault="00B25C8E" w:rsidP="005E5C8A">
            <w:pPr>
              <w:rPr>
                <w:rFonts w:ascii="Times New Roman" w:hAnsi="Times New Roman" w:cs="Times New Roman"/>
                <w:b/>
                <w:sz w:val="20"/>
                <w:szCs w:val="20"/>
              </w:rPr>
            </w:pPr>
            <w:r w:rsidRPr="00053ACB">
              <w:rPr>
                <w:rFonts w:ascii="Times New Roman" w:hAnsi="Times New Roman" w:cs="Times New Roman"/>
                <w:b/>
                <w:sz w:val="20"/>
                <w:szCs w:val="20"/>
              </w:rPr>
              <w:t>Summary</w:t>
            </w:r>
          </w:p>
        </w:tc>
        <w:tc>
          <w:tcPr>
            <w:tcW w:w="4252" w:type="dxa"/>
            <w:tcBorders>
              <w:left w:val="nil"/>
              <w:bottom w:val="single" w:sz="4" w:space="0" w:color="auto"/>
              <w:right w:val="nil"/>
            </w:tcBorders>
          </w:tcPr>
          <w:p w14:paraId="38324A04" w14:textId="77A7D3D1" w:rsidR="00B25C8E" w:rsidRPr="00053ACB" w:rsidRDefault="00EE7E51" w:rsidP="005E5C8A">
            <w:pPr>
              <w:rPr>
                <w:rFonts w:ascii="Times New Roman" w:hAnsi="Times New Roman" w:cs="Times New Roman"/>
                <w:b/>
                <w:sz w:val="20"/>
                <w:szCs w:val="20"/>
              </w:rPr>
            </w:pPr>
            <w:r>
              <w:rPr>
                <w:rFonts w:ascii="Times New Roman" w:hAnsi="Times New Roman" w:cs="Times New Roman"/>
                <w:b/>
                <w:sz w:val="20"/>
                <w:szCs w:val="20"/>
              </w:rPr>
              <w:t>I</w:t>
            </w:r>
            <w:r w:rsidR="00B25C8E" w:rsidRPr="00053ACB">
              <w:rPr>
                <w:rFonts w:ascii="Times New Roman" w:hAnsi="Times New Roman" w:cs="Times New Roman"/>
                <w:b/>
                <w:sz w:val="20"/>
                <w:szCs w:val="20"/>
              </w:rPr>
              <w:t>ndicators and processes</w:t>
            </w:r>
          </w:p>
        </w:tc>
        <w:tc>
          <w:tcPr>
            <w:tcW w:w="1843" w:type="dxa"/>
            <w:tcBorders>
              <w:left w:val="nil"/>
              <w:bottom w:val="single" w:sz="4" w:space="0" w:color="auto"/>
              <w:right w:val="nil"/>
            </w:tcBorders>
          </w:tcPr>
          <w:p w14:paraId="7C4E5A9C" w14:textId="77777777" w:rsidR="00B25C8E" w:rsidRPr="00053ACB" w:rsidRDefault="00B25C8E" w:rsidP="005E5C8A">
            <w:pPr>
              <w:rPr>
                <w:rFonts w:ascii="Times New Roman" w:hAnsi="Times New Roman" w:cs="Times New Roman"/>
                <w:b/>
                <w:sz w:val="20"/>
                <w:szCs w:val="20"/>
              </w:rPr>
            </w:pPr>
            <w:r w:rsidRPr="00053ACB">
              <w:rPr>
                <w:rFonts w:ascii="Times New Roman" w:hAnsi="Times New Roman" w:cs="Times New Roman"/>
                <w:b/>
                <w:sz w:val="20"/>
                <w:szCs w:val="20"/>
              </w:rPr>
              <w:t>Progress</w:t>
            </w:r>
          </w:p>
        </w:tc>
      </w:tr>
      <w:tr w:rsidR="00B25C8E" w:rsidRPr="007B7125" w14:paraId="321F6EE8" w14:textId="77777777" w:rsidTr="009E0C04">
        <w:tc>
          <w:tcPr>
            <w:tcW w:w="1418" w:type="dxa"/>
            <w:tcBorders>
              <w:left w:val="nil"/>
              <w:bottom w:val="nil"/>
              <w:right w:val="nil"/>
            </w:tcBorders>
          </w:tcPr>
          <w:p w14:paraId="73CA4212" w14:textId="77777777" w:rsidR="00B25C8E" w:rsidRPr="007B7125" w:rsidRDefault="00B25C8E" w:rsidP="005E5C8A">
            <w:pPr>
              <w:rPr>
                <w:rFonts w:ascii="Times New Roman" w:hAnsi="Times New Roman" w:cs="Times New Roman"/>
                <w:sz w:val="20"/>
                <w:szCs w:val="20"/>
              </w:rPr>
            </w:pPr>
            <w:r w:rsidRPr="007B7125">
              <w:rPr>
                <w:rFonts w:ascii="Times New Roman" w:hAnsi="Times New Roman" w:cs="Times New Roman"/>
                <w:sz w:val="20"/>
                <w:szCs w:val="20"/>
              </w:rPr>
              <w:t>Target 2</w:t>
            </w:r>
          </w:p>
        </w:tc>
        <w:tc>
          <w:tcPr>
            <w:tcW w:w="2977" w:type="dxa"/>
            <w:tcBorders>
              <w:left w:val="nil"/>
              <w:bottom w:val="nil"/>
              <w:right w:val="nil"/>
            </w:tcBorders>
          </w:tcPr>
          <w:p w14:paraId="31559C55" w14:textId="68C72E89" w:rsidR="00B25C8E" w:rsidRPr="007B7125" w:rsidRDefault="00B25C8E" w:rsidP="001D328C">
            <w:pPr>
              <w:rPr>
                <w:rFonts w:ascii="Times New Roman" w:hAnsi="Times New Roman" w:cs="Times New Roman"/>
                <w:sz w:val="20"/>
                <w:szCs w:val="20"/>
              </w:rPr>
            </w:pPr>
            <w:r>
              <w:rPr>
                <w:rFonts w:ascii="Times New Roman" w:hAnsi="Times New Roman" w:cs="Times New Roman"/>
                <w:sz w:val="20"/>
                <w:szCs w:val="20"/>
              </w:rPr>
              <w:t>Incorporation of b</w:t>
            </w:r>
            <w:r w:rsidRPr="007B7125">
              <w:rPr>
                <w:rFonts w:ascii="Times New Roman" w:hAnsi="Times New Roman" w:cs="Times New Roman"/>
                <w:sz w:val="20"/>
                <w:szCs w:val="20"/>
              </w:rPr>
              <w:t xml:space="preserve">iodiversity into </w:t>
            </w:r>
            <w:r w:rsidR="001D328C" w:rsidRPr="001D328C">
              <w:rPr>
                <w:rFonts w:ascii="Times New Roman" w:hAnsi="Times New Roman" w:cs="Times New Roman"/>
                <w:sz w:val="20"/>
                <w:szCs w:val="20"/>
              </w:rPr>
              <w:t>national and local development</w:t>
            </w:r>
            <w:r w:rsidR="001D328C">
              <w:rPr>
                <w:rFonts w:ascii="Times New Roman" w:hAnsi="Times New Roman" w:cs="Times New Roman"/>
                <w:sz w:val="20"/>
                <w:szCs w:val="20"/>
              </w:rPr>
              <w:t>,</w:t>
            </w:r>
            <w:r w:rsidR="001D328C" w:rsidRPr="001D328C">
              <w:rPr>
                <w:rFonts w:ascii="Times New Roman" w:hAnsi="Times New Roman" w:cs="Times New Roman"/>
                <w:sz w:val="20"/>
                <w:szCs w:val="20"/>
              </w:rPr>
              <w:t xml:space="preserve"> poverty reduction strategies</w:t>
            </w:r>
            <w:r w:rsidR="001D328C">
              <w:rPr>
                <w:rFonts w:ascii="Times New Roman" w:hAnsi="Times New Roman" w:cs="Times New Roman"/>
                <w:sz w:val="20"/>
                <w:szCs w:val="20"/>
              </w:rPr>
              <w:t>,</w:t>
            </w:r>
            <w:r w:rsidR="001D328C" w:rsidRPr="001D328C">
              <w:rPr>
                <w:rFonts w:ascii="Times New Roman" w:hAnsi="Times New Roman" w:cs="Times New Roman"/>
                <w:sz w:val="20"/>
                <w:szCs w:val="20"/>
              </w:rPr>
              <w:t xml:space="preserve"> and </w:t>
            </w:r>
            <w:r w:rsidRPr="007B7125">
              <w:rPr>
                <w:rFonts w:ascii="Times New Roman" w:hAnsi="Times New Roman" w:cs="Times New Roman"/>
                <w:sz w:val="20"/>
                <w:szCs w:val="20"/>
              </w:rPr>
              <w:t>national accounting</w:t>
            </w:r>
          </w:p>
        </w:tc>
        <w:tc>
          <w:tcPr>
            <w:tcW w:w="4252" w:type="dxa"/>
            <w:tcBorders>
              <w:left w:val="nil"/>
              <w:bottom w:val="nil"/>
              <w:right w:val="nil"/>
            </w:tcBorders>
          </w:tcPr>
          <w:p w14:paraId="3C5B4305" w14:textId="02955EB5" w:rsidR="00B25C8E" w:rsidRPr="007B7125" w:rsidRDefault="001D328C" w:rsidP="005E5C8A">
            <w:pPr>
              <w:rPr>
                <w:rFonts w:ascii="Times New Roman" w:hAnsi="Times New Roman" w:cs="Times New Roman"/>
                <w:sz w:val="20"/>
                <w:szCs w:val="20"/>
              </w:rPr>
            </w:pPr>
            <w:r>
              <w:rPr>
                <w:rFonts w:ascii="Times New Roman" w:hAnsi="Times New Roman" w:cs="Times New Roman"/>
                <w:sz w:val="20"/>
                <w:szCs w:val="20"/>
              </w:rPr>
              <w:t xml:space="preserve">Incorporation of the </w:t>
            </w:r>
            <w:r w:rsidRPr="001D328C">
              <w:rPr>
                <w:rFonts w:ascii="Times New Roman" w:hAnsi="Times New Roman" w:cs="Times New Roman"/>
                <w:sz w:val="20"/>
                <w:szCs w:val="20"/>
              </w:rPr>
              <w:t>R</w:t>
            </w:r>
            <w:r>
              <w:rPr>
                <w:rFonts w:ascii="Times New Roman" w:hAnsi="Times New Roman" w:cs="Times New Roman"/>
                <w:sz w:val="20"/>
                <w:szCs w:val="20"/>
              </w:rPr>
              <w:t xml:space="preserve">ed </w:t>
            </w:r>
            <w:r w:rsidRPr="001D328C">
              <w:rPr>
                <w:rFonts w:ascii="Times New Roman" w:hAnsi="Times New Roman" w:cs="Times New Roman"/>
                <w:sz w:val="20"/>
                <w:szCs w:val="20"/>
              </w:rPr>
              <w:t>L</w:t>
            </w:r>
            <w:r>
              <w:rPr>
                <w:rFonts w:ascii="Times New Roman" w:hAnsi="Times New Roman" w:cs="Times New Roman"/>
                <w:sz w:val="20"/>
                <w:szCs w:val="20"/>
              </w:rPr>
              <w:t xml:space="preserve">ist of </w:t>
            </w:r>
            <w:r w:rsidRPr="001D328C">
              <w:rPr>
                <w:rFonts w:ascii="Times New Roman" w:hAnsi="Times New Roman" w:cs="Times New Roman"/>
                <w:sz w:val="20"/>
                <w:szCs w:val="20"/>
              </w:rPr>
              <w:t>E</w:t>
            </w:r>
            <w:r>
              <w:rPr>
                <w:rFonts w:ascii="Times New Roman" w:hAnsi="Times New Roman" w:cs="Times New Roman"/>
                <w:sz w:val="20"/>
                <w:szCs w:val="20"/>
              </w:rPr>
              <w:t>cosystems</w:t>
            </w:r>
            <w:r w:rsidRPr="001D328C">
              <w:rPr>
                <w:rFonts w:ascii="Times New Roman" w:hAnsi="Times New Roman" w:cs="Times New Roman"/>
                <w:sz w:val="20"/>
                <w:szCs w:val="20"/>
              </w:rPr>
              <w:t xml:space="preserve"> into legislation, land-use planning (local and regional), natural capital accounts, and poverty-reduction strategies</w:t>
            </w:r>
          </w:p>
        </w:tc>
        <w:tc>
          <w:tcPr>
            <w:tcW w:w="1843" w:type="dxa"/>
            <w:tcBorders>
              <w:left w:val="nil"/>
              <w:bottom w:val="nil"/>
              <w:right w:val="nil"/>
            </w:tcBorders>
          </w:tcPr>
          <w:p w14:paraId="1426DE00"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Future</w:t>
            </w:r>
          </w:p>
        </w:tc>
      </w:tr>
      <w:tr w:rsidR="00B25C8E" w:rsidRPr="007B7125" w14:paraId="65888C3B" w14:textId="77777777" w:rsidTr="009E0C04">
        <w:tc>
          <w:tcPr>
            <w:tcW w:w="1418" w:type="dxa"/>
            <w:tcBorders>
              <w:top w:val="nil"/>
              <w:left w:val="nil"/>
              <w:bottom w:val="nil"/>
              <w:right w:val="nil"/>
            </w:tcBorders>
          </w:tcPr>
          <w:p w14:paraId="7AEE8A00"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Target 4</w:t>
            </w:r>
          </w:p>
        </w:tc>
        <w:tc>
          <w:tcPr>
            <w:tcW w:w="2977" w:type="dxa"/>
            <w:tcBorders>
              <w:top w:val="nil"/>
              <w:left w:val="nil"/>
              <w:bottom w:val="nil"/>
              <w:right w:val="nil"/>
            </w:tcBorders>
          </w:tcPr>
          <w:p w14:paraId="2C312C65"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Plans for sustainable production and consumption</w:t>
            </w:r>
          </w:p>
        </w:tc>
        <w:tc>
          <w:tcPr>
            <w:tcW w:w="4252" w:type="dxa"/>
            <w:tcBorders>
              <w:top w:val="nil"/>
              <w:left w:val="nil"/>
              <w:bottom w:val="nil"/>
              <w:right w:val="nil"/>
            </w:tcBorders>
          </w:tcPr>
          <w:p w14:paraId="7580E50C" w14:textId="54E5990E"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Red List Index for Ecosystems (impacts of utilization)</w:t>
            </w:r>
          </w:p>
        </w:tc>
        <w:tc>
          <w:tcPr>
            <w:tcW w:w="1843" w:type="dxa"/>
            <w:tcBorders>
              <w:top w:val="nil"/>
              <w:left w:val="nil"/>
              <w:bottom w:val="nil"/>
              <w:right w:val="nil"/>
            </w:tcBorders>
          </w:tcPr>
          <w:p w14:paraId="6CDFECB3"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Future</w:t>
            </w:r>
          </w:p>
        </w:tc>
      </w:tr>
      <w:tr w:rsidR="00B25C8E" w:rsidRPr="007B7125" w14:paraId="31B845BD" w14:textId="77777777" w:rsidTr="009E0C04">
        <w:tc>
          <w:tcPr>
            <w:tcW w:w="1418" w:type="dxa"/>
            <w:tcBorders>
              <w:top w:val="nil"/>
              <w:left w:val="nil"/>
              <w:bottom w:val="nil"/>
              <w:right w:val="nil"/>
            </w:tcBorders>
          </w:tcPr>
          <w:p w14:paraId="4278A15B" w14:textId="77777777" w:rsidR="00B25C8E" w:rsidRPr="007B7125" w:rsidRDefault="00B25C8E" w:rsidP="005E5C8A">
            <w:pPr>
              <w:rPr>
                <w:rFonts w:ascii="Times New Roman" w:hAnsi="Times New Roman" w:cs="Times New Roman"/>
                <w:sz w:val="20"/>
                <w:szCs w:val="20"/>
              </w:rPr>
            </w:pPr>
          </w:p>
        </w:tc>
        <w:tc>
          <w:tcPr>
            <w:tcW w:w="2977" w:type="dxa"/>
            <w:tcBorders>
              <w:top w:val="nil"/>
              <w:left w:val="nil"/>
              <w:bottom w:val="nil"/>
              <w:right w:val="nil"/>
            </w:tcBorders>
          </w:tcPr>
          <w:p w14:paraId="28D2E572" w14:textId="77777777" w:rsidR="00B25C8E" w:rsidRPr="007B7125" w:rsidRDefault="00B25C8E" w:rsidP="005E5C8A">
            <w:pPr>
              <w:rPr>
                <w:rFonts w:ascii="Times New Roman" w:hAnsi="Times New Roman" w:cs="Times New Roman"/>
                <w:sz w:val="20"/>
                <w:szCs w:val="20"/>
              </w:rPr>
            </w:pPr>
          </w:p>
        </w:tc>
        <w:tc>
          <w:tcPr>
            <w:tcW w:w="4252" w:type="dxa"/>
            <w:tcBorders>
              <w:top w:val="nil"/>
              <w:left w:val="nil"/>
              <w:bottom w:val="nil"/>
              <w:right w:val="nil"/>
            </w:tcBorders>
          </w:tcPr>
          <w:p w14:paraId="3DB90188" w14:textId="4E307871"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Number of ecosystems managed with ecosystem-based approaches</w:t>
            </w:r>
          </w:p>
        </w:tc>
        <w:tc>
          <w:tcPr>
            <w:tcW w:w="1843" w:type="dxa"/>
            <w:tcBorders>
              <w:top w:val="nil"/>
              <w:left w:val="nil"/>
              <w:bottom w:val="nil"/>
              <w:right w:val="nil"/>
            </w:tcBorders>
          </w:tcPr>
          <w:p w14:paraId="7D7CA44E"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Future</w:t>
            </w:r>
          </w:p>
        </w:tc>
      </w:tr>
      <w:tr w:rsidR="00B25C8E" w:rsidRPr="007B7125" w14:paraId="6419C6A2" w14:textId="77777777" w:rsidTr="009E0C04">
        <w:tc>
          <w:tcPr>
            <w:tcW w:w="1418" w:type="dxa"/>
            <w:tcBorders>
              <w:top w:val="nil"/>
              <w:left w:val="nil"/>
              <w:bottom w:val="nil"/>
              <w:right w:val="nil"/>
            </w:tcBorders>
          </w:tcPr>
          <w:p w14:paraId="055831D0"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Target 5</w:t>
            </w:r>
          </w:p>
        </w:tc>
        <w:tc>
          <w:tcPr>
            <w:tcW w:w="2977" w:type="dxa"/>
            <w:tcBorders>
              <w:top w:val="nil"/>
              <w:left w:val="nil"/>
              <w:bottom w:val="nil"/>
              <w:right w:val="nil"/>
            </w:tcBorders>
          </w:tcPr>
          <w:p w14:paraId="237BBD59"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Reduction in the rate of loss of natural habitats</w:t>
            </w:r>
          </w:p>
        </w:tc>
        <w:tc>
          <w:tcPr>
            <w:tcW w:w="4252" w:type="dxa"/>
            <w:tcBorders>
              <w:top w:val="nil"/>
              <w:left w:val="nil"/>
              <w:bottom w:val="nil"/>
              <w:right w:val="nil"/>
            </w:tcBorders>
          </w:tcPr>
          <w:p w14:paraId="5D1BCF6E" w14:textId="6D81F5BA"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Red List Index for Ecosystems and Ecosystem Area Index (forests, wetlands, etc.)</w:t>
            </w:r>
          </w:p>
        </w:tc>
        <w:tc>
          <w:tcPr>
            <w:tcW w:w="1843" w:type="dxa"/>
            <w:tcBorders>
              <w:top w:val="nil"/>
              <w:left w:val="nil"/>
              <w:bottom w:val="nil"/>
              <w:right w:val="nil"/>
            </w:tcBorders>
          </w:tcPr>
          <w:p w14:paraId="0EF18F79" w14:textId="42A92005" w:rsidR="00B25C8E" w:rsidRPr="007B7125" w:rsidRDefault="005E5C8A" w:rsidP="005E5C8A">
            <w:pPr>
              <w:rPr>
                <w:rFonts w:ascii="Times New Roman" w:hAnsi="Times New Roman" w:cs="Times New Roman"/>
                <w:sz w:val="20"/>
                <w:szCs w:val="20"/>
              </w:rPr>
            </w:pPr>
            <w:r>
              <w:rPr>
                <w:rFonts w:ascii="Times New Roman" w:hAnsi="Times New Roman" w:cs="Times New Roman"/>
                <w:sz w:val="20"/>
                <w:szCs w:val="20"/>
              </w:rPr>
              <w:t>Piloted</w:t>
            </w:r>
            <w:r w:rsidR="00B25C8E">
              <w:rPr>
                <w:rFonts w:ascii="Times New Roman" w:hAnsi="Times New Roman" w:cs="Times New Roman"/>
                <w:sz w:val="20"/>
                <w:szCs w:val="20"/>
              </w:rPr>
              <w:t xml:space="preserve"> for forests of the Americas and Colombian terrestrial ecosystems </w:t>
            </w:r>
            <w:r w:rsidR="00B25C8E">
              <w:rPr>
                <w:rFonts w:ascii="Times New Roman" w:hAnsi="Times New Roman" w:cs="Times New Roman"/>
                <w:sz w:val="20"/>
                <w:szCs w:val="20"/>
              </w:rPr>
              <w:fldChar w:fldCharType="begin" w:fldLock="1"/>
            </w:r>
            <w:r w:rsidR="00B25C8E">
              <w:rPr>
                <w:rFonts w:ascii="Times New Roman" w:hAnsi="Times New Roman" w:cs="Times New Roman"/>
                <w:sz w:val="20"/>
                <w:szCs w:val="20"/>
              </w:rPr>
              <w:instrText>ADDIN CSL_CITATION {"citationItems":[{"id":"ITEM-1","itemData":{"author":[{"dropping-particle":"","family":"Rowland","given":"Jessica A.","non-dropping-particle":"","parse-names":false,"suffix":""}],"container-title":"in prep.","id":"ITEM-1","issued":{"date-parts":[["2018"]]},"title":"Biodiversity indicators for ecosystems to support global conservation targets","type":"article-journal"},"uris":["http://www.mendeley.com/documents/?uuid=7873d240-29d2-43ea-85b9-c25460cfc2e0"]}],"mendeley":{"formattedCitation":"(Rowland 2018)","plainTextFormattedCitation":"(Rowland 2018)","previouslyFormattedCitation":"(Rowland 2018)"},"properties":{"noteIndex":0},"schema":"https://github.com/citation-style-language/schema/raw/master/csl-citation.json"}</w:instrText>
            </w:r>
            <w:r w:rsidR="00B25C8E">
              <w:rPr>
                <w:rFonts w:ascii="Times New Roman" w:hAnsi="Times New Roman" w:cs="Times New Roman"/>
                <w:sz w:val="20"/>
                <w:szCs w:val="20"/>
              </w:rPr>
              <w:fldChar w:fldCharType="separate"/>
            </w:r>
            <w:r w:rsidR="00B25C8E" w:rsidRPr="00D05784">
              <w:rPr>
                <w:rFonts w:ascii="Times New Roman" w:hAnsi="Times New Roman" w:cs="Times New Roman"/>
                <w:noProof/>
                <w:sz w:val="20"/>
                <w:szCs w:val="20"/>
              </w:rPr>
              <w:t>(Rowland 2018)</w:t>
            </w:r>
            <w:r w:rsidR="00B25C8E">
              <w:rPr>
                <w:rFonts w:ascii="Times New Roman" w:hAnsi="Times New Roman" w:cs="Times New Roman"/>
                <w:sz w:val="20"/>
                <w:szCs w:val="20"/>
              </w:rPr>
              <w:fldChar w:fldCharType="end"/>
            </w:r>
          </w:p>
        </w:tc>
      </w:tr>
      <w:tr w:rsidR="00B25C8E" w:rsidRPr="007B7125" w14:paraId="1947C204" w14:textId="77777777" w:rsidTr="009E0C04">
        <w:tc>
          <w:tcPr>
            <w:tcW w:w="1418" w:type="dxa"/>
            <w:tcBorders>
              <w:top w:val="nil"/>
              <w:left w:val="nil"/>
              <w:bottom w:val="nil"/>
              <w:right w:val="nil"/>
            </w:tcBorders>
          </w:tcPr>
          <w:p w14:paraId="4BE61F19"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Target 6</w:t>
            </w:r>
          </w:p>
        </w:tc>
        <w:tc>
          <w:tcPr>
            <w:tcW w:w="2977" w:type="dxa"/>
            <w:tcBorders>
              <w:top w:val="nil"/>
              <w:left w:val="nil"/>
              <w:bottom w:val="nil"/>
              <w:right w:val="nil"/>
            </w:tcBorders>
          </w:tcPr>
          <w:p w14:paraId="5643F1A6"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Sustainable fisheries</w:t>
            </w:r>
          </w:p>
        </w:tc>
        <w:tc>
          <w:tcPr>
            <w:tcW w:w="4252" w:type="dxa"/>
            <w:tcBorders>
              <w:top w:val="nil"/>
              <w:left w:val="nil"/>
              <w:bottom w:val="nil"/>
              <w:right w:val="nil"/>
            </w:tcBorders>
          </w:tcPr>
          <w:p w14:paraId="079A58E8" w14:textId="218743A9"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Red List Index for Ecosystems (exploited marine and freshwater ecosystems)</w:t>
            </w:r>
          </w:p>
        </w:tc>
        <w:tc>
          <w:tcPr>
            <w:tcW w:w="1843" w:type="dxa"/>
            <w:tcBorders>
              <w:top w:val="nil"/>
              <w:left w:val="nil"/>
              <w:bottom w:val="nil"/>
              <w:right w:val="nil"/>
            </w:tcBorders>
          </w:tcPr>
          <w:p w14:paraId="47516977"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 xml:space="preserve">Piloted for a single ecosystem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{"citationItems":[{"id":"ITEM-1","itemData":{"DOI":"10.1016/J.BIOCON.2018.08.019","ISSN":"0006-3207","abstract":"Assessing risks to marine ecosystems is critical due to their biological and economic importance, and because many have recently undergone regime shifts due to overfishing and environmental change. Yet defining collapsed ecosystem states, selecting informative indicators and reconstructing long-term marine ecosystem changes remains challenging. The IUCN Red List of Ecosystems constitutes the global standard for quantifying risks to ecosystems and we conducted the first Red List assessment of an offshore marine ecosystem, focusing on the southern Benguela in South Africa. We used an analogous but collapsed ecosystem – the northern Benguela – to help define collapse in the southern Benguela and derived collapse thresholds with structured expert elicitation (i.e. repeatable estimation by expert judgment). To capture complex ecosystem dynamics and reconstruct historical ecosystem states, we used environmental indicators as well as survey-, catch- and model-based indicators. We listed the ecosystem in 1960 and 2015 as Endangered, with assessment outcomes robust to alternative model parametrizations. While many indicators improved between 1960 and 2015, seabird populations have suffered large declines since 1900 and remain at risk, pointing towards ongoing management priorities. Catch-based indicators often over-estimated risks compared to survey- and model-based indicators, warning against listing ecosystems as threatened solely based on indicators of pressure. We show that risk assessments provide a framework for interpreting data from indicators, ecosystem models and experts to inform the management of marine ecosystems. This work highlights the feasibility of conducting Red List of Ecosystems assessments for marine ecosystems.","author":[{"dropping-particle":"","family":"Bland","given":"Lucie M.","non-dropping-particle":"","parse-names":false,"suffix":""},{"dropping-particle":"","family":"Watermeyer","given":"Kate E.","non-dropping-particle":"","parse-names":false,"suffix":""},{"dropping-particle":"","family":"Keith","given":"David A.","non-dropping-particle":"","parse-names":false,"suffix":""},{"dropping-particle":"","family":"Nicholson","given":"Emily","non-dropping-particle":"","parse-names":false,"suffix":""},{"dropping-particle":"","family":"Regan","given":"Tracey J.","non-dropping-particle":"","parse-names":false,"suffix":""},{"dropping-particle":"","family":"Shannon","given":"Lynne J.","non-dropping-particle":"","parse-names":false,"suffix":""}],"container-title":"Biological Conservation","id":"ITEM-1","issued":{"date-parts":[["2018","11","1"]]},"page":"19-28","publisher":"Elsevier","title":"Assessing risks to marine ecosystems with indicators, ecosystem models and experts","type":"article-journal","volume":"227"},"uris":["http://www.mendeley.com/documents/?uuid=dc4894d6-7c5b-3669-b5eb-a62d3df48fed"]}],"mendeley":{"formattedCitation":"(Bland et al. 2018)","plainTextFormattedCitation":"(Bland et al. 2018)","previouslyFormattedCitation":"(Bland et al. 2018)"},"properties":{"noteIndex":0},"schema":"https://github.com/citation-style-language/schema/raw/master/csl-citation.json"}</w:instrText>
            </w:r>
            <w:r>
              <w:rPr>
                <w:rFonts w:ascii="Times New Roman" w:hAnsi="Times New Roman" w:cs="Times New Roman"/>
                <w:sz w:val="20"/>
                <w:szCs w:val="20"/>
              </w:rPr>
              <w:fldChar w:fldCharType="separate"/>
            </w:r>
            <w:r w:rsidRPr="0031283A">
              <w:rPr>
                <w:rFonts w:ascii="Times New Roman" w:hAnsi="Times New Roman" w:cs="Times New Roman"/>
                <w:noProof/>
                <w:sz w:val="20"/>
                <w:szCs w:val="20"/>
              </w:rPr>
              <w:t>(Bland et al. 2018)</w:t>
            </w:r>
            <w:r>
              <w:rPr>
                <w:rFonts w:ascii="Times New Roman" w:hAnsi="Times New Roman" w:cs="Times New Roman"/>
                <w:sz w:val="20"/>
                <w:szCs w:val="20"/>
              </w:rPr>
              <w:fldChar w:fldCharType="end"/>
            </w:r>
          </w:p>
        </w:tc>
      </w:tr>
      <w:tr w:rsidR="00B25C8E" w:rsidRPr="007B7125" w14:paraId="1292652A" w14:textId="77777777" w:rsidTr="009E0C04">
        <w:tc>
          <w:tcPr>
            <w:tcW w:w="1418" w:type="dxa"/>
            <w:tcBorders>
              <w:top w:val="nil"/>
              <w:left w:val="nil"/>
              <w:bottom w:val="nil"/>
              <w:right w:val="nil"/>
            </w:tcBorders>
          </w:tcPr>
          <w:p w14:paraId="70EAC760"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Target 7</w:t>
            </w:r>
          </w:p>
        </w:tc>
        <w:tc>
          <w:tcPr>
            <w:tcW w:w="2977" w:type="dxa"/>
            <w:tcBorders>
              <w:top w:val="nil"/>
              <w:left w:val="nil"/>
              <w:bottom w:val="nil"/>
              <w:right w:val="nil"/>
            </w:tcBorders>
          </w:tcPr>
          <w:p w14:paraId="79EFA95B"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Sustainable management of agriculture, aquaculture, and forestry</w:t>
            </w:r>
          </w:p>
        </w:tc>
        <w:tc>
          <w:tcPr>
            <w:tcW w:w="4252" w:type="dxa"/>
            <w:tcBorders>
              <w:top w:val="nil"/>
              <w:left w:val="nil"/>
              <w:bottom w:val="nil"/>
              <w:right w:val="nil"/>
            </w:tcBorders>
          </w:tcPr>
          <w:p w14:paraId="7A40EF15" w14:textId="6BAB9424"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Red List Index for Ecosystems (modified ecosystems and forests)</w:t>
            </w:r>
          </w:p>
        </w:tc>
        <w:tc>
          <w:tcPr>
            <w:tcW w:w="1843" w:type="dxa"/>
            <w:tcBorders>
              <w:top w:val="nil"/>
              <w:left w:val="nil"/>
              <w:bottom w:val="nil"/>
              <w:right w:val="nil"/>
            </w:tcBorders>
          </w:tcPr>
          <w:p w14:paraId="2820EF8B"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Future</w:t>
            </w:r>
          </w:p>
        </w:tc>
      </w:tr>
      <w:tr w:rsidR="00B25C8E" w:rsidRPr="007B7125" w14:paraId="0E3A94E1" w14:textId="77777777" w:rsidTr="009E0C04">
        <w:tc>
          <w:tcPr>
            <w:tcW w:w="1418" w:type="dxa"/>
            <w:tcBorders>
              <w:top w:val="nil"/>
              <w:left w:val="nil"/>
              <w:bottom w:val="nil"/>
              <w:right w:val="nil"/>
            </w:tcBorders>
          </w:tcPr>
          <w:p w14:paraId="153FC28B"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Target 8</w:t>
            </w:r>
          </w:p>
        </w:tc>
        <w:tc>
          <w:tcPr>
            <w:tcW w:w="2977" w:type="dxa"/>
            <w:tcBorders>
              <w:top w:val="nil"/>
              <w:left w:val="nil"/>
              <w:bottom w:val="nil"/>
              <w:right w:val="nil"/>
            </w:tcBorders>
          </w:tcPr>
          <w:p w14:paraId="4A171082"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Pollution at levels not detrimental to ecosystem function and biodiversity</w:t>
            </w:r>
          </w:p>
        </w:tc>
        <w:tc>
          <w:tcPr>
            <w:tcW w:w="4252" w:type="dxa"/>
            <w:tcBorders>
              <w:top w:val="nil"/>
              <w:left w:val="nil"/>
              <w:bottom w:val="nil"/>
              <w:right w:val="nil"/>
            </w:tcBorders>
          </w:tcPr>
          <w:p w14:paraId="71E12609"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Red List Index for Ecosystems (impacts of pollution)</w:t>
            </w:r>
          </w:p>
        </w:tc>
        <w:tc>
          <w:tcPr>
            <w:tcW w:w="1843" w:type="dxa"/>
            <w:tcBorders>
              <w:top w:val="nil"/>
              <w:left w:val="nil"/>
              <w:bottom w:val="nil"/>
              <w:right w:val="nil"/>
            </w:tcBorders>
          </w:tcPr>
          <w:p w14:paraId="657D2D2A"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Future</w:t>
            </w:r>
          </w:p>
        </w:tc>
      </w:tr>
      <w:tr w:rsidR="00B25C8E" w:rsidRPr="007B7125" w14:paraId="73D0EB98" w14:textId="77777777" w:rsidTr="009E0C04">
        <w:tc>
          <w:tcPr>
            <w:tcW w:w="1418" w:type="dxa"/>
            <w:tcBorders>
              <w:top w:val="nil"/>
              <w:left w:val="nil"/>
              <w:bottom w:val="nil"/>
              <w:right w:val="nil"/>
            </w:tcBorders>
          </w:tcPr>
          <w:p w14:paraId="786E2F70"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Target 9</w:t>
            </w:r>
          </w:p>
        </w:tc>
        <w:tc>
          <w:tcPr>
            <w:tcW w:w="2977" w:type="dxa"/>
            <w:tcBorders>
              <w:top w:val="nil"/>
              <w:left w:val="nil"/>
              <w:bottom w:val="nil"/>
              <w:right w:val="nil"/>
            </w:tcBorders>
          </w:tcPr>
          <w:p w14:paraId="361EC244"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Invasive alien species management</w:t>
            </w:r>
          </w:p>
        </w:tc>
        <w:tc>
          <w:tcPr>
            <w:tcW w:w="4252" w:type="dxa"/>
            <w:tcBorders>
              <w:top w:val="nil"/>
              <w:left w:val="nil"/>
              <w:bottom w:val="nil"/>
              <w:right w:val="nil"/>
            </w:tcBorders>
          </w:tcPr>
          <w:p w14:paraId="550F77CE"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Red list Index for Ecosystems (impacts of invasive alien species)</w:t>
            </w:r>
          </w:p>
        </w:tc>
        <w:tc>
          <w:tcPr>
            <w:tcW w:w="1843" w:type="dxa"/>
            <w:tcBorders>
              <w:top w:val="nil"/>
              <w:left w:val="nil"/>
              <w:bottom w:val="nil"/>
              <w:right w:val="nil"/>
            </w:tcBorders>
          </w:tcPr>
          <w:p w14:paraId="4D73F027"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Future</w:t>
            </w:r>
          </w:p>
        </w:tc>
      </w:tr>
      <w:tr w:rsidR="00B25C8E" w:rsidRPr="007B7125" w14:paraId="54CCBD49" w14:textId="77777777" w:rsidTr="009E0C04">
        <w:tc>
          <w:tcPr>
            <w:tcW w:w="1418" w:type="dxa"/>
            <w:tcBorders>
              <w:top w:val="nil"/>
              <w:left w:val="nil"/>
              <w:bottom w:val="nil"/>
              <w:right w:val="nil"/>
            </w:tcBorders>
          </w:tcPr>
          <w:p w14:paraId="30EB27D9"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Target 10</w:t>
            </w:r>
          </w:p>
        </w:tc>
        <w:tc>
          <w:tcPr>
            <w:tcW w:w="2977" w:type="dxa"/>
            <w:tcBorders>
              <w:top w:val="nil"/>
              <w:left w:val="nil"/>
              <w:bottom w:val="nil"/>
              <w:right w:val="nil"/>
            </w:tcBorders>
          </w:tcPr>
          <w:p w14:paraId="48646C99"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Minimization of threats to reefs and other ecosystems threatened by climate change</w:t>
            </w:r>
          </w:p>
        </w:tc>
        <w:tc>
          <w:tcPr>
            <w:tcW w:w="4252" w:type="dxa"/>
            <w:tcBorders>
              <w:top w:val="nil"/>
              <w:left w:val="nil"/>
              <w:bottom w:val="nil"/>
              <w:right w:val="nil"/>
            </w:tcBorders>
          </w:tcPr>
          <w:p w14:paraId="4FA70F56"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Red list Index for Ecosystems (reef-building corals)</w:t>
            </w:r>
          </w:p>
        </w:tc>
        <w:tc>
          <w:tcPr>
            <w:tcW w:w="1843" w:type="dxa"/>
            <w:tcBorders>
              <w:top w:val="nil"/>
              <w:left w:val="nil"/>
              <w:bottom w:val="nil"/>
              <w:right w:val="nil"/>
            </w:tcBorders>
          </w:tcPr>
          <w:p w14:paraId="57042358"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Future</w:t>
            </w:r>
          </w:p>
        </w:tc>
      </w:tr>
      <w:tr w:rsidR="00B25C8E" w:rsidRPr="007B7125" w14:paraId="0D6E300B" w14:textId="77777777" w:rsidTr="009E0C04">
        <w:tc>
          <w:tcPr>
            <w:tcW w:w="1418" w:type="dxa"/>
            <w:tcBorders>
              <w:top w:val="nil"/>
              <w:left w:val="nil"/>
              <w:bottom w:val="nil"/>
              <w:right w:val="nil"/>
            </w:tcBorders>
          </w:tcPr>
          <w:p w14:paraId="4D867CF3" w14:textId="77777777" w:rsidR="00B25C8E" w:rsidRPr="007B7125" w:rsidRDefault="00B25C8E" w:rsidP="005E5C8A">
            <w:pPr>
              <w:rPr>
                <w:rFonts w:ascii="Times New Roman" w:hAnsi="Times New Roman" w:cs="Times New Roman"/>
                <w:sz w:val="20"/>
                <w:szCs w:val="20"/>
              </w:rPr>
            </w:pPr>
          </w:p>
        </w:tc>
        <w:tc>
          <w:tcPr>
            <w:tcW w:w="2977" w:type="dxa"/>
            <w:tcBorders>
              <w:top w:val="nil"/>
              <w:left w:val="nil"/>
              <w:bottom w:val="nil"/>
              <w:right w:val="nil"/>
            </w:tcBorders>
          </w:tcPr>
          <w:p w14:paraId="3B74518A" w14:textId="77777777" w:rsidR="00B25C8E" w:rsidRPr="007B7125" w:rsidRDefault="00B25C8E" w:rsidP="005E5C8A">
            <w:pPr>
              <w:rPr>
                <w:rFonts w:ascii="Times New Roman" w:hAnsi="Times New Roman" w:cs="Times New Roman"/>
                <w:sz w:val="20"/>
                <w:szCs w:val="20"/>
              </w:rPr>
            </w:pPr>
          </w:p>
        </w:tc>
        <w:tc>
          <w:tcPr>
            <w:tcW w:w="4252" w:type="dxa"/>
            <w:tcBorders>
              <w:top w:val="nil"/>
              <w:left w:val="nil"/>
              <w:bottom w:val="nil"/>
              <w:right w:val="nil"/>
            </w:tcBorders>
          </w:tcPr>
          <w:p w14:paraId="7868FE1C"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Red list Index for Ecosystems (impacts of climate change)</w:t>
            </w:r>
          </w:p>
        </w:tc>
        <w:tc>
          <w:tcPr>
            <w:tcW w:w="1843" w:type="dxa"/>
            <w:tcBorders>
              <w:top w:val="nil"/>
              <w:left w:val="nil"/>
              <w:bottom w:val="nil"/>
              <w:right w:val="nil"/>
            </w:tcBorders>
          </w:tcPr>
          <w:p w14:paraId="6EE97659"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Future</w:t>
            </w:r>
          </w:p>
        </w:tc>
      </w:tr>
      <w:tr w:rsidR="00B25C8E" w:rsidRPr="007B7125" w14:paraId="47BE5CD2" w14:textId="77777777" w:rsidTr="009E0C04">
        <w:tc>
          <w:tcPr>
            <w:tcW w:w="1418" w:type="dxa"/>
            <w:tcBorders>
              <w:top w:val="nil"/>
              <w:left w:val="nil"/>
              <w:bottom w:val="nil"/>
              <w:right w:val="nil"/>
            </w:tcBorders>
          </w:tcPr>
          <w:p w14:paraId="5735C546"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Target 11</w:t>
            </w:r>
          </w:p>
        </w:tc>
        <w:tc>
          <w:tcPr>
            <w:tcW w:w="2977" w:type="dxa"/>
            <w:tcBorders>
              <w:top w:val="nil"/>
              <w:left w:val="nil"/>
              <w:bottom w:val="nil"/>
              <w:right w:val="nil"/>
            </w:tcBorders>
          </w:tcPr>
          <w:p w14:paraId="44DDFFDF"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Protected area designation and management</w:t>
            </w:r>
          </w:p>
        </w:tc>
        <w:tc>
          <w:tcPr>
            <w:tcW w:w="4252" w:type="dxa"/>
            <w:tcBorders>
              <w:top w:val="nil"/>
              <w:left w:val="nil"/>
              <w:bottom w:val="nil"/>
              <w:right w:val="nil"/>
            </w:tcBorders>
          </w:tcPr>
          <w:p w14:paraId="13ADE801" w14:textId="77777777" w:rsidR="00B25C8E" w:rsidRPr="007B7125" w:rsidRDefault="00B25C8E" w:rsidP="005E5C8A">
            <w:pPr>
              <w:rPr>
                <w:rFonts w:ascii="Times New Roman" w:hAnsi="Times New Roman" w:cs="Times New Roman"/>
                <w:sz w:val="20"/>
                <w:szCs w:val="20"/>
              </w:rPr>
            </w:pPr>
            <w:r w:rsidRPr="009E0C04">
              <w:rPr>
                <w:rFonts w:ascii="Times New Roman" w:hAnsi="Times New Roman" w:cs="Times New Roman"/>
                <w:noProof/>
                <w:sz w:val="20"/>
                <w:szCs w:val="20"/>
              </w:rPr>
              <w:t>Proportion</w:t>
            </w:r>
            <w:r>
              <w:rPr>
                <w:rFonts w:ascii="Times New Roman" w:hAnsi="Times New Roman" w:cs="Times New Roman"/>
                <w:sz w:val="20"/>
                <w:szCs w:val="20"/>
              </w:rPr>
              <w:t xml:space="preserve"> of ecosystems (including threatened ecosystems) included in protected areas</w:t>
            </w:r>
          </w:p>
        </w:tc>
        <w:tc>
          <w:tcPr>
            <w:tcW w:w="1843" w:type="dxa"/>
            <w:tcBorders>
              <w:top w:val="nil"/>
              <w:left w:val="nil"/>
              <w:bottom w:val="nil"/>
              <w:right w:val="nil"/>
            </w:tcBorders>
          </w:tcPr>
          <w:p w14:paraId="11AA279D" w14:textId="668CB9A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 xml:space="preserve">Implementation at </w:t>
            </w:r>
            <w:r w:rsidR="009E0C04">
              <w:rPr>
                <w:rFonts w:ascii="Times New Roman" w:hAnsi="Times New Roman" w:cs="Times New Roman"/>
                <w:sz w:val="20"/>
                <w:szCs w:val="20"/>
              </w:rPr>
              <w:t xml:space="preserve">the </w:t>
            </w:r>
            <w:r w:rsidRPr="009E0C04">
              <w:rPr>
                <w:rFonts w:ascii="Times New Roman" w:hAnsi="Times New Roman" w:cs="Times New Roman"/>
                <w:noProof/>
                <w:sz w:val="20"/>
                <w:szCs w:val="20"/>
              </w:rPr>
              <w:t>national</w:t>
            </w:r>
            <w:r>
              <w:rPr>
                <w:rFonts w:ascii="Times New Roman" w:hAnsi="Times New Roman" w:cs="Times New Roman"/>
                <w:sz w:val="20"/>
                <w:szCs w:val="20"/>
              </w:rPr>
              <w:t xml:space="preserve"> scale (e.g., Colombia)</w:t>
            </w:r>
          </w:p>
        </w:tc>
      </w:tr>
      <w:tr w:rsidR="00B25C8E" w:rsidRPr="007B7125" w14:paraId="7D263C06" w14:textId="77777777" w:rsidTr="009E0C04">
        <w:tc>
          <w:tcPr>
            <w:tcW w:w="1418" w:type="dxa"/>
            <w:tcBorders>
              <w:top w:val="nil"/>
              <w:left w:val="nil"/>
              <w:bottom w:val="nil"/>
              <w:right w:val="nil"/>
            </w:tcBorders>
          </w:tcPr>
          <w:p w14:paraId="6CFBB343"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Target 14</w:t>
            </w:r>
          </w:p>
        </w:tc>
        <w:tc>
          <w:tcPr>
            <w:tcW w:w="2977" w:type="dxa"/>
            <w:tcBorders>
              <w:top w:val="nil"/>
              <w:left w:val="nil"/>
              <w:bottom w:val="nil"/>
              <w:right w:val="nil"/>
            </w:tcBorders>
          </w:tcPr>
          <w:p w14:paraId="0F18FC6A"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Management of ecosystem services</w:t>
            </w:r>
          </w:p>
        </w:tc>
        <w:tc>
          <w:tcPr>
            <w:tcW w:w="4252" w:type="dxa"/>
            <w:tcBorders>
              <w:top w:val="nil"/>
              <w:left w:val="nil"/>
              <w:bottom w:val="nil"/>
              <w:right w:val="nil"/>
            </w:tcBorders>
          </w:tcPr>
          <w:p w14:paraId="4C9837B6"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Red list Index for Ecosystems (exploited ecosystems)</w:t>
            </w:r>
          </w:p>
        </w:tc>
        <w:tc>
          <w:tcPr>
            <w:tcW w:w="1843" w:type="dxa"/>
            <w:tcBorders>
              <w:top w:val="nil"/>
              <w:left w:val="nil"/>
              <w:bottom w:val="nil"/>
              <w:right w:val="nil"/>
            </w:tcBorders>
          </w:tcPr>
          <w:p w14:paraId="069E2CB8"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 xml:space="preserve">Piloted for a single ecosystem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{"citationItems":[{"id":"ITEM-1","itemData":{"DOI":"10.1016/J.BIOCON.2018.08.019","ISSN":"0006-3207","abstract":"Assessing risks to marine ecosystems is critical due to their biological and economic importance, and because many have recently undergone regime shifts due to overfishing and environmental change. Yet defining collapsed ecosystem states, selecting informative indicators and reconstructing long-term marine ecosystem changes remains challenging. The IUCN Red List of Ecosystems constitutes the global standard for quantifying risks to ecosystems and we conducted the first Red List assessment of an offshore marine ecosystem, focusing on the southern Benguela in South Africa. We used an analogous but collapsed ecosystem – the northern Benguela – to help define collapse in the southern Benguela and derived collapse thresholds with structured expert elicitation (i.e. repeatable estimation by expert judgment). To capture complex ecosystem dynamics and reconstruct historical ecosystem states, we used environmental indicators as well as survey-, catch- and model-based indicators. We listed the ecosystem in 1960 and 2015 as Endangered, with assessment outcomes robust to alternative model parametrizations. While many indicators improved between 1960 and 2015, seabird populations have suffered large declines since 1900 and remain at risk, pointing towards ongoing management priorities. Catch-based indicators often over-estimated risks compared to survey- and model-based indicators, warning against listing ecosystems as threatened solely based on indicators of pressure. We show that risk assessments provide a framework for interpreting data from indicators, ecosystem models and experts to inform the management of marine ecosystems. This work highlights the feasibility of conducting Red List of Ecosystems assessments for marine ecosystems.","author":[{"dropping-particle":"","family":"Bland","given":"Lucie M.","non-dropping-particle":"","parse-names":false,"suffix":""},{"dropping-particle":"","family":"Watermeyer","given":"Kate E.","non-dropping-particle":"","parse-names":false,"suffix":""},{"dropping-particle":"","family":"Keith","given":"David A.","non-dropping-particle":"","parse-names":false,"suffix":""},{"dropping-particle":"","family":"Nicholson","given":"Emily","non-dropping-particle":"","parse-names":false,"suffix":""},{"dropping-particle":"","family":"Regan","given":"Tracey J.","non-dropping-particle":"","parse-names":false,"suffix":""},{"dropping-particle":"","family":"Shannon","given":"Lynne J.","non-dropping-particle":"","parse-names":false,"suffix":""}],"container-title":"Biological Conservation","id":"ITEM-1","issued":{"date-parts":[["2018","11","1"]]},"page":"19-28","publisher":"Elsevier","title":"Assessing risks to marine ecosystems with indicators, ecosystem models and experts","type":"article-journal","volume":"227"},"uris":["http://www.mendeley.com/documents/?uuid=dc4894d6-7c5b-3669-b5eb-a62d3df48fed"]}],"mendeley":{"formattedCitation":"(Bland et al. 2018)","plainTextFormattedCitation":"(Bland et al. 2018)","previouslyFormattedCitation":"(Bland et al. 2018)"},"properties":{"noteIndex":0},"schema":"https://github.com/citation-style-language/schema/raw/master/csl-citation.json"}</w:instrText>
            </w:r>
            <w:r>
              <w:rPr>
                <w:rFonts w:ascii="Times New Roman" w:hAnsi="Times New Roman" w:cs="Times New Roman"/>
                <w:sz w:val="20"/>
                <w:szCs w:val="20"/>
              </w:rPr>
              <w:fldChar w:fldCharType="separate"/>
            </w:r>
            <w:r w:rsidRPr="0031283A">
              <w:rPr>
                <w:rFonts w:ascii="Times New Roman" w:hAnsi="Times New Roman" w:cs="Times New Roman"/>
                <w:noProof/>
                <w:sz w:val="20"/>
                <w:szCs w:val="20"/>
              </w:rPr>
              <w:t>(Bland et al. 2018)</w:t>
            </w:r>
            <w:r>
              <w:rPr>
                <w:rFonts w:ascii="Times New Roman" w:hAnsi="Times New Roman" w:cs="Times New Roman"/>
                <w:sz w:val="20"/>
                <w:szCs w:val="20"/>
              </w:rPr>
              <w:fldChar w:fldCharType="end"/>
            </w:r>
          </w:p>
        </w:tc>
      </w:tr>
      <w:tr w:rsidR="00B25C8E" w:rsidRPr="007B7125" w14:paraId="7D423F2E" w14:textId="77777777" w:rsidTr="009E0C04">
        <w:tc>
          <w:tcPr>
            <w:tcW w:w="1418" w:type="dxa"/>
            <w:tcBorders>
              <w:top w:val="nil"/>
              <w:left w:val="nil"/>
              <w:bottom w:val="nil"/>
              <w:right w:val="nil"/>
            </w:tcBorders>
          </w:tcPr>
          <w:p w14:paraId="3ED9A053"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Target 15</w:t>
            </w:r>
          </w:p>
        </w:tc>
        <w:tc>
          <w:tcPr>
            <w:tcW w:w="2977" w:type="dxa"/>
            <w:tcBorders>
              <w:top w:val="nil"/>
              <w:left w:val="nil"/>
              <w:bottom w:val="nil"/>
              <w:right w:val="nil"/>
            </w:tcBorders>
          </w:tcPr>
          <w:p w14:paraId="3DE86A97"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Management of ecosystem resilience and carbon sequestration</w:t>
            </w:r>
          </w:p>
        </w:tc>
        <w:tc>
          <w:tcPr>
            <w:tcW w:w="4252" w:type="dxa"/>
            <w:tcBorders>
              <w:top w:val="nil"/>
              <w:left w:val="nil"/>
              <w:bottom w:val="nil"/>
              <w:right w:val="nil"/>
            </w:tcBorders>
          </w:tcPr>
          <w:p w14:paraId="184E05EA"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Red list Index for Ecosystems (restored ecosystems)</w:t>
            </w:r>
          </w:p>
        </w:tc>
        <w:tc>
          <w:tcPr>
            <w:tcW w:w="1843" w:type="dxa"/>
            <w:tcBorders>
              <w:top w:val="nil"/>
              <w:left w:val="nil"/>
              <w:bottom w:val="nil"/>
              <w:right w:val="nil"/>
            </w:tcBorders>
          </w:tcPr>
          <w:p w14:paraId="04459A6F" w14:textId="77777777" w:rsidR="00B25C8E" w:rsidRPr="007B7125" w:rsidRDefault="00B25C8E" w:rsidP="005E5C8A">
            <w:pPr>
              <w:rPr>
                <w:rFonts w:ascii="Times New Roman" w:hAnsi="Times New Roman" w:cs="Times New Roman"/>
                <w:sz w:val="20"/>
                <w:szCs w:val="20"/>
              </w:rPr>
            </w:pPr>
          </w:p>
        </w:tc>
      </w:tr>
      <w:tr w:rsidR="00B25C8E" w:rsidRPr="007B7125" w14:paraId="2ABE7113" w14:textId="77777777" w:rsidTr="009E0C04">
        <w:tc>
          <w:tcPr>
            <w:tcW w:w="1418" w:type="dxa"/>
            <w:tcBorders>
              <w:top w:val="nil"/>
              <w:left w:val="nil"/>
              <w:right w:val="nil"/>
            </w:tcBorders>
          </w:tcPr>
          <w:p w14:paraId="717EC404"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Target 19</w:t>
            </w:r>
          </w:p>
        </w:tc>
        <w:tc>
          <w:tcPr>
            <w:tcW w:w="2977" w:type="dxa"/>
            <w:tcBorders>
              <w:top w:val="nil"/>
              <w:left w:val="nil"/>
              <w:right w:val="nil"/>
            </w:tcBorders>
          </w:tcPr>
          <w:p w14:paraId="2732B47B"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Improvement in biodiversity knowledge</w:t>
            </w:r>
          </w:p>
        </w:tc>
        <w:tc>
          <w:tcPr>
            <w:tcW w:w="4252" w:type="dxa"/>
            <w:tcBorders>
              <w:top w:val="nil"/>
              <w:left w:val="nil"/>
              <w:right w:val="nil"/>
            </w:tcBorders>
          </w:tcPr>
          <w:p w14:paraId="5F42A33B" w14:textId="7601AE88" w:rsidR="00B25C8E" w:rsidRDefault="00B25C8E" w:rsidP="005E5C8A">
            <w:pPr>
              <w:rPr>
                <w:rFonts w:ascii="Times New Roman" w:hAnsi="Times New Roman" w:cs="Times New Roman"/>
                <w:sz w:val="20"/>
                <w:szCs w:val="20"/>
              </w:rPr>
            </w:pPr>
            <w:r w:rsidRPr="009E0C04">
              <w:rPr>
                <w:rFonts w:ascii="Times New Roman" w:hAnsi="Times New Roman" w:cs="Times New Roman"/>
                <w:noProof/>
                <w:sz w:val="20"/>
                <w:szCs w:val="20"/>
              </w:rPr>
              <w:t>Number</w:t>
            </w:r>
            <w:r>
              <w:rPr>
                <w:rFonts w:ascii="Times New Roman" w:hAnsi="Times New Roman" w:cs="Times New Roman"/>
                <w:sz w:val="20"/>
                <w:szCs w:val="20"/>
              </w:rPr>
              <w:t xml:space="preserve"> of ecosystems assessed and proportion of land/sea assessed with the Red List of Ecosystems.</w:t>
            </w:r>
          </w:p>
          <w:p w14:paraId="39918D45" w14:textId="77777777" w:rsidR="009E0C04" w:rsidRDefault="009E0C04" w:rsidP="005E5C8A">
            <w:pPr>
              <w:rPr>
                <w:rFonts w:ascii="Times New Roman" w:hAnsi="Times New Roman" w:cs="Times New Roman"/>
                <w:sz w:val="20"/>
                <w:szCs w:val="20"/>
              </w:rPr>
            </w:pPr>
          </w:p>
          <w:p w14:paraId="1A7CF264"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Knowledge-transfer strategies.</w:t>
            </w:r>
          </w:p>
        </w:tc>
        <w:tc>
          <w:tcPr>
            <w:tcW w:w="1843" w:type="dxa"/>
            <w:tcBorders>
              <w:top w:val="nil"/>
              <w:left w:val="nil"/>
              <w:right w:val="nil"/>
            </w:tcBorders>
          </w:tcPr>
          <w:p w14:paraId="466BA5A4" w14:textId="77777777" w:rsidR="00B25C8E" w:rsidRPr="007B7125" w:rsidRDefault="00B25C8E" w:rsidP="005E5C8A">
            <w:pPr>
              <w:rPr>
                <w:rFonts w:ascii="Times New Roman" w:hAnsi="Times New Roman" w:cs="Times New Roman"/>
                <w:sz w:val="20"/>
                <w:szCs w:val="20"/>
              </w:rPr>
            </w:pPr>
            <w:r>
              <w:rPr>
                <w:rFonts w:ascii="Times New Roman" w:hAnsi="Times New Roman" w:cs="Times New Roman"/>
                <w:sz w:val="20"/>
                <w:szCs w:val="20"/>
              </w:rPr>
              <w:t>Herein</w:t>
            </w:r>
          </w:p>
        </w:tc>
      </w:tr>
    </w:tbl>
    <w:p w14:paraId="7113AE2D" w14:textId="5074EC08" w:rsidR="00B25C8E" w:rsidRDefault="00B25C8E" w:rsidP="00B25C8E">
      <w:pPr>
        <w:spacing w:line="480" w:lineRule="auto"/>
        <w:rPr>
          <w:rFonts w:ascii="Times New Roman" w:hAnsi="Times New Roman" w:cs="Times New Roman"/>
          <w:sz w:val="24"/>
          <w:szCs w:val="24"/>
        </w:rPr>
      </w:pPr>
      <w:r w:rsidRPr="00053ACB">
        <w:rPr>
          <w:rFonts w:ascii="Times New Roman" w:hAnsi="Times New Roman" w:cs="Times New Roman"/>
          <w:b/>
          <w:sz w:val="24"/>
          <w:szCs w:val="24"/>
        </w:rPr>
        <w:lastRenderedPageBreak/>
        <w:t xml:space="preserve">Table </w:t>
      </w:r>
      <w:r>
        <w:rPr>
          <w:rFonts w:ascii="Times New Roman" w:hAnsi="Times New Roman" w:cs="Times New Roman"/>
          <w:b/>
          <w:sz w:val="24"/>
          <w:szCs w:val="24"/>
        </w:rPr>
        <w:t>S3</w:t>
      </w:r>
      <w:r w:rsidRPr="00053ACB">
        <w:rPr>
          <w:rFonts w:ascii="Times New Roman" w:hAnsi="Times New Roman" w:cs="Times New Roman"/>
          <w:b/>
          <w:sz w:val="24"/>
          <w:szCs w:val="24"/>
        </w:rPr>
        <w:t>.</w:t>
      </w:r>
      <w:r>
        <w:rPr>
          <w:rFonts w:ascii="Times New Roman" w:hAnsi="Times New Roman" w:cs="Times New Roman"/>
          <w:sz w:val="24"/>
          <w:szCs w:val="24"/>
        </w:rPr>
        <w:t xml:space="preserve"> Proposed </w:t>
      </w:r>
      <w:r w:rsidR="009E0C04">
        <w:rPr>
          <w:rFonts w:ascii="Times New Roman" w:hAnsi="Times New Roman" w:cs="Times New Roman"/>
          <w:sz w:val="24"/>
          <w:szCs w:val="24"/>
        </w:rPr>
        <w:t>International Union for Conservation of Nature</w:t>
      </w:r>
      <w:r>
        <w:rPr>
          <w:rFonts w:ascii="Times New Roman" w:hAnsi="Times New Roman" w:cs="Times New Roman"/>
          <w:sz w:val="24"/>
          <w:szCs w:val="24"/>
        </w:rPr>
        <w:t xml:space="preserve"> </w:t>
      </w:r>
      <w:r>
        <w:rPr>
          <w:rFonts w:ascii="Times New Roman" w:hAnsi="Times New Roman" w:cs="Times New Roman"/>
          <w:sz w:val="24"/>
          <w:szCs w:val="24"/>
        </w:rPr>
        <w:t xml:space="preserve">Red List of Ecosystems indicators and processes to inform the </w:t>
      </w:r>
      <w:r w:rsidR="00DD7FC1">
        <w:rPr>
          <w:rFonts w:ascii="Times New Roman" w:hAnsi="Times New Roman" w:cs="Times New Roman"/>
          <w:sz w:val="24"/>
          <w:szCs w:val="24"/>
        </w:rPr>
        <w:t xml:space="preserve">United Nations </w:t>
      </w:r>
      <w:r>
        <w:rPr>
          <w:rFonts w:ascii="Times New Roman" w:hAnsi="Times New Roman" w:cs="Times New Roman"/>
          <w:sz w:val="24"/>
          <w:szCs w:val="24"/>
        </w:rPr>
        <w:t>Sustainable Development Goals</w:t>
      </w:r>
      <w:r w:rsidR="00B53C47">
        <w:rPr>
          <w:rFonts w:ascii="Times New Roman" w:hAnsi="Times New Roman" w:cs="Times New Roman"/>
          <w:sz w:val="24"/>
          <w:szCs w:val="24"/>
        </w:rPr>
        <w:t xml:space="preserve"> (SDG)</w:t>
      </w:r>
      <w:r>
        <w:rPr>
          <w:rFonts w:ascii="Times New Roman" w:hAnsi="Times New Roman" w:cs="Times New Roman"/>
          <w:sz w:val="24"/>
          <w:szCs w:val="24"/>
        </w:rPr>
        <w:t>.</w:t>
      </w:r>
      <w:r w:rsidR="005E5C8A">
        <w:rPr>
          <w:rFonts w:ascii="Times New Roman" w:hAnsi="Times New Roman" w:cs="Times New Roman"/>
          <w:sz w:val="24"/>
          <w:szCs w:val="24"/>
        </w:rPr>
        <w:t xml:space="preserve"> </w:t>
      </w:r>
      <w:r w:rsidR="005E5C8A" w:rsidRPr="005E5C8A">
        <w:rPr>
          <w:rFonts w:ascii="Times New Roman" w:hAnsi="Times New Roman" w:cs="Times New Roman"/>
          <w:sz w:val="24"/>
          <w:szCs w:val="24"/>
        </w:rPr>
        <w:t>The Red List Index of Ecosystems is based on overall ecosystem status, the Ecosystem Area Index is derived from trends in ecosystem area (criterion A), and the Ecosystem Health Index is derived from trends in ecological function (criteria C and D; Rowland 2018).</w:t>
      </w:r>
    </w:p>
    <w:tbl>
      <w:tblPr>
        <w:tblStyle w:val="TableGrid"/>
        <w:tblW w:w="9634" w:type="dxa"/>
        <w:tblLayout w:type="fixed"/>
        <w:tblLook w:val="04A0" w:firstRow="1" w:lastRow="0" w:firstColumn="1" w:lastColumn="0" w:noHBand="0" w:noVBand="1"/>
      </w:tblPr>
      <w:tblGrid>
        <w:gridCol w:w="993"/>
        <w:gridCol w:w="2247"/>
        <w:gridCol w:w="3848"/>
        <w:gridCol w:w="2546"/>
      </w:tblGrid>
      <w:tr w:rsidR="00B53C47" w:rsidRPr="00053ACB" w14:paraId="4E492078" w14:textId="77777777" w:rsidTr="009E0C04">
        <w:tc>
          <w:tcPr>
            <w:tcW w:w="993" w:type="dxa"/>
            <w:tcBorders>
              <w:top w:val="single" w:sz="4" w:space="0" w:color="auto"/>
              <w:left w:val="nil"/>
              <w:bottom w:val="single" w:sz="4" w:space="0" w:color="auto"/>
              <w:right w:val="nil"/>
            </w:tcBorders>
          </w:tcPr>
          <w:p w14:paraId="3CCB5001" w14:textId="0E813C44" w:rsidR="00B53C47" w:rsidRPr="00053ACB" w:rsidRDefault="00B53C47" w:rsidP="005E5C8A">
            <w:pPr>
              <w:rPr>
                <w:rFonts w:ascii="Times New Roman" w:hAnsi="Times New Roman" w:cs="Times New Roman"/>
                <w:b/>
                <w:sz w:val="20"/>
                <w:szCs w:val="20"/>
              </w:rPr>
            </w:pPr>
            <w:r>
              <w:rPr>
                <w:rFonts w:ascii="Times New Roman" w:hAnsi="Times New Roman" w:cs="Times New Roman"/>
                <w:b/>
                <w:sz w:val="20"/>
                <w:szCs w:val="20"/>
              </w:rPr>
              <w:t>SDG</w:t>
            </w:r>
          </w:p>
        </w:tc>
        <w:tc>
          <w:tcPr>
            <w:tcW w:w="2247" w:type="dxa"/>
            <w:tcBorders>
              <w:top w:val="single" w:sz="4" w:space="0" w:color="auto"/>
              <w:left w:val="nil"/>
              <w:bottom w:val="single" w:sz="4" w:space="0" w:color="auto"/>
              <w:right w:val="nil"/>
            </w:tcBorders>
          </w:tcPr>
          <w:p w14:paraId="5EC911A0" w14:textId="77777777" w:rsidR="00B53C47" w:rsidRPr="00053ACB" w:rsidRDefault="00B53C47" w:rsidP="005E5C8A">
            <w:pPr>
              <w:rPr>
                <w:rFonts w:ascii="Times New Roman" w:hAnsi="Times New Roman" w:cs="Times New Roman"/>
                <w:b/>
                <w:sz w:val="20"/>
                <w:szCs w:val="20"/>
              </w:rPr>
            </w:pPr>
            <w:r w:rsidRPr="00053ACB">
              <w:rPr>
                <w:rFonts w:ascii="Times New Roman" w:hAnsi="Times New Roman" w:cs="Times New Roman"/>
                <w:b/>
                <w:sz w:val="20"/>
                <w:szCs w:val="20"/>
              </w:rPr>
              <w:t>Summary</w:t>
            </w:r>
          </w:p>
        </w:tc>
        <w:tc>
          <w:tcPr>
            <w:tcW w:w="3848" w:type="dxa"/>
            <w:tcBorders>
              <w:top w:val="single" w:sz="4" w:space="0" w:color="auto"/>
              <w:left w:val="nil"/>
              <w:bottom w:val="single" w:sz="4" w:space="0" w:color="auto"/>
              <w:right w:val="nil"/>
            </w:tcBorders>
          </w:tcPr>
          <w:p w14:paraId="62B60A1A" w14:textId="77777777" w:rsidR="00B53C47" w:rsidRPr="00053ACB" w:rsidRDefault="00B53C47" w:rsidP="005E5C8A">
            <w:pPr>
              <w:rPr>
                <w:rFonts w:ascii="Times New Roman" w:hAnsi="Times New Roman" w:cs="Times New Roman"/>
                <w:b/>
                <w:sz w:val="20"/>
                <w:szCs w:val="20"/>
              </w:rPr>
            </w:pPr>
            <w:r>
              <w:rPr>
                <w:rFonts w:ascii="Times New Roman" w:hAnsi="Times New Roman" w:cs="Times New Roman"/>
                <w:b/>
                <w:sz w:val="20"/>
                <w:szCs w:val="20"/>
              </w:rPr>
              <w:t>I</w:t>
            </w:r>
            <w:r w:rsidRPr="00053ACB">
              <w:rPr>
                <w:rFonts w:ascii="Times New Roman" w:hAnsi="Times New Roman" w:cs="Times New Roman"/>
                <w:b/>
                <w:sz w:val="20"/>
                <w:szCs w:val="20"/>
              </w:rPr>
              <w:t>ndicators and processes</w:t>
            </w:r>
          </w:p>
        </w:tc>
        <w:tc>
          <w:tcPr>
            <w:tcW w:w="2546" w:type="dxa"/>
            <w:tcBorders>
              <w:top w:val="single" w:sz="4" w:space="0" w:color="auto"/>
              <w:left w:val="nil"/>
              <w:bottom w:val="single" w:sz="4" w:space="0" w:color="auto"/>
              <w:right w:val="nil"/>
            </w:tcBorders>
          </w:tcPr>
          <w:p w14:paraId="7CAE859F" w14:textId="77777777" w:rsidR="00B53C47" w:rsidRPr="00053ACB" w:rsidRDefault="00B53C47" w:rsidP="005E5C8A">
            <w:pPr>
              <w:rPr>
                <w:rFonts w:ascii="Times New Roman" w:hAnsi="Times New Roman" w:cs="Times New Roman"/>
                <w:b/>
                <w:sz w:val="20"/>
                <w:szCs w:val="20"/>
              </w:rPr>
            </w:pPr>
            <w:r w:rsidRPr="00053ACB">
              <w:rPr>
                <w:rFonts w:ascii="Times New Roman" w:hAnsi="Times New Roman" w:cs="Times New Roman"/>
                <w:b/>
                <w:sz w:val="20"/>
                <w:szCs w:val="20"/>
              </w:rPr>
              <w:t>Progress</w:t>
            </w:r>
          </w:p>
        </w:tc>
      </w:tr>
      <w:tr w:rsidR="00B53C47" w:rsidRPr="007B7125" w14:paraId="73C3BAA7" w14:textId="77777777" w:rsidTr="005E5C8A">
        <w:tc>
          <w:tcPr>
            <w:tcW w:w="993" w:type="dxa"/>
            <w:tcBorders>
              <w:left w:val="nil"/>
              <w:bottom w:val="nil"/>
              <w:right w:val="nil"/>
            </w:tcBorders>
          </w:tcPr>
          <w:p w14:paraId="666F713C" w14:textId="2C985580" w:rsidR="00B53C47" w:rsidRPr="007B7125" w:rsidRDefault="00B53C47" w:rsidP="005E5C8A">
            <w:pPr>
              <w:rPr>
                <w:rFonts w:ascii="Times New Roman" w:hAnsi="Times New Roman" w:cs="Times New Roman"/>
                <w:sz w:val="20"/>
                <w:szCs w:val="20"/>
              </w:rPr>
            </w:pPr>
            <w:r>
              <w:rPr>
                <w:rFonts w:ascii="Times New Roman" w:hAnsi="Times New Roman" w:cs="Times New Roman"/>
                <w:sz w:val="20"/>
                <w:szCs w:val="20"/>
              </w:rPr>
              <w:t>Goal</w:t>
            </w:r>
            <w:r w:rsidRPr="007B7125">
              <w:rPr>
                <w:rFonts w:ascii="Times New Roman" w:hAnsi="Times New Roman" w:cs="Times New Roman"/>
                <w:sz w:val="20"/>
                <w:szCs w:val="20"/>
              </w:rPr>
              <w:t xml:space="preserve"> 2</w:t>
            </w:r>
          </w:p>
        </w:tc>
        <w:tc>
          <w:tcPr>
            <w:tcW w:w="2247" w:type="dxa"/>
            <w:tcBorders>
              <w:left w:val="nil"/>
              <w:bottom w:val="nil"/>
              <w:right w:val="nil"/>
            </w:tcBorders>
          </w:tcPr>
          <w:p w14:paraId="5C57FC3D" w14:textId="1F015716" w:rsidR="00B53C47" w:rsidRPr="007B7125" w:rsidRDefault="00B53C47" w:rsidP="005E5C8A">
            <w:pPr>
              <w:rPr>
                <w:rFonts w:ascii="Times New Roman" w:hAnsi="Times New Roman" w:cs="Times New Roman"/>
                <w:sz w:val="20"/>
                <w:szCs w:val="20"/>
              </w:rPr>
            </w:pPr>
            <w:r w:rsidRPr="00B53C47">
              <w:rPr>
                <w:rFonts w:ascii="Times New Roman" w:hAnsi="Times New Roman" w:cs="Times New Roman"/>
                <w:sz w:val="20"/>
                <w:szCs w:val="20"/>
              </w:rPr>
              <w:t>End hunger, achieve food security and improved nutrition and promote sustainable agriculture</w:t>
            </w:r>
          </w:p>
        </w:tc>
        <w:tc>
          <w:tcPr>
            <w:tcW w:w="3848" w:type="dxa"/>
            <w:tcBorders>
              <w:left w:val="nil"/>
              <w:bottom w:val="nil"/>
              <w:right w:val="nil"/>
            </w:tcBorders>
          </w:tcPr>
          <w:p w14:paraId="36748A26" w14:textId="7C0007AE" w:rsidR="00B53C47" w:rsidRPr="007B7125" w:rsidRDefault="00B53C47" w:rsidP="005E5C8A">
            <w:pPr>
              <w:rPr>
                <w:rFonts w:ascii="Times New Roman" w:hAnsi="Times New Roman" w:cs="Times New Roman"/>
                <w:sz w:val="20"/>
                <w:szCs w:val="20"/>
              </w:rPr>
            </w:pPr>
            <w:r>
              <w:rPr>
                <w:rFonts w:ascii="Times New Roman" w:hAnsi="Times New Roman" w:cs="Times New Roman"/>
                <w:sz w:val="20"/>
                <w:szCs w:val="20"/>
              </w:rPr>
              <w:t>Red List Index for Ecosystems in agricultural areas or threatened by agricultural production</w:t>
            </w:r>
          </w:p>
        </w:tc>
        <w:tc>
          <w:tcPr>
            <w:tcW w:w="2546" w:type="dxa"/>
            <w:tcBorders>
              <w:left w:val="nil"/>
              <w:bottom w:val="nil"/>
              <w:right w:val="nil"/>
            </w:tcBorders>
          </w:tcPr>
          <w:p w14:paraId="2FE4B36A" w14:textId="77777777" w:rsidR="00B53C47" w:rsidRPr="007B7125" w:rsidRDefault="00B53C47" w:rsidP="005E5C8A">
            <w:pPr>
              <w:rPr>
                <w:rFonts w:ascii="Times New Roman" w:hAnsi="Times New Roman" w:cs="Times New Roman"/>
                <w:sz w:val="20"/>
                <w:szCs w:val="20"/>
              </w:rPr>
            </w:pPr>
            <w:r>
              <w:rPr>
                <w:rFonts w:ascii="Times New Roman" w:hAnsi="Times New Roman" w:cs="Times New Roman"/>
                <w:sz w:val="20"/>
                <w:szCs w:val="20"/>
              </w:rPr>
              <w:t>Future</w:t>
            </w:r>
          </w:p>
        </w:tc>
      </w:tr>
      <w:tr w:rsidR="001D328C" w:rsidRPr="007B7125" w14:paraId="64CD79A8" w14:textId="77777777" w:rsidTr="005E5C8A">
        <w:tc>
          <w:tcPr>
            <w:tcW w:w="993" w:type="dxa"/>
            <w:tcBorders>
              <w:top w:val="nil"/>
              <w:left w:val="nil"/>
              <w:bottom w:val="nil"/>
              <w:right w:val="nil"/>
            </w:tcBorders>
          </w:tcPr>
          <w:p w14:paraId="36DC8E02" w14:textId="445F74D8" w:rsidR="001D328C" w:rsidRPr="007B7125" w:rsidRDefault="001D328C" w:rsidP="001D328C">
            <w:pPr>
              <w:rPr>
                <w:rFonts w:ascii="Times New Roman" w:hAnsi="Times New Roman" w:cs="Times New Roman"/>
                <w:sz w:val="20"/>
                <w:szCs w:val="20"/>
              </w:rPr>
            </w:pPr>
            <w:r>
              <w:rPr>
                <w:rFonts w:ascii="Times New Roman" w:hAnsi="Times New Roman" w:cs="Times New Roman"/>
                <w:sz w:val="20"/>
                <w:szCs w:val="20"/>
              </w:rPr>
              <w:t>Goal 6</w:t>
            </w:r>
          </w:p>
        </w:tc>
        <w:tc>
          <w:tcPr>
            <w:tcW w:w="2247" w:type="dxa"/>
            <w:tcBorders>
              <w:top w:val="nil"/>
              <w:left w:val="nil"/>
              <w:bottom w:val="nil"/>
              <w:right w:val="nil"/>
            </w:tcBorders>
          </w:tcPr>
          <w:p w14:paraId="4640A796" w14:textId="3CFB9D4F" w:rsidR="001D328C" w:rsidRPr="007B7125" w:rsidRDefault="001D328C" w:rsidP="001D328C">
            <w:pPr>
              <w:rPr>
                <w:rFonts w:ascii="Times New Roman" w:hAnsi="Times New Roman" w:cs="Times New Roman"/>
                <w:sz w:val="20"/>
                <w:szCs w:val="20"/>
              </w:rPr>
            </w:pPr>
            <w:r w:rsidRPr="00B53C47">
              <w:rPr>
                <w:rFonts w:ascii="Times New Roman" w:hAnsi="Times New Roman" w:cs="Times New Roman"/>
                <w:sz w:val="20"/>
                <w:szCs w:val="20"/>
              </w:rPr>
              <w:t>Ensure availability and sustainable management of water and sanitation for all</w:t>
            </w:r>
          </w:p>
        </w:tc>
        <w:tc>
          <w:tcPr>
            <w:tcW w:w="3848" w:type="dxa"/>
            <w:tcBorders>
              <w:top w:val="nil"/>
              <w:left w:val="nil"/>
              <w:bottom w:val="nil"/>
              <w:right w:val="nil"/>
            </w:tcBorders>
          </w:tcPr>
          <w:p w14:paraId="0D39D54D" w14:textId="7BD5F347" w:rsidR="001D328C" w:rsidRPr="00D74957" w:rsidRDefault="001D328C" w:rsidP="001D328C">
            <w:pPr>
              <w:rPr>
                <w:rFonts w:ascii="Times New Roman" w:hAnsi="Times New Roman" w:cs="Times New Roman"/>
                <w:sz w:val="20"/>
                <w:szCs w:val="20"/>
              </w:rPr>
            </w:pPr>
            <w:r w:rsidRPr="00D74957">
              <w:rPr>
                <w:rFonts w:ascii="Times New Roman" w:hAnsi="Times New Roman" w:cs="Times New Roman"/>
                <w:sz w:val="20"/>
                <w:szCs w:val="20"/>
              </w:rPr>
              <w:t>Red List Index for Ecosystems and Ecosystem Health Index (impacts of pollution) for water bodies</w:t>
            </w:r>
          </w:p>
          <w:p w14:paraId="213186D5" w14:textId="77777777" w:rsidR="001D328C" w:rsidRDefault="001D328C" w:rsidP="001D328C">
            <w:pPr>
              <w:rPr>
                <w:rFonts w:ascii="Times New Roman" w:hAnsi="Times New Roman" w:cs="Times New Roman"/>
                <w:sz w:val="20"/>
                <w:szCs w:val="20"/>
              </w:rPr>
            </w:pPr>
          </w:p>
          <w:p w14:paraId="19DB0B89" w14:textId="65708FCF" w:rsidR="001D328C" w:rsidRPr="00D74957" w:rsidRDefault="001D328C" w:rsidP="001D328C">
            <w:pPr>
              <w:rPr>
                <w:rFonts w:ascii="Times New Roman" w:hAnsi="Times New Roman" w:cs="Times New Roman"/>
                <w:sz w:val="20"/>
                <w:szCs w:val="20"/>
              </w:rPr>
            </w:pPr>
            <w:r w:rsidRPr="00D74957">
              <w:rPr>
                <w:rFonts w:ascii="Times New Roman" w:hAnsi="Times New Roman" w:cs="Times New Roman"/>
                <w:sz w:val="20"/>
                <w:szCs w:val="20"/>
              </w:rPr>
              <w:t>Red List Index for Ecosystems, Ecosystem Area Index, and Ecosystem Health Index (impacts of water extraction)</w:t>
            </w:r>
          </w:p>
          <w:p w14:paraId="56583E46" w14:textId="77777777" w:rsidR="001D328C" w:rsidRDefault="001D328C" w:rsidP="001D328C">
            <w:pPr>
              <w:rPr>
                <w:rFonts w:ascii="Times New Roman" w:hAnsi="Times New Roman" w:cs="Times New Roman"/>
                <w:sz w:val="20"/>
                <w:szCs w:val="20"/>
              </w:rPr>
            </w:pPr>
          </w:p>
          <w:p w14:paraId="1ECFFFCE" w14:textId="116ACA01" w:rsidR="001D328C" w:rsidRPr="00D74957" w:rsidRDefault="001D328C" w:rsidP="001D328C">
            <w:pPr>
              <w:rPr>
                <w:rFonts w:ascii="Times New Roman" w:hAnsi="Times New Roman" w:cs="Times New Roman"/>
                <w:sz w:val="20"/>
                <w:szCs w:val="20"/>
              </w:rPr>
            </w:pPr>
            <w:r w:rsidRPr="00D74957">
              <w:rPr>
                <w:rFonts w:ascii="Times New Roman" w:hAnsi="Times New Roman" w:cs="Times New Roman"/>
                <w:sz w:val="20"/>
                <w:szCs w:val="20"/>
              </w:rPr>
              <w:t>Red List Index for Ecosystems, Ecosystem Area Index, and Ecosystem Health Index</w:t>
            </w:r>
            <w:r w:rsidR="005E5C8A">
              <w:rPr>
                <w:rFonts w:ascii="Times New Roman" w:hAnsi="Times New Roman" w:cs="Times New Roman"/>
                <w:sz w:val="20"/>
                <w:szCs w:val="20"/>
              </w:rPr>
              <w:t xml:space="preserve"> of water-related ecosystems</w:t>
            </w:r>
          </w:p>
          <w:p w14:paraId="61577C46" w14:textId="77777777" w:rsidR="001D328C" w:rsidRDefault="001D328C" w:rsidP="001D328C">
            <w:pPr>
              <w:rPr>
                <w:rFonts w:ascii="Times New Roman" w:hAnsi="Times New Roman" w:cs="Times New Roman"/>
                <w:sz w:val="20"/>
                <w:szCs w:val="20"/>
              </w:rPr>
            </w:pPr>
          </w:p>
          <w:p w14:paraId="3969FC8F" w14:textId="4435E93F" w:rsidR="001D328C" w:rsidRPr="00D74957" w:rsidRDefault="001D328C" w:rsidP="001D328C">
            <w:pPr>
              <w:rPr>
                <w:rFonts w:ascii="Times New Roman" w:hAnsi="Times New Roman" w:cs="Times New Roman"/>
                <w:sz w:val="20"/>
                <w:szCs w:val="20"/>
              </w:rPr>
            </w:pPr>
            <w:r w:rsidRPr="009E0C04">
              <w:rPr>
                <w:rFonts w:ascii="Times New Roman" w:hAnsi="Times New Roman" w:cs="Times New Roman"/>
                <w:noProof/>
                <w:sz w:val="20"/>
                <w:szCs w:val="20"/>
              </w:rPr>
              <w:t>Proportion</w:t>
            </w:r>
            <w:r w:rsidRPr="00D74957">
              <w:rPr>
                <w:rFonts w:ascii="Times New Roman" w:hAnsi="Times New Roman" w:cs="Times New Roman"/>
                <w:sz w:val="20"/>
                <w:szCs w:val="20"/>
              </w:rPr>
              <w:t xml:space="preserve"> of threatened water-related ecosystems in protect</w:t>
            </w:r>
            <w:r w:rsidR="005E5C8A">
              <w:rPr>
                <w:rFonts w:ascii="Times New Roman" w:hAnsi="Times New Roman" w:cs="Times New Roman"/>
                <w:sz w:val="20"/>
                <w:szCs w:val="20"/>
              </w:rPr>
              <w:t>ed areas</w:t>
            </w:r>
          </w:p>
        </w:tc>
        <w:tc>
          <w:tcPr>
            <w:tcW w:w="2546" w:type="dxa"/>
            <w:tcBorders>
              <w:top w:val="nil"/>
              <w:left w:val="nil"/>
              <w:bottom w:val="nil"/>
              <w:right w:val="nil"/>
            </w:tcBorders>
          </w:tcPr>
          <w:p w14:paraId="3C281DE9" w14:textId="77777777" w:rsidR="001D328C" w:rsidRDefault="001D328C" w:rsidP="001D328C">
            <w:pPr>
              <w:rPr>
                <w:rFonts w:ascii="Times New Roman" w:hAnsi="Times New Roman" w:cs="Times New Roman"/>
                <w:sz w:val="20"/>
                <w:szCs w:val="20"/>
              </w:rPr>
            </w:pPr>
            <w:r>
              <w:rPr>
                <w:rFonts w:ascii="Times New Roman" w:hAnsi="Times New Roman" w:cs="Times New Roman"/>
                <w:sz w:val="20"/>
                <w:szCs w:val="20"/>
              </w:rPr>
              <w:t>Future</w:t>
            </w:r>
          </w:p>
          <w:p w14:paraId="7F49361A" w14:textId="77777777" w:rsidR="001D328C" w:rsidRDefault="001D328C" w:rsidP="001D328C">
            <w:pPr>
              <w:rPr>
                <w:rFonts w:ascii="Times New Roman" w:hAnsi="Times New Roman" w:cs="Times New Roman"/>
                <w:sz w:val="20"/>
                <w:szCs w:val="20"/>
              </w:rPr>
            </w:pPr>
          </w:p>
          <w:p w14:paraId="29794614" w14:textId="77777777" w:rsidR="001D328C" w:rsidRDefault="001D328C" w:rsidP="001D328C">
            <w:pPr>
              <w:rPr>
                <w:rFonts w:ascii="Times New Roman" w:hAnsi="Times New Roman" w:cs="Times New Roman"/>
                <w:sz w:val="20"/>
                <w:szCs w:val="20"/>
              </w:rPr>
            </w:pPr>
          </w:p>
          <w:p w14:paraId="1E54D6B8" w14:textId="77777777" w:rsidR="001D328C" w:rsidRDefault="001D328C" w:rsidP="001D328C">
            <w:pPr>
              <w:rPr>
                <w:rFonts w:ascii="Times New Roman" w:hAnsi="Times New Roman" w:cs="Times New Roman"/>
                <w:sz w:val="20"/>
                <w:szCs w:val="20"/>
              </w:rPr>
            </w:pPr>
          </w:p>
          <w:p w14:paraId="65F532BB" w14:textId="77777777" w:rsidR="001D328C" w:rsidRDefault="001D328C" w:rsidP="001D328C">
            <w:pPr>
              <w:rPr>
                <w:rFonts w:ascii="Times New Roman" w:hAnsi="Times New Roman" w:cs="Times New Roman"/>
                <w:sz w:val="20"/>
                <w:szCs w:val="20"/>
              </w:rPr>
            </w:pPr>
            <w:r>
              <w:rPr>
                <w:rFonts w:ascii="Times New Roman" w:hAnsi="Times New Roman" w:cs="Times New Roman"/>
                <w:sz w:val="20"/>
                <w:szCs w:val="20"/>
              </w:rPr>
              <w:t>Future</w:t>
            </w:r>
          </w:p>
          <w:p w14:paraId="61248C17" w14:textId="77777777" w:rsidR="001D328C" w:rsidRDefault="001D328C" w:rsidP="001D328C">
            <w:pPr>
              <w:rPr>
                <w:rFonts w:ascii="Times New Roman" w:hAnsi="Times New Roman" w:cs="Times New Roman"/>
                <w:sz w:val="20"/>
                <w:szCs w:val="20"/>
              </w:rPr>
            </w:pPr>
          </w:p>
          <w:p w14:paraId="2E230C59" w14:textId="77777777" w:rsidR="001D328C" w:rsidRDefault="001D328C" w:rsidP="001D328C">
            <w:pPr>
              <w:rPr>
                <w:rFonts w:ascii="Times New Roman" w:hAnsi="Times New Roman" w:cs="Times New Roman"/>
                <w:sz w:val="20"/>
                <w:szCs w:val="20"/>
              </w:rPr>
            </w:pPr>
          </w:p>
          <w:p w14:paraId="5FBDAC3E" w14:textId="77777777" w:rsidR="001D328C" w:rsidRDefault="001D328C" w:rsidP="001D328C">
            <w:pPr>
              <w:rPr>
                <w:rFonts w:ascii="Times New Roman" w:hAnsi="Times New Roman" w:cs="Times New Roman"/>
                <w:sz w:val="20"/>
                <w:szCs w:val="20"/>
              </w:rPr>
            </w:pPr>
          </w:p>
          <w:p w14:paraId="4492ADEE" w14:textId="77777777" w:rsidR="001D328C" w:rsidRDefault="001D328C" w:rsidP="001D328C">
            <w:pPr>
              <w:rPr>
                <w:rFonts w:ascii="Times New Roman" w:hAnsi="Times New Roman" w:cs="Times New Roman"/>
                <w:sz w:val="20"/>
                <w:szCs w:val="20"/>
              </w:rPr>
            </w:pPr>
            <w:r>
              <w:rPr>
                <w:rFonts w:ascii="Times New Roman" w:hAnsi="Times New Roman" w:cs="Times New Roman"/>
                <w:sz w:val="20"/>
                <w:szCs w:val="20"/>
              </w:rPr>
              <w:t>Future</w:t>
            </w:r>
          </w:p>
          <w:p w14:paraId="71CA8AA7" w14:textId="77777777" w:rsidR="001D328C" w:rsidRDefault="001D328C" w:rsidP="001D328C">
            <w:pPr>
              <w:rPr>
                <w:rFonts w:ascii="Times New Roman" w:hAnsi="Times New Roman" w:cs="Times New Roman"/>
                <w:sz w:val="20"/>
                <w:szCs w:val="20"/>
              </w:rPr>
            </w:pPr>
          </w:p>
          <w:p w14:paraId="5B8F3356" w14:textId="77777777" w:rsidR="001D328C" w:rsidRDefault="001D328C" w:rsidP="001D328C">
            <w:pPr>
              <w:rPr>
                <w:rFonts w:ascii="Times New Roman" w:hAnsi="Times New Roman" w:cs="Times New Roman"/>
                <w:sz w:val="20"/>
                <w:szCs w:val="20"/>
              </w:rPr>
            </w:pPr>
          </w:p>
          <w:p w14:paraId="062BE914" w14:textId="77777777" w:rsidR="001D328C" w:rsidRDefault="001D328C" w:rsidP="001D328C">
            <w:pPr>
              <w:rPr>
                <w:rFonts w:ascii="Times New Roman" w:hAnsi="Times New Roman" w:cs="Times New Roman"/>
                <w:sz w:val="20"/>
                <w:szCs w:val="20"/>
              </w:rPr>
            </w:pPr>
          </w:p>
          <w:p w14:paraId="320AD656" w14:textId="041EDAE6" w:rsidR="001D328C" w:rsidRPr="007B7125" w:rsidRDefault="005E5C8A" w:rsidP="001D328C">
            <w:pPr>
              <w:rPr>
                <w:rFonts w:ascii="Times New Roman" w:hAnsi="Times New Roman" w:cs="Times New Roman"/>
                <w:sz w:val="20"/>
                <w:szCs w:val="20"/>
              </w:rPr>
            </w:pPr>
            <w:r>
              <w:rPr>
                <w:rFonts w:ascii="Times New Roman" w:hAnsi="Times New Roman" w:cs="Times New Roman"/>
                <w:sz w:val="20"/>
                <w:szCs w:val="20"/>
              </w:rPr>
              <w:t>Futu</w:t>
            </w:r>
            <w:r w:rsidR="001D328C">
              <w:rPr>
                <w:rFonts w:ascii="Times New Roman" w:hAnsi="Times New Roman" w:cs="Times New Roman"/>
                <w:sz w:val="20"/>
                <w:szCs w:val="20"/>
              </w:rPr>
              <w:t>re</w:t>
            </w:r>
          </w:p>
        </w:tc>
      </w:tr>
      <w:tr w:rsidR="001D328C" w:rsidRPr="007B7125" w14:paraId="33A95C3A" w14:textId="77777777" w:rsidTr="005E5C8A">
        <w:trPr>
          <w:trHeight w:val="69"/>
        </w:trPr>
        <w:tc>
          <w:tcPr>
            <w:tcW w:w="993" w:type="dxa"/>
            <w:tcBorders>
              <w:top w:val="nil"/>
              <w:left w:val="nil"/>
              <w:bottom w:val="nil"/>
              <w:right w:val="nil"/>
            </w:tcBorders>
          </w:tcPr>
          <w:p w14:paraId="39C108C2" w14:textId="77777777" w:rsidR="001D328C" w:rsidRPr="007B7125" w:rsidRDefault="001D328C" w:rsidP="001D328C">
            <w:pPr>
              <w:rPr>
                <w:rFonts w:ascii="Times New Roman" w:hAnsi="Times New Roman" w:cs="Times New Roman"/>
                <w:sz w:val="20"/>
                <w:szCs w:val="20"/>
              </w:rPr>
            </w:pPr>
          </w:p>
        </w:tc>
        <w:tc>
          <w:tcPr>
            <w:tcW w:w="2247" w:type="dxa"/>
            <w:tcBorders>
              <w:top w:val="nil"/>
              <w:left w:val="nil"/>
              <w:bottom w:val="nil"/>
              <w:right w:val="nil"/>
            </w:tcBorders>
          </w:tcPr>
          <w:p w14:paraId="3D79D571" w14:textId="77777777" w:rsidR="001D328C" w:rsidRPr="007B7125" w:rsidRDefault="001D328C" w:rsidP="001D328C">
            <w:pPr>
              <w:rPr>
                <w:rFonts w:ascii="Times New Roman" w:hAnsi="Times New Roman" w:cs="Times New Roman"/>
                <w:sz w:val="20"/>
                <w:szCs w:val="20"/>
              </w:rPr>
            </w:pPr>
          </w:p>
        </w:tc>
        <w:tc>
          <w:tcPr>
            <w:tcW w:w="3848" w:type="dxa"/>
            <w:tcBorders>
              <w:top w:val="nil"/>
              <w:left w:val="nil"/>
              <w:bottom w:val="nil"/>
              <w:right w:val="nil"/>
            </w:tcBorders>
          </w:tcPr>
          <w:p w14:paraId="05FE1729" w14:textId="0F3226CB" w:rsidR="001D328C" w:rsidRPr="007B7125" w:rsidRDefault="001D328C" w:rsidP="001D328C">
            <w:pPr>
              <w:rPr>
                <w:rFonts w:ascii="Times New Roman" w:hAnsi="Times New Roman" w:cs="Times New Roman"/>
                <w:sz w:val="20"/>
                <w:szCs w:val="20"/>
              </w:rPr>
            </w:pPr>
          </w:p>
        </w:tc>
        <w:tc>
          <w:tcPr>
            <w:tcW w:w="2546" w:type="dxa"/>
            <w:tcBorders>
              <w:top w:val="nil"/>
              <w:left w:val="nil"/>
              <w:bottom w:val="nil"/>
              <w:right w:val="nil"/>
            </w:tcBorders>
          </w:tcPr>
          <w:p w14:paraId="7FCB41D4" w14:textId="3F0D5AA3" w:rsidR="001D328C" w:rsidRPr="007B7125" w:rsidRDefault="001D328C" w:rsidP="001D328C">
            <w:pPr>
              <w:rPr>
                <w:rFonts w:ascii="Times New Roman" w:hAnsi="Times New Roman" w:cs="Times New Roman"/>
                <w:sz w:val="20"/>
                <w:szCs w:val="20"/>
              </w:rPr>
            </w:pPr>
          </w:p>
        </w:tc>
      </w:tr>
      <w:tr w:rsidR="001D328C" w:rsidRPr="007B7125" w14:paraId="797B69FF" w14:textId="77777777" w:rsidTr="005E5C8A">
        <w:tc>
          <w:tcPr>
            <w:tcW w:w="993" w:type="dxa"/>
            <w:tcBorders>
              <w:top w:val="nil"/>
              <w:left w:val="nil"/>
              <w:bottom w:val="nil"/>
              <w:right w:val="nil"/>
            </w:tcBorders>
          </w:tcPr>
          <w:p w14:paraId="0343DA71" w14:textId="0A5C010E" w:rsidR="001D328C" w:rsidRPr="007B7125" w:rsidRDefault="001D328C" w:rsidP="001D328C">
            <w:pPr>
              <w:rPr>
                <w:rFonts w:ascii="Times New Roman" w:hAnsi="Times New Roman" w:cs="Times New Roman"/>
                <w:sz w:val="20"/>
                <w:szCs w:val="20"/>
              </w:rPr>
            </w:pPr>
            <w:r>
              <w:rPr>
                <w:rFonts w:ascii="Times New Roman" w:hAnsi="Times New Roman" w:cs="Times New Roman"/>
                <w:sz w:val="20"/>
                <w:szCs w:val="20"/>
              </w:rPr>
              <w:t>Goal 11</w:t>
            </w:r>
          </w:p>
        </w:tc>
        <w:tc>
          <w:tcPr>
            <w:tcW w:w="2247" w:type="dxa"/>
            <w:tcBorders>
              <w:top w:val="nil"/>
              <w:left w:val="nil"/>
              <w:bottom w:val="nil"/>
              <w:right w:val="nil"/>
            </w:tcBorders>
          </w:tcPr>
          <w:p w14:paraId="5D1FCB75" w14:textId="72EEDE0D" w:rsidR="001D328C" w:rsidRPr="007B7125" w:rsidRDefault="001D328C" w:rsidP="001D328C">
            <w:pPr>
              <w:rPr>
                <w:rFonts w:ascii="Times New Roman" w:hAnsi="Times New Roman" w:cs="Times New Roman"/>
                <w:sz w:val="20"/>
                <w:szCs w:val="20"/>
              </w:rPr>
            </w:pPr>
            <w:r w:rsidRPr="00050C03">
              <w:rPr>
                <w:rFonts w:ascii="Times New Roman" w:hAnsi="Times New Roman" w:cs="Times New Roman"/>
                <w:sz w:val="20"/>
                <w:szCs w:val="20"/>
              </w:rPr>
              <w:t>Make cities and human settlements inclusive, safe, resilient and sustainable</w:t>
            </w:r>
          </w:p>
        </w:tc>
        <w:tc>
          <w:tcPr>
            <w:tcW w:w="3848" w:type="dxa"/>
            <w:tcBorders>
              <w:top w:val="nil"/>
              <w:left w:val="nil"/>
              <w:bottom w:val="nil"/>
              <w:right w:val="nil"/>
            </w:tcBorders>
          </w:tcPr>
          <w:p w14:paraId="03ED281B" w14:textId="2A561290" w:rsidR="001D328C" w:rsidRDefault="001D328C" w:rsidP="001D328C">
            <w:pPr>
              <w:rPr>
                <w:rFonts w:ascii="Times New Roman" w:hAnsi="Times New Roman" w:cs="Times New Roman"/>
                <w:sz w:val="20"/>
                <w:szCs w:val="20"/>
              </w:rPr>
            </w:pPr>
            <w:r>
              <w:rPr>
                <w:rFonts w:ascii="Times New Roman" w:hAnsi="Times New Roman" w:cs="Times New Roman"/>
                <w:sz w:val="20"/>
                <w:szCs w:val="20"/>
              </w:rPr>
              <w:t>Red List Index of E</w:t>
            </w:r>
            <w:r w:rsidRPr="00050C03">
              <w:rPr>
                <w:rFonts w:ascii="Times New Roman" w:hAnsi="Times New Roman" w:cs="Times New Roman"/>
                <w:sz w:val="20"/>
                <w:szCs w:val="20"/>
              </w:rPr>
              <w:t xml:space="preserve">cosystems </w:t>
            </w:r>
            <w:r>
              <w:rPr>
                <w:rFonts w:ascii="Times New Roman" w:hAnsi="Times New Roman" w:cs="Times New Roman"/>
                <w:sz w:val="20"/>
                <w:szCs w:val="20"/>
              </w:rPr>
              <w:t>for ecosystems with cultural value, natural value</w:t>
            </w:r>
            <w:r w:rsidRPr="00050C03">
              <w:rPr>
                <w:rFonts w:ascii="Times New Roman" w:hAnsi="Times New Roman" w:cs="Times New Roman"/>
                <w:sz w:val="20"/>
                <w:szCs w:val="20"/>
              </w:rPr>
              <w:t>,</w:t>
            </w:r>
            <w:r>
              <w:rPr>
                <w:rFonts w:ascii="Times New Roman" w:hAnsi="Times New Roman" w:cs="Times New Roman"/>
                <w:sz w:val="20"/>
                <w:szCs w:val="20"/>
              </w:rPr>
              <w:t xml:space="preserve"> or</w:t>
            </w:r>
            <w:r w:rsidRPr="00050C03">
              <w:rPr>
                <w:rFonts w:ascii="Times New Roman" w:hAnsi="Times New Roman" w:cs="Times New Roman"/>
                <w:sz w:val="20"/>
                <w:szCs w:val="20"/>
              </w:rPr>
              <w:t xml:space="preserve"> World Heritage Designation</w:t>
            </w:r>
          </w:p>
          <w:p w14:paraId="34FF45AE" w14:textId="77777777" w:rsidR="001D328C" w:rsidRDefault="001D328C" w:rsidP="001D328C">
            <w:pPr>
              <w:rPr>
                <w:rFonts w:ascii="Times New Roman" w:hAnsi="Times New Roman" w:cs="Times New Roman"/>
                <w:sz w:val="20"/>
                <w:szCs w:val="20"/>
              </w:rPr>
            </w:pPr>
          </w:p>
          <w:p w14:paraId="27CD405E" w14:textId="09BDA906" w:rsidR="001D328C" w:rsidRPr="007B7125" w:rsidRDefault="001D328C" w:rsidP="001D328C">
            <w:pPr>
              <w:rPr>
                <w:rFonts w:ascii="Times New Roman" w:hAnsi="Times New Roman" w:cs="Times New Roman"/>
                <w:sz w:val="20"/>
                <w:szCs w:val="20"/>
              </w:rPr>
            </w:pPr>
            <w:r>
              <w:rPr>
                <w:rFonts w:ascii="Times New Roman" w:hAnsi="Times New Roman" w:cs="Times New Roman"/>
                <w:sz w:val="20"/>
                <w:szCs w:val="20"/>
              </w:rPr>
              <w:t xml:space="preserve">Incorporation of the </w:t>
            </w:r>
            <w:r w:rsidRPr="001D328C">
              <w:rPr>
                <w:rFonts w:ascii="Times New Roman" w:hAnsi="Times New Roman" w:cs="Times New Roman"/>
                <w:sz w:val="20"/>
                <w:szCs w:val="20"/>
              </w:rPr>
              <w:t>R</w:t>
            </w:r>
            <w:r>
              <w:rPr>
                <w:rFonts w:ascii="Times New Roman" w:hAnsi="Times New Roman" w:cs="Times New Roman"/>
                <w:sz w:val="20"/>
                <w:szCs w:val="20"/>
              </w:rPr>
              <w:t xml:space="preserve">ed </w:t>
            </w:r>
            <w:r w:rsidRPr="001D328C">
              <w:rPr>
                <w:rFonts w:ascii="Times New Roman" w:hAnsi="Times New Roman" w:cs="Times New Roman"/>
                <w:sz w:val="20"/>
                <w:szCs w:val="20"/>
              </w:rPr>
              <w:t>L</w:t>
            </w:r>
            <w:r>
              <w:rPr>
                <w:rFonts w:ascii="Times New Roman" w:hAnsi="Times New Roman" w:cs="Times New Roman"/>
                <w:sz w:val="20"/>
                <w:szCs w:val="20"/>
              </w:rPr>
              <w:t xml:space="preserve">ist of </w:t>
            </w:r>
            <w:r w:rsidRPr="001D328C">
              <w:rPr>
                <w:rFonts w:ascii="Times New Roman" w:hAnsi="Times New Roman" w:cs="Times New Roman"/>
                <w:sz w:val="20"/>
                <w:szCs w:val="20"/>
              </w:rPr>
              <w:t>E</w:t>
            </w:r>
            <w:r>
              <w:rPr>
                <w:rFonts w:ascii="Times New Roman" w:hAnsi="Times New Roman" w:cs="Times New Roman"/>
                <w:sz w:val="20"/>
                <w:szCs w:val="20"/>
              </w:rPr>
              <w:t>cosystems</w:t>
            </w:r>
            <w:r w:rsidRPr="001D328C">
              <w:rPr>
                <w:rFonts w:ascii="Times New Roman" w:hAnsi="Times New Roman" w:cs="Times New Roman"/>
                <w:sz w:val="20"/>
                <w:szCs w:val="20"/>
              </w:rPr>
              <w:t xml:space="preserve"> </w:t>
            </w:r>
            <w:r>
              <w:rPr>
                <w:rFonts w:ascii="Times New Roman" w:hAnsi="Times New Roman" w:cs="Times New Roman"/>
                <w:sz w:val="20"/>
                <w:szCs w:val="20"/>
              </w:rPr>
              <w:t xml:space="preserve">into disaster risk reduction, in particular for </w:t>
            </w:r>
            <w:r w:rsidRPr="00ED4DBA">
              <w:rPr>
                <w:rFonts w:ascii="Times New Roman" w:hAnsi="Times New Roman" w:cs="Times New Roman"/>
                <w:sz w:val="20"/>
                <w:szCs w:val="20"/>
              </w:rPr>
              <w:t>cities and human settlements</w:t>
            </w:r>
          </w:p>
        </w:tc>
        <w:tc>
          <w:tcPr>
            <w:tcW w:w="2546" w:type="dxa"/>
            <w:tcBorders>
              <w:top w:val="nil"/>
              <w:left w:val="nil"/>
              <w:bottom w:val="nil"/>
              <w:right w:val="nil"/>
            </w:tcBorders>
          </w:tcPr>
          <w:p w14:paraId="2671B771" w14:textId="77777777" w:rsidR="001D328C" w:rsidRDefault="001D328C" w:rsidP="001D328C">
            <w:pPr>
              <w:rPr>
                <w:rFonts w:ascii="Times New Roman" w:hAnsi="Times New Roman" w:cs="Times New Roman"/>
                <w:sz w:val="20"/>
                <w:szCs w:val="20"/>
              </w:rPr>
            </w:pPr>
            <w:r>
              <w:rPr>
                <w:rFonts w:ascii="Times New Roman" w:hAnsi="Times New Roman" w:cs="Times New Roman"/>
                <w:sz w:val="20"/>
                <w:szCs w:val="20"/>
              </w:rPr>
              <w:t>Future</w:t>
            </w:r>
          </w:p>
          <w:p w14:paraId="4A6FCD4A" w14:textId="77777777" w:rsidR="001D328C" w:rsidRDefault="001D328C" w:rsidP="001D328C">
            <w:pPr>
              <w:rPr>
                <w:rFonts w:ascii="Times New Roman" w:hAnsi="Times New Roman" w:cs="Times New Roman"/>
                <w:sz w:val="20"/>
                <w:szCs w:val="20"/>
              </w:rPr>
            </w:pPr>
          </w:p>
          <w:p w14:paraId="7C8D84ED" w14:textId="77777777" w:rsidR="001D328C" w:rsidRDefault="001D328C" w:rsidP="001D328C">
            <w:pPr>
              <w:rPr>
                <w:rFonts w:ascii="Times New Roman" w:hAnsi="Times New Roman" w:cs="Times New Roman"/>
                <w:sz w:val="20"/>
                <w:szCs w:val="20"/>
              </w:rPr>
            </w:pPr>
          </w:p>
          <w:p w14:paraId="07FC3FBE" w14:textId="77777777" w:rsidR="001D328C" w:rsidRDefault="001D328C" w:rsidP="001D328C">
            <w:pPr>
              <w:rPr>
                <w:rFonts w:ascii="Times New Roman" w:hAnsi="Times New Roman" w:cs="Times New Roman"/>
                <w:sz w:val="20"/>
                <w:szCs w:val="20"/>
              </w:rPr>
            </w:pPr>
          </w:p>
          <w:p w14:paraId="644AA638" w14:textId="77777777" w:rsidR="001D328C" w:rsidRDefault="001D328C" w:rsidP="001D328C">
            <w:pPr>
              <w:rPr>
                <w:rFonts w:ascii="Times New Roman" w:hAnsi="Times New Roman" w:cs="Times New Roman"/>
                <w:sz w:val="20"/>
                <w:szCs w:val="20"/>
              </w:rPr>
            </w:pPr>
            <w:r>
              <w:rPr>
                <w:rFonts w:ascii="Times New Roman" w:hAnsi="Times New Roman" w:cs="Times New Roman"/>
                <w:sz w:val="20"/>
                <w:szCs w:val="20"/>
              </w:rPr>
              <w:t>Future</w:t>
            </w:r>
          </w:p>
          <w:p w14:paraId="03D4BAD6" w14:textId="77777777" w:rsidR="001D328C" w:rsidRDefault="001D328C" w:rsidP="001D328C">
            <w:pPr>
              <w:rPr>
                <w:rFonts w:ascii="Times New Roman" w:hAnsi="Times New Roman" w:cs="Times New Roman"/>
                <w:sz w:val="20"/>
                <w:szCs w:val="20"/>
              </w:rPr>
            </w:pPr>
          </w:p>
          <w:p w14:paraId="082B201B" w14:textId="44D30AF3" w:rsidR="001D328C" w:rsidRPr="007B7125" w:rsidRDefault="001D328C" w:rsidP="001D328C">
            <w:pPr>
              <w:rPr>
                <w:rFonts w:ascii="Times New Roman" w:hAnsi="Times New Roman" w:cs="Times New Roman"/>
                <w:sz w:val="20"/>
                <w:szCs w:val="20"/>
              </w:rPr>
            </w:pPr>
          </w:p>
        </w:tc>
      </w:tr>
      <w:tr w:rsidR="001D328C" w:rsidRPr="007B7125" w14:paraId="575346D3" w14:textId="77777777" w:rsidTr="005E5C8A">
        <w:tc>
          <w:tcPr>
            <w:tcW w:w="993" w:type="dxa"/>
            <w:tcBorders>
              <w:top w:val="nil"/>
              <w:left w:val="nil"/>
              <w:bottom w:val="nil"/>
              <w:right w:val="nil"/>
            </w:tcBorders>
          </w:tcPr>
          <w:p w14:paraId="32FFA42E" w14:textId="18C7EDD1" w:rsidR="001D328C" w:rsidRDefault="001D328C" w:rsidP="001D328C">
            <w:pPr>
              <w:rPr>
                <w:rFonts w:ascii="Times New Roman" w:hAnsi="Times New Roman" w:cs="Times New Roman"/>
                <w:sz w:val="20"/>
                <w:szCs w:val="20"/>
              </w:rPr>
            </w:pPr>
            <w:r>
              <w:rPr>
                <w:rFonts w:ascii="Times New Roman" w:hAnsi="Times New Roman" w:cs="Times New Roman"/>
                <w:sz w:val="20"/>
                <w:szCs w:val="20"/>
              </w:rPr>
              <w:t>Goal 12</w:t>
            </w:r>
          </w:p>
        </w:tc>
        <w:tc>
          <w:tcPr>
            <w:tcW w:w="2247" w:type="dxa"/>
            <w:tcBorders>
              <w:top w:val="nil"/>
              <w:left w:val="nil"/>
              <w:bottom w:val="nil"/>
              <w:right w:val="nil"/>
            </w:tcBorders>
          </w:tcPr>
          <w:p w14:paraId="144A4F08" w14:textId="15AC3F8E" w:rsidR="001D328C" w:rsidRPr="00050C03" w:rsidRDefault="001D328C" w:rsidP="001D328C">
            <w:pPr>
              <w:rPr>
                <w:rFonts w:ascii="Times New Roman" w:hAnsi="Times New Roman" w:cs="Times New Roman"/>
                <w:sz w:val="20"/>
                <w:szCs w:val="20"/>
              </w:rPr>
            </w:pPr>
            <w:r w:rsidRPr="001D328C">
              <w:rPr>
                <w:rFonts w:ascii="Times New Roman" w:hAnsi="Times New Roman" w:cs="Times New Roman"/>
                <w:sz w:val="20"/>
                <w:szCs w:val="20"/>
              </w:rPr>
              <w:t>Ensure sustainable consumption and production patterns</w:t>
            </w:r>
          </w:p>
        </w:tc>
        <w:tc>
          <w:tcPr>
            <w:tcW w:w="3848" w:type="dxa"/>
            <w:tcBorders>
              <w:top w:val="nil"/>
              <w:left w:val="nil"/>
              <w:bottom w:val="nil"/>
              <w:right w:val="nil"/>
            </w:tcBorders>
          </w:tcPr>
          <w:p w14:paraId="18657648" w14:textId="3A8FBCF2" w:rsidR="001D328C" w:rsidRDefault="001D328C" w:rsidP="001D328C">
            <w:pPr>
              <w:rPr>
                <w:rFonts w:ascii="Times New Roman" w:hAnsi="Times New Roman" w:cs="Times New Roman"/>
                <w:sz w:val="20"/>
                <w:szCs w:val="20"/>
              </w:rPr>
            </w:pPr>
            <w:r>
              <w:rPr>
                <w:rFonts w:ascii="Times New Roman" w:hAnsi="Times New Roman" w:cs="Times New Roman"/>
                <w:sz w:val="20"/>
                <w:szCs w:val="20"/>
              </w:rPr>
              <w:t>Incorporation of the Red List of Ecosystems into indices of sustaina</w:t>
            </w:r>
            <w:r w:rsidR="005E5C8A">
              <w:rPr>
                <w:rFonts w:ascii="Times New Roman" w:hAnsi="Times New Roman" w:cs="Times New Roman"/>
                <w:sz w:val="20"/>
                <w:szCs w:val="20"/>
              </w:rPr>
              <w:t>ble natural resource extraction</w:t>
            </w:r>
          </w:p>
          <w:p w14:paraId="336395C8" w14:textId="26E65522" w:rsidR="001D328C" w:rsidRDefault="001D328C" w:rsidP="001D328C">
            <w:pPr>
              <w:rPr>
                <w:rFonts w:ascii="Times New Roman" w:hAnsi="Times New Roman" w:cs="Times New Roman"/>
                <w:sz w:val="20"/>
                <w:szCs w:val="20"/>
              </w:rPr>
            </w:pPr>
          </w:p>
          <w:p w14:paraId="01C6A2FA" w14:textId="0FC9B23A" w:rsidR="001D328C" w:rsidRDefault="001D328C" w:rsidP="001D328C">
            <w:pPr>
              <w:rPr>
                <w:rFonts w:ascii="Times New Roman" w:hAnsi="Times New Roman" w:cs="Times New Roman"/>
                <w:sz w:val="20"/>
                <w:szCs w:val="20"/>
              </w:rPr>
            </w:pPr>
            <w:r>
              <w:rPr>
                <w:rFonts w:ascii="Times New Roman" w:hAnsi="Times New Roman" w:cs="Times New Roman"/>
                <w:sz w:val="20"/>
                <w:szCs w:val="20"/>
              </w:rPr>
              <w:t>Integration of the Red List of Ecosystems with</w:t>
            </w:r>
            <w:r w:rsidR="005E5C8A">
              <w:rPr>
                <w:rFonts w:ascii="Times New Roman" w:hAnsi="Times New Roman" w:cs="Times New Roman"/>
                <w:sz w:val="20"/>
                <w:szCs w:val="20"/>
              </w:rPr>
              <w:t xml:space="preserve"> sustainable business practices</w:t>
            </w:r>
          </w:p>
        </w:tc>
        <w:tc>
          <w:tcPr>
            <w:tcW w:w="2546" w:type="dxa"/>
            <w:tcBorders>
              <w:top w:val="nil"/>
              <w:left w:val="nil"/>
              <w:bottom w:val="nil"/>
              <w:right w:val="nil"/>
            </w:tcBorders>
          </w:tcPr>
          <w:p w14:paraId="38CD3008" w14:textId="77777777" w:rsidR="001D328C" w:rsidRDefault="001D328C" w:rsidP="001D328C">
            <w:pPr>
              <w:rPr>
                <w:rFonts w:ascii="Times New Roman" w:hAnsi="Times New Roman" w:cs="Times New Roman"/>
                <w:sz w:val="20"/>
                <w:szCs w:val="20"/>
              </w:rPr>
            </w:pPr>
            <w:r>
              <w:rPr>
                <w:rFonts w:ascii="Times New Roman" w:hAnsi="Times New Roman" w:cs="Times New Roman"/>
                <w:sz w:val="20"/>
                <w:szCs w:val="20"/>
              </w:rPr>
              <w:t>Future</w:t>
            </w:r>
          </w:p>
          <w:p w14:paraId="7ABDF36A" w14:textId="77777777" w:rsidR="001D328C" w:rsidRDefault="001D328C" w:rsidP="001D328C">
            <w:pPr>
              <w:rPr>
                <w:rFonts w:ascii="Times New Roman" w:hAnsi="Times New Roman" w:cs="Times New Roman"/>
                <w:sz w:val="20"/>
                <w:szCs w:val="20"/>
              </w:rPr>
            </w:pPr>
          </w:p>
          <w:p w14:paraId="1792DB16" w14:textId="77777777" w:rsidR="001D328C" w:rsidRDefault="001D328C" w:rsidP="001D328C">
            <w:pPr>
              <w:rPr>
                <w:rFonts w:ascii="Times New Roman" w:hAnsi="Times New Roman" w:cs="Times New Roman"/>
                <w:sz w:val="20"/>
                <w:szCs w:val="20"/>
              </w:rPr>
            </w:pPr>
          </w:p>
          <w:p w14:paraId="364FE092" w14:textId="77777777" w:rsidR="001D328C" w:rsidRDefault="001D328C" w:rsidP="001D328C">
            <w:pPr>
              <w:rPr>
                <w:rFonts w:ascii="Times New Roman" w:hAnsi="Times New Roman" w:cs="Times New Roman"/>
                <w:sz w:val="20"/>
                <w:szCs w:val="20"/>
              </w:rPr>
            </w:pPr>
          </w:p>
          <w:p w14:paraId="3C6705B8" w14:textId="2E7B1A7A" w:rsidR="001D328C" w:rsidRPr="007B7125" w:rsidRDefault="001D328C" w:rsidP="005E5C8A">
            <w:pPr>
              <w:rPr>
                <w:rFonts w:ascii="Times New Roman" w:hAnsi="Times New Roman" w:cs="Times New Roman"/>
                <w:sz w:val="20"/>
                <w:szCs w:val="20"/>
              </w:rPr>
            </w:pPr>
            <w:r>
              <w:rPr>
                <w:rFonts w:ascii="Times New Roman" w:hAnsi="Times New Roman" w:cs="Times New Roman"/>
                <w:sz w:val="20"/>
                <w:szCs w:val="20"/>
              </w:rPr>
              <w:t>Piloted in Colomb</w:t>
            </w:r>
            <w:r w:rsidR="005E5C8A">
              <w:rPr>
                <w:rFonts w:ascii="Times New Roman" w:hAnsi="Times New Roman" w:cs="Times New Roman"/>
                <w:sz w:val="20"/>
                <w:szCs w:val="20"/>
              </w:rPr>
              <w:t xml:space="preserve">ia </w:t>
            </w:r>
            <w:r>
              <w:rPr>
                <w:rFonts w:ascii="Times New Roman" w:hAnsi="Times New Roman" w:cs="Times New Roman"/>
                <w:sz w:val="20"/>
                <w:szCs w:val="20"/>
              </w:rPr>
              <w:t>(</w:t>
            </w:r>
            <w:r w:rsidRPr="001D328C">
              <w:rPr>
                <w:rFonts w:ascii="Times New Roman" w:hAnsi="Times New Roman" w:cs="Times New Roman"/>
                <w:sz w:val="20"/>
                <w:szCs w:val="20"/>
              </w:rPr>
              <w:t>http://www.tremarctoscolombia.org/</w:t>
            </w:r>
            <w:r>
              <w:rPr>
                <w:rFonts w:ascii="Times New Roman" w:hAnsi="Times New Roman" w:cs="Times New Roman"/>
                <w:sz w:val="20"/>
                <w:szCs w:val="20"/>
              </w:rPr>
              <w:t>)</w:t>
            </w:r>
          </w:p>
        </w:tc>
      </w:tr>
      <w:tr w:rsidR="001D328C" w:rsidRPr="007B7125" w14:paraId="2F967769" w14:textId="77777777" w:rsidTr="005E5C8A">
        <w:tc>
          <w:tcPr>
            <w:tcW w:w="993" w:type="dxa"/>
            <w:tcBorders>
              <w:top w:val="nil"/>
              <w:left w:val="nil"/>
              <w:bottom w:val="nil"/>
              <w:right w:val="nil"/>
            </w:tcBorders>
          </w:tcPr>
          <w:p w14:paraId="0E9E52B3" w14:textId="138C177D" w:rsidR="001D328C" w:rsidRPr="007B7125" w:rsidRDefault="001D328C" w:rsidP="001D328C">
            <w:pPr>
              <w:rPr>
                <w:rFonts w:ascii="Times New Roman" w:hAnsi="Times New Roman" w:cs="Times New Roman"/>
                <w:sz w:val="20"/>
                <w:szCs w:val="20"/>
              </w:rPr>
            </w:pPr>
            <w:r>
              <w:rPr>
                <w:rFonts w:ascii="Times New Roman" w:hAnsi="Times New Roman" w:cs="Times New Roman"/>
                <w:sz w:val="20"/>
                <w:szCs w:val="20"/>
              </w:rPr>
              <w:t>Goal 13</w:t>
            </w:r>
          </w:p>
        </w:tc>
        <w:tc>
          <w:tcPr>
            <w:tcW w:w="2247" w:type="dxa"/>
            <w:tcBorders>
              <w:top w:val="nil"/>
              <w:left w:val="nil"/>
              <w:bottom w:val="nil"/>
              <w:right w:val="nil"/>
            </w:tcBorders>
          </w:tcPr>
          <w:p w14:paraId="6AD768A1" w14:textId="47362096" w:rsidR="001D328C" w:rsidRPr="007B7125" w:rsidRDefault="001D328C" w:rsidP="001D328C">
            <w:pPr>
              <w:rPr>
                <w:rFonts w:ascii="Times New Roman" w:hAnsi="Times New Roman" w:cs="Times New Roman"/>
                <w:sz w:val="20"/>
                <w:szCs w:val="20"/>
              </w:rPr>
            </w:pPr>
            <w:r w:rsidRPr="00ED4DBA">
              <w:rPr>
                <w:rFonts w:ascii="Times New Roman" w:hAnsi="Times New Roman" w:cs="Times New Roman"/>
                <w:sz w:val="20"/>
                <w:szCs w:val="20"/>
              </w:rPr>
              <w:t>Take urgent action to combat climate change and its impacts</w:t>
            </w:r>
          </w:p>
        </w:tc>
        <w:tc>
          <w:tcPr>
            <w:tcW w:w="3848" w:type="dxa"/>
            <w:tcBorders>
              <w:top w:val="nil"/>
              <w:left w:val="nil"/>
              <w:bottom w:val="nil"/>
              <w:right w:val="nil"/>
            </w:tcBorders>
          </w:tcPr>
          <w:p w14:paraId="64D5CCE4" w14:textId="2CF9DE03" w:rsidR="001D328C" w:rsidRPr="007B7125" w:rsidRDefault="001D328C" w:rsidP="001D328C">
            <w:pPr>
              <w:rPr>
                <w:rFonts w:ascii="Times New Roman" w:hAnsi="Times New Roman" w:cs="Times New Roman"/>
                <w:sz w:val="20"/>
                <w:szCs w:val="20"/>
              </w:rPr>
            </w:pPr>
            <w:r>
              <w:rPr>
                <w:rFonts w:ascii="Times New Roman" w:hAnsi="Times New Roman" w:cs="Times New Roman"/>
                <w:sz w:val="20"/>
                <w:szCs w:val="20"/>
              </w:rPr>
              <w:t>Red List Index of E</w:t>
            </w:r>
            <w:r w:rsidRPr="00050C03">
              <w:rPr>
                <w:rFonts w:ascii="Times New Roman" w:hAnsi="Times New Roman" w:cs="Times New Roman"/>
                <w:sz w:val="20"/>
                <w:szCs w:val="20"/>
              </w:rPr>
              <w:t xml:space="preserve">cosystems </w:t>
            </w:r>
            <w:r>
              <w:rPr>
                <w:rFonts w:ascii="Times New Roman" w:hAnsi="Times New Roman" w:cs="Times New Roman"/>
                <w:sz w:val="20"/>
                <w:szCs w:val="20"/>
              </w:rPr>
              <w:t>for ecosystems of importance to disaster risk reduction strategies.</w:t>
            </w:r>
          </w:p>
        </w:tc>
        <w:tc>
          <w:tcPr>
            <w:tcW w:w="2546" w:type="dxa"/>
            <w:tcBorders>
              <w:top w:val="nil"/>
              <w:left w:val="nil"/>
              <w:bottom w:val="nil"/>
              <w:right w:val="nil"/>
            </w:tcBorders>
          </w:tcPr>
          <w:p w14:paraId="79222FF3" w14:textId="275A8684" w:rsidR="001D328C" w:rsidRPr="007B7125" w:rsidRDefault="005E5C8A" w:rsidP="001D328C">
            <w:pPr>
              <w:rPr>
                <w:rFonts w:ascii="Times New Roman" w:hAnsi="Times New Roman" w:cs="Times New Roman"/>
                <w:sz w:val="20"/>
                <w:szCs w:val="20"/>
              </w:rPr>
            </w:pPr>
            <w:r>
              <w:rPr>
                <w:rFonts w:ascii="Times New Roman" w:hAnsi="Times New Roman" w:cs="Times New Roman"/>
                <w:sz w:val="20"/>
                <w:szCs w:val="20"/>
              </w:rPr>
              <w:t>Future</w:t>
            </w:r>
          </w:p>
        </w:tc>
      </w:tr>
      <w:tr w:rsidR="001D328C" w:rsidRPr="007B7125" w14:paraId="1957D711" w14:textId="77777777" w:rsidTr="00DD7FC1">
        <w:tc>
          <w:tcPr>
            <w:tcW w:w="993" w:type="dxa"/>
            <w:tcBorders>
              <w:top w:val="nil"/>
              <w:left w:val="nil"/>
              <w:bottom w:val="nil"/>
              <w:right w:val="nil"/>
            </w:tcBorders>
          </w:tcPr>
          <w:p w14:paraId="3A6FD3FB" w14:textId="69EEB115" w:rsidR="001D328C" w:rsidRPr="007B7125" w:rsidRDefault="001D328C" w:rsidP="001D328C">
            <w:pPr>
              <w:rPr>
                <w:rFonts w:ascii="Times New Roman" w:hAnsi="Times New Roman" w:cs="Times New Roman"/>
                <w:sz w:val="20"/>
                <w:szCs w:val="20"/>
              </w:rPr>
            </w:pPr>
            <w:r>
              <w:rPr>
                <w:rFonts w:ascii="Times New Roman" w:hAnsi="Times New Roman" w:cs="Times New Roman"/>
                <w:sz w:val="20"/>
                <w:szCs w:val="20"/>
              </w:rPr>
              <w:t>Goal 14</w:t>
            </w:r>
          </w:p>
        </w:tc>
        <w:tc>
          <w:tcPr>
            <w:tcW w:w="2247" w:type="dxa"/>
            <w:tcBorders>
              <w:top w:val="nil"/>
              <w:left w:val="nil"/>
              <w:bottom w:val="nil"/>
              <w:right w:val="nil"/>
            </w:tcBorders>
          </w:tcPr>
          <w:p w14:paraId="6F24200B" w14:textId="273BEA0A" w:rsidR="001D328C" w:rsidRPr="007B7125" w:rsidRDefault="001D328C" w:rsidP="001D328C">
            <w:pPr>
              <w:rPr>
                <w:rFonts w:ascii="Times New Roman" w:hAnsi="Times New Roman" w:cs="Times New Roman"/>
                <w:sz w:val="20"/>
                <w:szCs w:val="20"/>
              </w:rPr>
            </w:pPr>
            <w:r w:rsidRPr="00ED4DBA">
              <w:rPr>
                <w:rFonts w:ascii="Times New Roman" w:hAnsi="Times New Roman" w:cs="Times New Roman"/>
                <w:sz w:val="20"/>
                <w:szCs w:val="20"/>
              </w:rPr>
              <w:t>Conserve and sustainably use the oceans, seas and marine resources for sustainable development</w:t>
            </w:r>
          </w:p>
        </w:tc>
        <w:tc>
          <w:tcPr>
            <w:tcW w:w="3848" w:type="dxa"/>
            <w:tcBorders>
              <w:top w:val="nil"/>
              <w:left w:val="nil"/>
              <w:bottom w:val="nil"/>
              <w:right w:val="nil"/>
            </w:tcBorders>
          </w:tcPr>
          <w:p w14:paraId="21A2A9B3" w14:textId="64143A71" w:rsidR="005E5C8A" w:rsidRDefault="001D328C" w:rsidP="001D328C">
            <w:pPr>
              <w:rPr>
                <w:rFonts w:ascii="Times New Roman" w:hAnsi="Times New Roman" w:cs="Times New Roman"/>
                <w:sz w:val="20"/>
                <w:szCs w:val="20"/>
              </w:rPr>
            </w:pPr>
            <w:r>
              <w:rPr>
                <w:rFonts w:ascii="Times New Roman" w:hAnsi="Times New Roman" w:cs="Times New Roman"/>
                <w:sz w:val="20"/>
                <w:szCs w:val="20"/>
              </w:rPr>
              <w:t>Red List Index for Ecosystems (marine ecosystems)</w:t>
            </w:r>
          </w:p>
          <w:p w14:paraId="115A1CA6" w14:textId="77777777" w:rsidR="005E5C8A" w:rsidRDefault="005E5C8A" w:rsidP="001D328C">
            <w:pPr>
              <w:rPr>
                <w:rFonts w:ascii="Times New Roman" w:hAnsi="Times New Roman" w:cs="Times New Roman"/>
                <w:sz w:val="20"/>
                <w:szCs w:val="20"/>
              </w:rPr>
            </w:pPr>
          </w:p>
          <w:p w14:paraId="57EE3A5C" w14:textId="33800674" w:rsidR="001D328C" w:rsidRPr="007B7125" w:rsidRDefault="005E5C8A" w:rsidP="001D328C">
            <w:pPr>
              <w:rPr>
                <w:rFonts w:ascii="Times New Roman" w:hAnsi="Times New Roman" w:cs="Times New Roman"/>
                <w:sz w:val="20"/>
                <w:szCs w:val="20"/>
              </w:rPr>
            </w:pPr>
            <w:r>
              <w:rPr>
                <w:rFonts w:ascii="Times New Roman" w:hAnsi="Times New Roman" w:cs="Times New Roman"/>
                <w:sz w:val="20"/>
                <w:szCs w:val="20"/>
              </w:rPr>
              <w:t>C</w:t>
            </w:r>
            <w:r w:rsidR="001D328C">
              <w:rPr>
                <w:rFonts w:ascii="Times New Roman" w:hAnsi="Times New Roman" w:cs="Times New Roman"/>
                <w:sz w:val="20"/>
                <w:szCs w:val="20"/>
              </w:rPr>
              <w:t>overage and representativeness of threatened marine ecosyst</w:t>
            </w:r>
            <w:r>
              <w:rPr>
                <w:rFonts w:ascii="Times New Roman" w:hAnsi="Times New Roman" w:cs="Times New Roman"/>
                <w:sz w:val="20"/>
                <w:szCs w:val="20"/>
              </w:rPr>
              <w:t>ems included in protected areas</w:t>
            </w:r>
          </w:p>
        </w:tc>
        <w:tc>
          <w:tcPr>
            <w:tcW w:w="2546" w:type="dxa"/>
            <w:tcBorders>
              <w:top w:val="nil"/>
              <w:left w:val="nil"/>
              <w:bottom w:val="nil"/>
              <w:right w:val="nil"/>
            </w:tcBorders>
          </w:tcPr>
          <w:p w14:paraId="13995905" w14:textId="77777777" w:rsidR="001D328C" w:rsidRDefault="005E5C8A" w:rsidP="001D328C">
            <w:pPr>
              <w:rPr>
                <w:rFonts w:ascii="Times New Roman" w:hAnsi="Times New Roman" w:cs="Times New Roman"/>
                <w:sz w:val="20"/>
                <w:szCs w:val="20"/>
              </w:rPr>
            </w:pPr>
            <w:r>
              <w:rPr>
                <w:rFonts w:ascii="Times New Roman" w:hAnsi="Times New Roman" w:cs="Times New Roman"/>
                <w:sz w:val="20"/>
                <w:szCs w:val="20"/>
              </w:rPr>
              <w:t xml:space="preserve">Piloted for a single ecosystem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{"citationItems":[{"id":"ITEM-1","itemData":{"DOI":"10.1016/J.BIOCON.2018.08.019","ISSN":"0006-3207","abstract":"Assessing risks to marine ecosystems is critical due to their biological and economic importance, and because many have recently undergone regime shifts due to overfishing and environmental change. Yet defining collapsed ecosystem states, selecting informative indicators and reconstructing long-term marine ecosystem changes remains challenging. The IUCN Red List of Ecosystems constitutes the global standard for quantifying risks to ecosystems and we conducted the first Red List assessment of an offshore marine ecosystem, focusing on the southern Benguela in South Africa. We used an analogous but collapsed ecosystem – the northern Benguela – to help define collapse in the southern Benguela and derived collapse thresholds with structured expert elicitation (i.e. repeatable estimation by expert judgment). To capture complex ecosystem dynamics and reconstruct historical ecosystem states, we used environmental indicators as well as survey-, catch- and model-based indicators. We listed the ecosystem in 1960 and 2015 as Endangered, with assessment outcomes robust to alternative model parametrizations. While many indicators improved between 1960 and 2015, seabird populations have suffered large declines since 1900 and remain at risk, pointing towards ongoing management priorities. Catch-based indicators often over-estimated risks compared to survey- and model-based indicators, warning against listing ecosystems as threatened solely based on indicators of pressure. We show that risk assessments provide a framework for interpreting data from indicators, ecosystem models and experts to inform the management of marine ecosystems. This work highlights the feasibility of conducting Red List of Ecosystems assessments for marine ecosystems.","author":[{"dropping-particle":"","family":"Bland","given":"Lucie M.","non-dropping-particle":"","parse-names":false,"suffix":""},{"dropping-particle":"","family":"Watermeyer","given":"Kate E.","non-dropping-particle":"","parse-names":false,"suffix":""},{"dropping-particle":"","family":"Keith","given":"David A.","non-dropping-particle":"","parse-names":false,"suffix":""},{"dropping-particle":"","family":"Nicholson","given":"Emily","non-dropping-particle":"","parse-names":false,"suffix":""},{"dropping-particle":"","family":"Regan","given":"Tracey J.","non-dropping-particle":"","parse-names":false,"suffix":""},{"dropping-particle":"","family":"Shannon","given":"Lynne J.","non-dropping-particle":"","parse-names":false,"suffix":""}],"container-title":"Biological Conservation","id":"ITEM-1","issued":{"date-parts":[["2018","11","1"]]},"page":"19-28","publisher":"Elsevier","title":"Assessing risks to marine ecosystems with indicators, ecosystem models and experts","type":"article-journal","volume":"227"},"uris":["http://www.mendeley.com/documents/?uuid=dc4894d6-7c5b-3669-b5eb-a62d3df48fed"]}],"mendeley":{"formattedCitation":"(Bland et al. 2018)","plainTextFormattedCitation":"(Bland et al. 2018)","previouslyFormattedCitation":"(Bland et al. 2018)"},"properties":{"noteIndex":0},"schema":"https://github.com/citation-style-language/schema/raw/master/csl-citation.json"}</w:instrText>
            </w:r>
            <w:r>
              <w:rPr>
                <w:rFonts w:ascii="Times New Roman" w:hAnsi="Times New Roman" w:cs="Times New Roman"/>
                <w:sz w:val="20"/>
                <w:szCs w:val="20"/>
              </w:rPr>
              <w:fldChar w:fldCharType="separate"/>
            </w:r>
            <w:r w:rsidRPr="0031283A">
              <w:rPr>
                <w:rFonts w:ascii="Times New Roman" w:hAnsi="Times New Roman" w:cs="Times New Roman"/>
                <w:noProof/>
                <w:sz w:val="20"/>
                <w:szCs w:val="20"/>
              </w:rPr>
              <w:t>(Bland et al. 2018)</w:t>
            </w:r>
            <w:r>
              <w:rPr>
                <w:rFonts w:ascii="Times New Roman" w:hAnsi="Times New Roman" w:cs="Times New Roman"/>
                <w:sz w:val="20"/>
                <w:szCs w:val="20"/>
              </w:rPr>
              <w:fldChar w:fldCharType="end"/>
            </w:r>
          </w:p>
          <w:p w14:paraId="6941B8B5" w14:textId="7713FFFA" w:rsidR="005E5C8A" w:rsidRPr="007B7125" w:rsidRDefault="005E5C8A" w:rsidP="001D328C">
            <w:pPr>
              <w:rPr>
                <w:rFonts w:ascii="Times New Roman" w:hAnsi="Times New Roman" w:cs="Times New Roman"/>
                <w:sz w:val="20"/>
                <w:szCs w:val="20"/>
              </w:rPr>
            </w:pPr>
            <w:r>
              <w:rPr>
                <w:rFonts w:ascii="Times New Roman" w:hAnsi="Times New Roman" w:cs="Times New Roman"/>
                <w:sz w:val="20"/>
                <w:szCs w:val="20"/>
              </w:rPr>
              <w:t>Future</w:t>
            </w:r>
          </w:p>
        </w:tc>
      </w:tr>
      <w:tr w:rsidR="001D328C" w:rsidRPr="007B7125" w14:paraId="040DB2E6" w14:textId="77777777" w:rsidTr="00DD7FC1">
        <w:tc>
          <w:tcPr>
            <w:tcW w:w="993" w:type="dxa"/>
            <w:tcBorders>
              <w:top w:val="nil"/>
              <w:left w:val="nil"/>
              <w:bottom w:val="single" w:sz="4" w:space="0" w:color="auto"/>
              <w:right w:val="nil"/>
            </w:tcBorders>
          </w:tcPr>
          <w:p w14:paraId="59E25C73" w14:textId="7CC93BF0" w:rsidR="001D328C" w:rsidRPr="007B7125" w:rsidRDefault="001D328C" w:rsidP="001D328C">
            <w:pPr>
              <w:rPr>
                <w:rFonts w:ascii="Times New Roman" w:hAnsi="Times New Roman" w:cs="Times New Roman"/>
                <w:sz w:val="20"/>
                <w:szCs w:val="20"/>
              </w:rPr>
            </w:pPr>
            <w:r>
              <w:rPr>
                <w:rFonts w:ascii="Times New Roman" w:hAnsi="Times New Roman" w:cs="Times New Roman"/>
                <w:sz w:val="20"/>
                <w:szCs w:val="20"/>
              </w:rPr>
              <w:lastRenderedPageBreak/>
              <w:t>Goal 15</w:t>
            </w:r>
          </w:p>
        </w:tc>
        <w:tc>
          <w:tcPr>
            <w:tcW w:w="2247" w:type="dxa"/>
            <w:tcBorders>
              <w:top w:val="nil"/>
              <w:left w:val="nil"/>
              <w:bottom w:val="single" w:sz="4" w:space="0" w:color="auto"/>
              <w:right w:val="nil"/>
            </w:tcBorders>
          </w:tcPr>
          <w:p w14:paraId="5C01873C" w14:textId="40662876" w:rsidR="001D328C" w:rsidRPr="007B7125" w:rsidRDefault="001D328C" w:rsidP="001D328C">
            <w:pPr>
              <w:rPr>
                <w:rFonts w:ascii="Times New Roman" w:hAnsi="Times New Roman" w:cs="Times New Roman"/>
                <w:sz w:val="20"/>
                <w:szCs w:val="20"/>
              </w:rPr>
            </w:pPr>
            <w:r w:rsidRPr="00ED4DBA">
              <w:rPr>
                <w:rFonts w:ascii="Times New Roman" w:hAnsi="Times New Roman" w:cs="Times New Roman"/>
                <w:sz w:val="20"/>
                <w:szCs w:val="20"/>
              </w:rPr>
              <w:t>Protect, restore and promote sustainable use of terrestrial ecosystems, sustainably manage forests, combat desertification, and halt and reverse land degradation and halt biodiversity loss</w:t>
            </w:r>
          </w:p>
        </w:tc>
        <w:tc>
          <w:tcPr>
            <w:tcW w:w="3848" w:type="dxa"/>
            <w:tcBorders>
              <w:top w:val="nil"/>
              <w:left w:val="nil"/>
              <w:bottom w:val="single" w:sz="4" w:space="0" w:color="auto"/>
              <w:right w:val="nil"/>
            </w:tcBorders>
          </w:tcPr>
          <w:p w14:paraId="18AF9A51" w14:textId="7B3068C1" w:rsidR="001D328C" w:rsidRDefault="001D328C" w:rsidP="001D328C">
            <w:pPr>
              <w:rPr>
                <w:rFonts w:ascii="Times New Roman" w:hAnsi="Times New Roman" w:cs="Times New Roman"/>
                <w:sz w:val="20"/>
                <w:szCs w:val="20"/>
              </w:rPr>
            </w:pPr>
            <w:r>
              <w:rPr>
                <w:rFonts w:ascii="Times New Roman" w:hAnsi="Times New Roman" w:cs="Times New Roman"/>
                <w:sz w:val="20"/>
                <w:szCs w:val="20"/>
              </w:rPr>
              <w:t>Red List Index for Ecosystems (forests, terrestrial and</w:t>
            </w:r>
            <w:r w:rsidR="005E5C8A">
              <w:rPr>
                <w:rFonts w:ascii="Times New Roman" w:hAnsi="Times New Roman" w:cs="Times New Roman"/>
                <w:sz w:val="20"/>
                <w:szCs w:val="20"/>
              </w:rPr>
              <w:t xml:space="preserve"> inland freshwater ecosystems)</w:t>
            </w:r>
          </w:p>
          <w:p w14:paraId="1619F7F6" w14:textId="77777777" w:rsidR="001D328C" w:rsidRDefault="001D328C" w:rsidP="001D328C">
            <w:pPr>
              <w:rPr>
                <w:rFonts w:ascii="Times New Roman" w:hAnsi="Times New Roman" w:cs="Times New Roman"/>
                <w:sz w:val="20"/>
                <w:szCs w:val="20"/>
              </w:rPr>
            </w:pPr>
          </w:p>
          <w:p w14:paraId="755F5055" w14:textId="77777777" w:rsidR="005E5C8A" w:rsidRDefault="005E5C8A" w:rsidP="001D328C">
            <w:pPr>
              <w:rPr>
                <w:rFonts w:ascii="Times New Roman" w:hAnsi="Times New Roman" w:cs="Times New Roman"/>
                <w:sz w:val="20"/>
                <w:szCs w:val="20"/>
              </w:rPr>
            </w:pPr>
          </w:p>
          <w:p w14:paraId="1FC3ED80" w14:textId="77777777" w:rsidR="005E5C8A" w:rsidRDefault="005E5C8A" w:rsidP="001D328C">
            <w:pPr>
              <w:rPr>
                <w:rFonts w:ascii="Times New Roman" w:hAnsi="Times New Roman" w:cs="Times New Roman"/>
                <w:sz w:val="20"/>
                <w:szCs w:val="20"/>
              </w:rPr>
            </w:pPr>
          </w:p>
          <w:p w14:paraId="27CE633B" w14:textId="77777777" w:rsidR="005E5C8A" w:rsidRDefault="005E5C8A" w:rsidP="001D328C">
            <w:pPr>
              <w:rPr>
                <w:rFonts w:ascii="Times New Roman" w:hAnsi="Times New Roman" w:cs="Times New Roman"/>
                <w:sz w:val="20"/>
                <w:szCs w:val="20"/>
              </w:rPr>
            </w:pPr>
          </w:p>
          <w:p w14:paraId="0044221B" w14:textId="77777777" w:rsidR="005E5C8A" w:rsidRDefault="005E5C8A" w:rsidP="001D328C">
            <w:pPr>
              <w:rPr>
                <w:rFonts w:ascii="Times New Roman" w:hAnsi="Times New Roman" w:cs="Times New Roman"/>
                <w:sz w:val="20"/>
                <w:szCs w:val="20"/>
              </w:rPr>
            </w:pPr>
          </w:p>
          <w:p w14:paraId="642BE82E" w14:textId="51E95A90" w:rsidR="001D328C" w:rsidRDefault="001D328C" w:rsidP="001D328C">
            <w:pPr>
              <w:rPr>
                <w:rFonts w:ascii="Times New Roman" w:hAnsi="Times New Roman" w:cs="Times New Roman"/>
                <w:sz w:val="20"/>
                <w:szCs w:val="20"/>
              </w:rPr>
            </w:pPr>
            <w:r>
              <w:rPr>
                <w:rFonts w:ascii="Times New Roman" w:hAnsi="Times New Roman" w:cs="Times New Roman"/>
                <w:sz w:val="20"/>
                <w:szCs w:val="20"/>
              </w:rPr>
              <w:t>Coverage and representativeness of terrestrial and freshwater threatene</w:t>
            </w:r>
            <w:r w:rsidR="005E5C8A">
              <w:rPr>
                <w:rFonts w:ascii="Times New Roman" w:hAnsi="Times New Roman" w:cs="Times New Roman"/>
                <w:sz w:val="20"/>
                <w:szCs w:val="20"/>
              </w:rPr>
              <w:t>d ecosystems in protected areas</w:t>
            </w:r>
          </w:p>
          <w:p w14:paraId="2A7DD9AA" w14:textId="77777777" w:rsidR="001D328C" w:rsidRDefault="001D328C" w:rsidP="001D328C">
            <w:pPr>
              <w:rPr>
                <w:rFonts w:ascii="Times New Roman" w:hAnsi="Times New Roman" w:cs="Times New Roman"/>
                <w:sz w:val="20"/>
                <w:szCs w:val="20"/>
              </w:rPr>
            </w:pPr>
          </w:p>
          <w:p w14:paraId="1CB9E288" w14:textId="21650850" w:rsidR="001D328C" w:rsidRDefault="001D328C" w:rsidP="001D328C">
            <w:pPr>
              <w:rPr>
                <w:rFonts w:ascii="Times New Roman" w:hAnsi="Times New Roman" w:cs="Times New Roman"/>
                <w:sz w:val="20"/>
                <w:szCs w:val="20"/>
              </w:rPr>
            </w:pPr>
            <w:r>
              <w:rPr>
                <w:rFonts w:ascii="Times New Roman" w:hAnsi="Times New Roman" w:cs="Times New Roman"/>
                <w:sz w:val="20"/>
                <w:szCs w:val="20"/>
              </w:rPr>
              <w:t>Ecosystem Area Index and E</w:t>
            </w:r>
            <w:r w:rsidR="005E5C8A">
              <w:rPr>
                <w:rFonts w:ascii="Times New Roman" w:hAnsi="Times New Roman" w:cs="Times New Roman"/>
                <w:sz w:val="20"/>
                <w:szCs w:val="20"/>
              </w:rPr>
              <w:t>cosystem Health index (forests)</w:t>
            </w:r>
          </w:p>
          <w:p w14:paraId="1BCC0406" w14:textId="0DA03922" w:rsidR="001D328C" w:rsidRDefault="001D328C" w:rsidP="001D328C">
            <w:pPr>
              <w:rPr>
                <w:rFonts w:ascii="Times New Roman" w:hAnsi="Times New Roman" w:cs="Times New Roman"/>
                <w:sz w:val="20"/>
                <w:szCs w:val="20"/>
              </w:rPr>
            </w:pPr>
          </w:p>
          <w:p w14:paraId="56BC85B2" w14:textId="341858F6" w:rsidR="001D328C" w:rsidRDefault="001D328C" w:rsidP="001D328C">
            <w:pPr>
              <w:rPr>
                <w:rFonts w:ascii="Times New Roman" w:hAnsi="Times New Roman" w:cs="Times New Roman"/>
                <w:sz w:val="20"/>
                <w:szCs w:val="20"/>
              </w:rPr>
            </w:pPr>
            <w:r w:rsidRPr="009E0C04">
              <w:rPr>
                <w:rFonts w:ascii="Times New Roman" w:hAnsi="Times New Roman" w:cs="Times New Roman"/>
                <w:noProof/>
                <w:sz w:val="20"/>
                <w:szCs w:val="20"/>
              </w:rPr>
              <w:t>Degree</w:t>
            </w:r>
            <w:r>
              <w:rPr>
                <w:rFonts w:ascii="Times New Roman" w:hAnsi="Times New Roman" w:cs="Times New Roman"/>
                <w:sz w:val="20"/>
                <w:szCs w:val="20"/>
              </w:rPr>
              <w:t xml:space="preserve"> to which the Red List of Ecosystems is included in f</w:t>
            </w:r>
            <w:r w:rsidR="005E5C8A">
              <w:rPr>
                <w:rFonts w:ascii="Times New Roman" w:hAnsi="Times New Roman" w:cs="Times New Roman"/>
                <w:sz w:val="20"/>
                <w:szCs w:val="20"/>
              </w:rPr>
              <w:t>orest eco-certification schemes</w:t>
            </w:r>
          </w:p>
          <w:p w14:paraId="2EB7449A" w14:textId="08E6A34F" w:rsidR="001D328C" w:rsidRDefault="001D328C" w:rsidP="001D328C">
            <w:pPr>
              <w:rPr>
                <w:rFonts w:ascii="Times New Roman" w:hAnsi="Times New Roman" w:cs="Times New Roman"/>
                <w:sz w:val="20"/>
                <w:szCs w:val="20"/>
              </w:rPr>
            </w:pPr>
          </w:p>
          <w:p w14:paraId="1313B74A" w14:textId="34731E11" w:rsidR="001D328C" w:rsidRDefault="001D328C" w:rsidP="001D328C">
            <w:pPr>
              <w:rPr>
                <w:rFonts w:ascii="Times New Roman" w:hAnsi="Times New Roman" w:cs="Times New Roman"/>
                <w:sz w:val="20"/>
                <w:szCs w:val="20"/>
              </w:rPr>
            </w:pPr>
            <w:r>
              <w:rPr>
                <w:rFonts w:ascii="Times New Roman" w:hAnsi="Times New Roman" w:cs="Times New Roman"/>
                <w:sz w:val="20"/>
                <w:szCs w:val="20"/>
              </w:rPr>
              <w:t>Red List Index for Ecosyste</w:t>
            </w:r>
            <w:r w:rsidR="005E5C8A">
              <w:rPr>
                <w:rFonts w:ascii="Times New Roman" w:hAnsi="Times New Roman" w:cs="Times New Roman"/>
                <w:sz w:val="20"/>
                <w:szCs w:val="20"/>
              </w:rPr>
              <w:t>ms (impacts of desertification)</w:t>
            </w:r>
          </w:p>
          <w:p w14:paraId="111EDC67" w14:textId="34297D7B" w:rsidR="001D328C" w:rsidRDefault="001D328C" w:rsidP="001D328C">
            <w:pPr>
              <w:rPr>
                <w:rFonts w:ascii="Times New Roman" w:hAnsi="Times New Roman" w:cs="Times New Roman"/>
                <w:sz w:val="20"/>
                <w:szCs w:val="20"/>
              </w:rPr>
            </w:pPr>
          </w:p>
          <w:p w14:paraId="3F048176" w14:textId="77777777" w:rsidR="005E5C8A" w:rsidRDefault="001D328C" w:rsidP="001D328C">
            <w:pPr>
              <w:rPr>
                <w:rFonts w:ascii="Times New Roman" w:hAnsi="Times New Roman" w:cs="Times New Roman"/>
                <w:sz w:val="20"/>
                <w:szCs w:val="20"/>
              </w:rPr>
            </w:pPr>
            <w:r>
              <w:rPr>
                <w:rFonts w:ascii="Times New Roman" w:hAnsi="Times New Roman" w:cs="Times New Roman"/>
                <w:sz w:val="20"/>
                <w:szCs w:val="20"/>
              </w:rPr>
              <w:t>Red List Inde</w:t>
            </w:r>
            <w:r w:rsidR="005E5C8A">
              <w:rPr>
                <w:rFonts w:ascii="Times New Roman" w:hAnsi="Times New Roman" w:cs="Times New Roman"/>
                <w:sz w:val="20"/>
                <w:szCs w:val="20"/>
              </w:rPr>
              <w:t>x for Ecosystems (mountains).</w:t>
            </w:r>
          </w:p>
          <w:p w14:paraId="21E15BFC" w14:textId="77777777" w:rsidR="005E5C8A" w:rsidRDefault="005E5C8A" w:rsidP="001D328C">
            <w:pPr>
              <w:rPr>
                <w:rFonts w:ascii="Times New Roman" w:hAnsi="Times New Roman" w:cs="Times New Roman"/>
                <w:sz w:val="20"/>
                <w:szCs w:val="20"/>
              </w:rPr>
            </w:pPr>
          </w:p>
          <w:p w14:paraId="36BF993F" w14:textId="7A07C714" w:rsidR="001D328C" w:rsidRDefault="005E5C8A" w:rsidP="001D328C">
            <w:pPr>
              <w:rPr>
                <w:rFonts w:ascii="Times New Roman" w:hAnsi="Times New Roman" w:cs="Times New Roman"/>
                <w:sz w:val="20"/>
                <w:szCs w:val="20"/>
              </w:rPr>
            </w:pPr>
            <w:r>
              <w:rPr>
                <w:rFonts w:ascii="Times New Roman" w:hAnsi="Times New Roman" w:cs="Times New Roman"/>
                <w:sz w:val="20"/>
                <w:szCs w:val="20"/>
              </w:rPr>
              <w:t>C</w:t>
            </w:r>
            <w:r w:rsidR="001D328C">
              <w:rPr>
                <w:rFonts w:ascii="Times New Roman" w:hAnsi="Times New Roman" w:cs="Times New Roman"/>
                <w:sz w:val="20"/>
                <w:szCs w:val="20"/>
              </w:rPr>
              <w:t>overage and representativeness of threatened mountain ecosystems in protected are</w:t>
            </w:r>
            <w:r>
              <w:rPr>
                <w:rFonts w:ascii="Times New Roman" w:hAnsi="Times New Roman" w:cs="Times New Roman"/>
                <w:sz w:val="20"/>
                <w:szCs w:val="20"/>
              </w:rPr>
              <w:t>as</w:t>
            </w:r>
          </w:p>
          <w:p w14:paraId="2D590A24" w14:textId="1B957302" w:rsidR="001D328C" w:rsidRDefault="001D328C" w:rsidP="001D328C">
            <w:pPr>
              <w:rPr>
                <w:rFonts w:ascii="Times New Roman" w:hAnsi="Times New Roman" w:cs="Times New Roman"/>
                <w:sz w:val="20"/>
                <w:szCs w:val="20"/>
              </w:rPr>
            </w:pPr>
          </w:p>
          <w:p w14:paraId="4F69E087" w14:textId="7377179C" w:rsidR="001D328C" w:rsidRDefault="001D328C" w:rsidP="001D328C">
            <w:pPr>
              <w:rPr>
                <w:rFonts w:ascii="Times New Roman" w:hAnsi="Times New Roman" w:cs="Times New Roman"/>
                <w:sz w:val="20"/>
                <w:szCs w:val="20"/>
              </w:rPr>
            </w:pPr>
            <w:r>
              <w:rPr>
                <w:rFonts w:ascii="Times New Roman" w:hAnsi="Times New Roman" w:cs="Times New Roman"/>
                <w:sz w:val="20"/>
                <w:szCs w:val="20"/>
              </w:rPr>
              <w:t xml:space="preserve">Red List Index </w:t>
            </w:r>
            <w:r w:rsidR="005E5C8A">
              <w:rPr>
                <w:rFonts w:ascii="Times New Roman" w:hAnsi="Times New Roman" w:cs="Times New Roman"/>
                <w:sz w:val="20"/>
                <w:szCs w:val="20"/>
              </w:rPr>
              <w:t>for Ecosystems (all ecosystems)</w:t>
            </w:r>
          </w:p>
          <w:p w14:paraId="29ED848D" w14:textId="0392379E" w:rsidR="001D328C" w:rsidRDefault="001D328C" w:rsidP="001D328C">
            <w:pPr>
              <w:rPr>
                <w:rFonts w:ascii="Times New Roman" w:hAnsi="Times New Roman" w:cs="Times New Roman"/>
                <w:sz w:val="20"/>
                <w:szCs w:val="20"/>
              </w:rPr>
            </w:pPr>
          </w:p>
          <w:p w14:paraId="1B6C4CF7" w14:textId="5650F9F4" w:rsidR="001D328C" w:rsidRDefault="001D328C" w:rsidP="001D328C">
            <w:pPr>
              <w:rPr>
                <w:rFonts w:ascii="Times New Roman" w:hAnsi="Times New Roman" w:cs="Times New Roman"/>
                <w:sz w:val="20"/>
                <w:szCs w:val="20"/>
              </w:rPr>
            </w:pPr>
            <w:r>
              <w:rPr>
                <w:rFonts w:ascii="Times New Roman" w:hAnsi="Times New Roman" w:cs="Times New Roman"/>
                <w:sz w:val="20"/>
                <w:szCs w:val="20"/>
              </w:rPr>
              <w:t>Red List Index for Ecosystem</w:t>
            </w:r>
            <w:r w:rsidR="005E5C8A">
              <w:rPr>
                <w:rFonts w:ascii="Times New Roman" w:hAnsi="Times New Roman" w:cs="Times New Roman"/>
                <w:sz w:val="20"/>
                <w:szCs w:val="20"/>
              </w:rPr>
              <w:t>s (impacts of invasive species)</w:t>
            </w:r>
          </w:p>
          <w:p w14:paraId="6958B37F" w14:textId="12E9978F" w:rsidR="001D328C" w:rsidRDefault="001D328C" w:rsidP="001D328C">
            <w:pPr>
              <w:rPr>
                <w:rFonts w:ascii="Times New Roman" w:hAnsi="Times New Roman" w:cs="Times New Roman"/>
                <w:sz w:val="20"/>
                <w:szCs w:val="20"/>
              </w:rPr>
            </w:pPr>
          </w:p>
          <w:p w14:paraId="41ADF25F" w14:textId="00DFDAC0" w:rsidR="001D328C" w:rsidRPr="007B7125" w:rsidRDefault="001D328C" w:rsidP="001D328C">
            <w:pPr>
              <w:rPr>
                <w:rFonts w:ascii="Times New Roman" w:hAnsi="Times New Roman" w:cs="Times New Roman"/>
                <w:sz w:val="20"/>
                <w:szCs w:val="20"/>
              </w:rPr>
            </w:pPr>
            <w:r>
              <w:rPr>
                <w:rFonts w:ascii="Times New Roman" w:hAnsi="Times New Roman" w:cs="Times New Roman"/>
                <w:sz w:val="20"/>
                <w:szCs w:val="20"/>
              </w:rPr>
              <w:t xml:space="preserve">Incorporation of the </w:t>
            </w:r>
            <w:r w:rsidRPr="001D328C">
              <w:rPr>
                <w:rFonts w:ascii="Times New Roman" w:hAnsi="Times New Roman" w:cs="Times New Roman"/>
                <w:sz w:val="20"/>
                <w:szCs w:val="20"/>
              </w:rPr>
              <w:t>R</w:t>
            </w:r>
            <w:r>
              <w:rPr>
                <w:rFonts w:ascii="Times New Roman" w:hAnsi="Times New Roman" w:cs="Times New Roman"/>
                <w:sz w:val="20"/>
                <w:szCs w:val="20"/>
              </w:rPr>
              <w:t xml:space="preserve">ed </w:t>
            </w:r>
            <w:r w:rsidRPr="001D328C">
              <w:rPr>
                <w:rFonts w:ascii="Times New Roman" w:hAnsi="Times New Roman" w:cs="Times New Roman"/>
                <w:sz w:val="20"/>
                <w:szCs w:val="20"/>
              </w:rPr>
              <w:t>L</w:t>
            </w:r>
            <w:r>
              <w:rPr>
                <w:rFonts w:ascii="Times New Roman" w:hAnsi="Times New Roman" w:cs="Times New Roman"/>
                <w:sz w:val="20"/>
                <w:szCs w:val="20"/>
              </w:rPr>
              <w:t xml:space="preserve">ist of </w:t>
            </w:r>
            <w:r w:rsidRPr="001D328C">
              <w:rPr>
                <w:rFonts w:ascii="Times New Roman" w:hAnsi="Times New Roman" w:cs="Times New Roman"/>
                <w:sz w:val="20"/>
                <w:szCs w:val="20"/>
              </w:rPr>
              <w:t>E</w:t>
            </w:r>
            <w:r>
              <w:rPr>
                <w:rFonts w:ascii="Times New Roman" w:hAnsi="Times New Roman" w:cs="Times New Roman"/>
                <w:sz w:val="20"/>
                <w:szCs w:val="20"/>
              </w:rPr>
              <w:t>cosystems</w:t>
            </w:r>
            <w:r w:rsidRPr="001D328C">
              <w:rPr>
                <w:rFonts w:ascii="Times New Roman" w:hAnsi="Times New Roman" w:cs="Times New Roman"/>
                <w:sz w:val="20"/>
                <w:szCs w:val="20"/>
              </w:rPr>
              <w:t xml:space="preserve"> into legislation, land-use planning (local and regional), natural capital accounts, and poverty-reduction strategies</w:t>
            </w:r>
            <w:r>
              <w:rPr>
                <w:rFonts w:ascii="Times New Roman" w:hAnsi="Times New Roman" w:cs="Times New Roman"/>
                <w:sz w:val="20"/>
                <w:szCs w:val="20"/>
              </w:rPr>
              <w:t xml:space="preserve"> (see Aichi Target 2)</w:t>
            </w:r>
          </w:p>
        </w:tc>
        <w:tc>
          <w:tcPr>
            <w:tcW w:w="2546" w:type="dxa"/>
            <w:tcBorders>
              <w:top w:val="nil"/>
              <w:left w:val="nil"/>
              <w:bottom w:val="single" w:sz="4" w:space="0" w:color="auto"/>
              <w:right w:val="nil"/>
            </w:tcBorders>
          </w:tcPr>
          <w:p w14:paraId="303CC06F" w14:textId="77777777" w:rsidR="001D328C" w:rsidRDefault="005E5C8A" w:rsidP="001D328C">
            <w:pPr>
              <w:rPr>
                <w:rFonts w:ascii="Times New Roman" w:hAnsi="Times New Roman" w:cs="Times New Roman"/>
                <w:sz w:val="20"/>
                <w:szCs w:val="20"/>
              </w:rPr>
            </w:pPr>
            <w:r>
              <w:rPr>
                <w:rFonts w:ascii="Times New Roman" w:hAnsi="Times New Roman" w:cs="Times New Roman"/>
                <w:sz w:val="20"/>
                <w:szCs w:val="20"/>
              </w:rPr>
              <w:t xml:space="preserve">Piloted for forests of the Americas and Colombian terrestrial ecosystems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{"citationItems":[{"id":"ITEM-1","itemData":{"author":[{"dropping-particle":"","family":"Rowland","given":"Jessica A.","non-dropping-particle":"","parse-names":false,"suffix":""}],"container-title":"in prep.","id":"ITEM-1","issued":{"date-parts":[["2018"]]},"title":"Biodiversity indicators for ecosystems to support global conservation targets","type":"article-journal"},"uris":["http://www.mendeley.com/documents/?uuid=7873d240-29d2-43ea-85b9-c25460cfc2e0"]}],"mendeley":{"formattedCitation":"(Rowland 2018)","plainTextFormattedCitation":"(Rowland 2018)","previouslyFormattedCitation":"(Rowland 2018)"},"properties":{"noteIndex":0},"schema":"https://github.com/citation-style-language/schema/raw/master/csl-citation.json"}</w:instrText>
            </w:r>
            <w:r>
              <w:rPr>
                <w:rFonts w:ascii="Times New Roman" w:hAnsi="Times New Roman" w:cs="Times New Roman"/>
                <w:sz w:val="20"/>
                <w:szCs w:val="20"/>
              </w:rPr>
              <w:fldChar w:fldCharType="separate"/>
            </w:r>
            <w:r w:rsidRPr="00D05784">
              <w:rPr>
                <w:rFonts w:ascii="Times New Roman" w:hAnsi="Times New Roman" w:cs="Times New Roman"/>
                <w:noProof/>
                <w:sz w:val="20"/>
                <w:szCs w:val="20"/>
              </w:rPr>
              <w:t>(Rowland 2018)</w:t>
            </w:r>
            <w:r>
              <w:rPr>
                <w:rFonts w:ascii="Times New Roman" w:hAnsi="Times New Roman" w:cs="Times New Roman"/>
                <w:sz w:val="20"/>
                <w:szCs w:val="20"/>
              </w:rPr>
              <w:fldChar w:fldCharType="end"/>
            </w:r>
          </w:p>
          <w:p w14:paraId="11D2AD64" w14:textId="77777777" w:rsidR="005E5C8A" w:rsidRDefault="005E5C8A" w:rsidP="001D328C">
            <w:pPr>
              <w:rPr>
                <w:rFonts w:ascii="Times New Roman" w:hAnsi="Times New Roman" w:cs="Times New Roman"/>
                <w:sz w:val="20"/>
                <w:szCs w:val="20"/>
              </w:rPr>
            </w:pPr>
          </w:p>
          <w:p w14:paraId="184B1602" w14:textId="77777777" w:rsidR="005E5C8A" w:rsidRDefault="005E5C8A" w:rsidP="001D328C">
            <w:pPr>
              <w:rPr>
                <w:rFonts w:ascii="Times New Roman" w:hAnsi="Times New Roman" w:cs="Times New Roman"/>
                <w:sz w:val="20"/>
                <w:szCs w:val="20"/>
              </w:rPr>
            </w:pPr>
          </w:p>
          <w:p w14:paraId="72805BC0" w14:textId="77777777" w:rsidR="009E0C04" w:rsidRDefault="009E0C04" w:rsidP="001D328C">
            <w:pPr>
              <w:rPr>
                <w:rFonts w:ascii="Times New Roman" w:hAnsi="Times New Roman" w:cs="Times New Roman"/>
                <w:sz w:val="20"/>
                <w:szCs w:val="20"/>
              </w:rPr>
            </w:pPr>
          </w:p>
          <w:p w14:paraId="28D55B1C" w14:textId="22A6C280" w:rsidR="005E5C8A" w:rsidRDefault="005E5C8A" w:rsidP="001D328C">
            <w:pPr>
              <w:rPr>
                <w:rFonts w:ascii="Times New Roman" w:hAnsi="Times New Roman" w:cs="Times New Roman"/>
                <w:sz w:val="20"/>
                <w:szCs w:val="20"/>
              </w:rPr>
            </w:pPr>
            <w:r>
              <w:rPr>
                <w:rFonts w:ascii="Times New Roman" w:hAnsi="Times New Roman" w:cs="Times New Roman"/>
                <w:sz w:val="20"/>
                <w:szCs w:val="20"/>
              </w:rPr>
              <w:t>Future</w:t>
            </w:r>
          </w:p>
          <w:p w14:paraId="2D922C17" w14:textId="77777777" w:rsidR="005E5C8A" w:rsidRDefault="005E5C8A" w:rsidP="001D328C">
            <w:pPr>
              <w:rPr>
                <w:rFonts w:ascii="Times New Roman" w:hAnsi="Times New Roman" w:cs="Times New Roman"/>
                <w:sz w:val="20"/>
                <w:szCs w:val="20"/>
              </w:rPr>
            </w:pPr>
          </w:p>
          <w:p w14:paraId="38988796" w14:textId="77777777" w:rsidR="005E5C8A" w:rsidRDefault="005E5C8A" w:rsidP="001D328C">
            <w:pPr>
              <w:rPr>
                <w:rFonts w:ascii="Times New Roman" w:hAnsi="Times New Roman" w:cs="Times New Roman"/>
                <w:sz w:val="20"/>
                <w:szCs w:val="20"/>
              </w:rPr>
            </w:pPr>
          </w:p>
          <w:p w14:paraId="3FBCC60B" w14:textId="77777777" w:rsidR="005E5C8A" w:rsidRDefault="005E5C8A" w:rsidP="001D328C">
            <w:pPr>
              <w:rPr>
                <w:rFonts w:ascii="Times New Roman" w:hAnsi="Times New Roman" w:cs="Times New Roman"/>
                <w:sz w:val="20"/>
                <w:szCs w:val="20"/>
              </w:rPr>
            </w:pPr>
          </w:p>
          <w:p w14:paraId="65424917" w14:textId="0A8A7C63" w:rsidR="005E5C8A" w:rsidRDefault="005E5C8A" w:rsidP="005E5C8A">
            <w:pPr>
              <w:rPr>
                <w:rFonts w:ascii="Times New Roman" w:hAnsi="Times New Roman" w:cs="Times New Roman"/>
                <w:sz w:val="20"/>
                <w:szCs w:val="20"/>
              </w:rPr>
            </w:pPr>
            <w:r>
              <w:rPr>
                <w:rFonts w:ascii="Times New Roman" w:hAnsi="Times New Roman" w:cs="Times New Roman"/>
                <w:sz w:val="20"/>
                <w:szCs w:val="20"/>
              </w:rPr>
              <w:t xml:space="preserve">Piloted for forests of the Americas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{"citationItems":[{"id":"ITEM-1","itemData":{"author":[{"dropping-particle":"","family":"Rowland","given":"Jessica A.","non-dropping-particle":"","parse-names":false,"suffix":""}],"container-title":"in prep.","id":"ITEM-1","issued":{"date-parts":[["2018"]]},"title":"Biodiversity indicators for ecosystems to support global conservation targets","type":"article-journal"},"uris":["http://www.mendeley.com/documents/?uuid=7873d240-29d2-43ea-85b9-c25460cfc2e0"]}],"mendeley":{"formattedCitation":"(Rowland 2018)","plainTextFormattedCitation":"(Rowland 2018)","previouslyFormattedCitation":"(Rowland 2018)"},"properties":{"noteIndex":0},"schema":"https://github.com/citation-style-language/schema/raw/master/csl-citation.json"}</w:instrText>
            </w:r>
            <w:r>
              <w:rPr>
                <w:rFonts w:ascii="Times New Roman" w:hAnsi="Times New Roman" w:cs="Times New Roman"/>
                <w:sz w:val="20"/>
                <w:szCs w:val="20"/>
              </w:rPr>
              <w:fldChar w:fldCharType="separate"/>
            </w:r>
            <w:r w:rsidRPr="00D05784">
              <w:rPr>
                <w:rFonts w:ascii="Times New Roman" w:hAnsi="Times New Roman" w:cs="Times New Roman"/>
                <w:noProof/>
                <w:sz w:val="20"/>
                <w:szCs w:val="20"/>
              </w:rPr>
              <w:t>(Rowland 2018)</w:t>
            </w:r>
            <w:r>
              <w:rPr>
                <w:rFonts w:ascii="Times New Roman" w:hAnsi="Times New Roman" w:cs="Times New Roman"/>
                <w:sz w:val="20"/>
                <w:szCs w:val="20"/>
              </w:rPr>
              <w:fldChar w:fldCharType="end"/>
            </w:r>
          </w:p>
          <w:p w14:paraId="41BB3333" w14:textId="77777777" w:rsidR="005E5C8A" w:rsidRDefault="005E5C8A" w:rsidP="001D328C">
            <w:pPr>
              <w:rPr>
                <w:rFonts w:ascii="Times New Roman" w:hAnsi="Times New Roman" w:cs="Times New Roman"/>
                <w:sz w:val="20"/>
                <w:szCs w:val="20"/>
              </w:rPr>
            </w:pPr>
          </w:p>
          <w:p w14:paraId="5838A1FB" w14:textId="1E5770B9" w:rsidR="005E5C8A" w:rsidRDefault="005E5C8A" w:rsidP="001D328C">
            <w:pPr>
              <w:rPr>
                <w:rFonts w:ascii="Times New Roman" w:hAnsi="Times New Roman" w:cs="Times New Roman"/>
                <w:sz w:val="20"/>
                <w:szCs w:val="20"/>
              </w:rPr>
            </w:pPr>
            <w:r>
              <w:rPr>
                <w:rFonts w:ascii="Times New Roman" w:hAnsi="Times New Roman" w:cs="Times New Roman"/>
                <w:sz w:val="20"/>
                <w:szCs w:val="20"/>
              </w:rPr>
              <w:t>Voluntary use in Norway and Finland</w:t>
            </w:r>
          </w:p>
          <w:p w14:paraId="3B5300E9" w14:textId="77777777" w:rsidR="005E5C8A" w:rsidRDefault="005E5C8A" w:rsidP="001D328C">
            <w:pPr>
              <w:rPr>
                <w:rFonts w:ascii="Times New Roman" w:hAnsi="Times New Roman" w:cs="Times New Roman"/>
                <w:sz w:val="20"/>
                <w:szCs w:val="20"/>
              </w:rPr>
            </w:pPr>
          </w:p>
          <w:p w14:paraId="29DD1B6F" w14:textId="77777777" w:rsidR="005E5C8A" w:rsidRDefault="005E5C8A" w:rsidP="001D328C">
            <w:pPr>
              <w:rPr>
                <w:rFonts w:ascii="Times New Roman" w:hAnsi="Times New Roman" w:cs="Times New Roman"/>
                <w:sz w:val="20"/>
                <w:szCs w:val="20"/>
              </w:rPr>
            </w:pPr>
          </w:p>
          <w:p w14:paraId="6A49A999" w14:textId="77777777" w:rsidR="005E5C8A" w:rsidRDefault="005E5C8A" w:rsidP="001D328C">
            <w:pPr>
              <w:rPr>
                <w:rFonts w:ascii="Times New Roman" w:hAnsi="Times New Roman" w:cs="Times New Roman"/>
                <w:sz w:val="20"/>
                <w:szCs w:val="20"/>
              </w:rPr>
            </w:pPr>
            <w:r>
              <w:rPr>
                <w:rFonts w:ascii="Times New Roman" w:hAnsi="Times New Roman" w:cs="Times New Roman"/>
                <w:sz w:val="20"/>
                <w:szCs w:val="20"/>
              </w:rPr>
              <w:t>Future</w:t>
            </w:r>
          </w:p>
          <w:p w14:paraId="47422B1E" w14:textId="77777777" w:rsidR="005E5C8A" w:rsidRDefault="005E5C8A" w:rsidP="001D328C">
            <w:pPr>
              <w:rPr>
                <w:rFonts w:ascii="Times New Roman" w:hAnsi="Times New Roman" w:cs="Times New Roman"/>
                <w:sz w:val="20"/>
                <w:szCs w:val="20"/>
              </w:rPr>
            </w:pPr>
          </w:p>
          <w:p w14:paraId="03B7D357" w14:textId="77777777" w:rsidR="005E5C8A" w:rsidRDefault="005E5C8A" w:rsidP="001D328C">
            <w:pPr>
              <w:rPr>
                <w:rFonts w:ascii="Times New Roman" w:hAnsi="Times New Roman" w:cs="Times New Roman"/>
                <w:sz w:val="20"/>
                <w:szCs w:val="20"/>
              </w:rPr>
            </w:pPr>
          </w:p>
          <w:p w14:paraId="1D3779BF" w14:textId="77777777" w:rsidR="005E5C8A" w:rsidRDefault="005E5C8A" w:rsidP="001D328C">
            <w:pPr>
              <w:rPr>
                <w:rFonts w:ascii="Times New Roman" w:hAnsi="Times New Roman" w:cs="Times New Roman"/>
                <w:sz w:val="20"/>
                <w:szCs w:val="20"/>
              </w:rPr>
            </w:pPr>
            <w:r>
              <w:rPr>
                <w:rFonts w:ascii="Times New Roman" w:hAnsi="Times New Roman" w:cs="Times New Roman"/>
                <w:sz w:val="20"/>
                <w:szCs w:val="20"/>
              </w:rPr>
              <w:t>Future</w:t>
            </w:r>
          </w:p>
          <w:p w14:paraId="30508962" w14:textId="77777777" w:rsidR="005E5C8A" w:rsidRDefault="005E5C8A" w:rsidP="001D328C">
            <w:pPr>
              <w:rPr>
                <w:rFonts w:ascii="Times New Roman" w:hAnsi="Times New Roman" w:cs="Times New Roman"/>
                <w:sz w:val="20"/>
                <w:szCs w:val="20"/>
              </w:rPr>
            </w:pPr>
          </w:p>
          <w:p w14:paraId="3C728D7A" w14:textId="77777777" w:rsidR="005E5C8A" w:rsidRDefault="005E5C8A" w:rsidP="001D328C">
            <w:pPr>
              <w:rPr>
                <w:rFonts w:ascii="Times New Roman" w:hAnsi="Times New Roman" w:cs="Times New Roman"/>
                <w:sz w:val="20"/>
                <w:szCs w:val="20"/>
              </w:rPr>
            </w:pPr>
          </w:p>
          <w:p w14:paraId="17DDCD3A" w14:textId="77777777" w:rsidR="005E5C8A" w:rsidRDefault="005E5C8A" w:rsidP="001D328C">
            <w:pPr>
              <w:rPr>
                <w:rFonts w:ascii="Times New Roman" w:hAnsi="Times New Roman" w:cs="Times New Roman"/>
                <w:sz w:val="20"/>
                <w:szCs w:val="20"/>
              </w:rPr>
            </w:pPr>
            <w:r>
              <w:rPr>
                <w:rFonts w:ascii="Times New Roman" w:hAnsi="Times New Roman" w:cs="Times New Roman"/>
                <w:sz w:val="20"/>
                <w:szCs w:val="20"/>
              </w:rPr>
              <w:t>Future</w:t>
            </w:r>
          </w:p>
          <w:p w14:paraId="5411F483" w14:textId="77777777" w:rsidR="005E5C8A" w:rsidRDefault="005E5C8A" w:rsidP="001D328C">
            <w:pPr>
              <w:rPr>
                <w:rFonts w:ascii="Times New Roman" w:hAnsi="Times New Roman" w:cs="Times New Roman"/>
                <w:sz w:val="20"/>
                <w:szCs w:val="20"/>
              </w:rPr>
            </w:pPr>
          </w:p>
          <w:p w14:paraId="02F11CD8" w14:textId="77777777" w:rsidR="00DD7FC1" w:rsidRDefault="00DD7FC1" w:rsidP="001D328C">
            <w:pPr>
              <w:rPr>
                <w:rFonts w:ascii="Times New Roman" w:hAnsi="Times New Roman" w:cs="Times New Roman"/>
                <w:sz w:val="20"/>
                <w:szCs w:val="20"/>
              </w:rPr>
            </w:pPr>
          </w:p>
          <w:p w14:paraId="2540F06B" w14:textId="362359D5" w:rsidR="005E5C8A" w:rsidRDefault="005E5C8A" w:rsidP="001D328C">
            <w:pPr>
              <w:rPr>
                <w:rFonts w:ascii="Times New Roman" w:hAnsi="Times New Roman" w:cs="Times New Roman"/>
                <w:sz w:val="20"/>
                <w:szCs w:val="20"/>
              </w:rPr>
            </w:pPr>
            <w:r>
              <w:rPr>
                <w:rFonts w:ascii="Times New Roman" w:hAnsi="Times New Roman" w:cs="Times New Roman"/>
                <w:sz w:val="20"/>
                <w:szCs w:val="20"/>
              </w:rPr>
              <w:t xml:space="preserve">Piloted in Colombia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{"citationItems":[{"id":"ITEM-1","itemData":{"author":[{"dropping-particle":"","family":"Rowland","given":"Jessica A.","non-dropping-particle":"","parse-names":false,"suffix":""}],"container-title":"in prep.","id":"ITEM-1","issued":{"date-parts":[["2018"]]},"title":"Biodiversity indicators for ecosystems to support global conservation targets","type":"article-journal"},"uris":["http://www.mendeley.com/documents/?uuid=7873d240-29d2-43ea-85b9-c25460cfc2e0"]}],"mendeley":{"formattedCitation":"(Rowland 2018)","plainTextFormattedCitation":"(Rowland 2018)","previouslyFormattedCitation":"(Rowland 2018)"},"properties":{"noteIndex":0},"schema":"https://github.com/citation-style-language/schema/raw/master/csl-citation.json"}</w:instrText>
            </w:r>
            <w:r>
              <w:rPr>
                <w:rFonts w:ascii="Times New Roman" w:hAnsi="Times New Roman" w:cs="Times New Roman"/>
                <w:sz w:val="20"/>
                <w:szCs w:val="20"/>
              </w:rPr>
              <w:fldChar w:fldCharType="separate"/>
            </w:r>
            <w:r w:rsidRPr="00D05784">
              <w:rPr>
                <w:rFonts w:ascii="Times New Roman" w:hAnsi="Times New Roman" w:cs="Times New Roman"/>
                <w:noProof/>
                <w:sz w:val="20"/>
                <w:szCs w:val="20"/>
              </w:rPr>
              <w:t>(Rowland 2018)</w:t>
            </w:r>
            <w:r>
              <w:rPr>
                <w:rFonts w:ascii="Times New Roman" w:hAnsi="Times New Roman" w:cs="Times New Roman"/>
                <w:sz w:val="20"/>
                <w:szCs w:val="20"/>
              </w:rPr>
              <w:fldChar w:fldCharType="end"/>
            </w:r>
          </w:p>
          <w:p w14:paraId="081F96CD" w14:textId="77777777" w:rsidR="005E5C8A" w:rsidRDefault="005E5C8A" w:rsidP="001D328C">
            <w:pPr>
              <w:rPr>
                <w:rFonts w:ascii="Times New Roman" w:hAnsi="Times New Roman" w:cs="Times New Roman"/>
                <w:sz w:val="20"/>
                <w:szCs w:val="20"/>
              </w:rPr>
            </w:pPr>
          </w:p>
          <w:p w14:paraId="2A0E7D60" w14:textId="77777777" w:rsidR="005E5C8A" w:rsidRDefault="005E5C8A" w:rsidP="001D328C">
            <w:pPr>
              <w:rPr>
                <w:rFonts w:ascii="Times New Roman" w:hAnsi="Times New Roman" w:cs="Times New Roman"/>
                <w:sz w:val="20"/>
                <w:szCs w:val="20"/>
              </w:rPr>
            </w:pPr>
            <w:r>
              <w:rPr>
                <w:rFonts w:ascii="Times New Roman" w:hAnsi="Times New Roman" w:cs="Times New Roman"/>
                <w:sz w:val="20"/>
                <w:szCs w:val="20"/>
              </w:rPr>
              <w:t>Future</w:t>
            </w:r>
          </w:p>
          <w:p w14:paraId="064E6D62" w14:textId="77777777" w:rsidR="005E5C8A" w:rsidRDefault="005E5C8A" w:rsidP="001D328C">
            <w:pPr>
              <w:rPr>
                <w:rFonts w:ascii="Times New Roman" w:hAnsi="Times New Roman" w:cs="Times New Roman"/>
                <w:sz w:val="20"/>
                <w:szCs w:val="20"/>
              </w:rPr>
            </w:pPr>
          </w:p>
          <w:p w14:paraId="18322700" w14:textId="77777777" w:rsidR="005E5C8A" w:rsidRDefault="005E5C8A" w:rsidP="001D328C">
            <w:pPr>
              <w:rPr>
                <w:rFonts w:ascii="Times New Roman" w:hAnsi="Times New Roman" w:cs="Times New Roman"/>
                <w:sz w:val="20"/>
                <w:szCs w:val="20"/>
              </w:rPr>
            </w:pPr>
          </w:p>
          <w:p w14:paraId="4937FDBA" w14:textId="7DA69139" w:rsidR="005E5C8A" w:rsidRPr="007B7125" w:rsidRDefault="005E5C8A" w:rsidP="001D328C">
            <w:pPr>
              <w:rPr>
                <w:rFonts w:ascii="Times New Roman" w:hAnsi="Times New Roman" w:cs="Times New Roman"/>
                <w:sz w:val="20"/>
                <w:szCs w:val="20"/>
              </w:rPr>
            </w:pPr>
            <w:r>
              <w:rPr>
                <w:rFonts w:ascii="Times New Roman" w:hAnsi="Times New Roman" w:cs="Times New Roman"/>
                <w:sz w:val="20"/>
                <w:szCs w:val="20"/>
              </w:rPr>
              <w:t>On-going</w:t>
            </w:r>
          </w:p>
        </w:tc>
      </w:tr>
    </w:tbl>
    <w:p w14:paraId="1B0DEBF0" w14:textId="77777777" w:rsidR="00B25C8E" w:rsidRDefault="00B25C8E">
      <w:pPr>
        <w:rPr>
          <w:rFonts w:ascii="Times New Roman" w:hAnsi="Times New Roman" w:cs="Times New Roman"/>
          <w:sz w:val="24"/>
          <w:szCs w:val="24"/>
        </w:rPr>
      </w:pPr>
      <w:r>
        <w:rPr>
          <w:rFonts w:ascii="Times New Roman" w:hAnsi="Times New Roman" w:cs="Times New Roman"/>
          <w:sz w:val="24"/>
          <w:szCs w:val="24"/>
        </w:rPr>
        <w:br w:type="page"/>
      </w:r>
    </w:p>
    <w:p w14:paraId="002105C5" w14:textId="77777777" w:rsidR="00F8109B" w:rsidRDefault="00B25C8E" w:rsidP="00B25C8E">
      <w:pPr>
        <w:spacing w:line="480" w:lineRule="auto"/>
        <w:rPr>
          <w:rFonts w:ascii="Times New Roman" w:hAnsi="Times New Roman" w:cs="Times New Roman"/>
          <w:b/>
        </w:rPr>
      </w:pPr>
      <w:r w:rsidRPr="00B25C8E">
        <w:rPr>
          <w:rFonts w:ascii="Times New Roman" w:hAnsi="Times New Roman" w:cs="Times New Roman"/>
          <w:b/>
        </w:rPr>
        <w:lastRenderedPageBreak/>
        <w:t>References</w:t>
      </w:r>
    </w:p>
    <w:p w14:paraId="277478B7" w14:textId="4D73AF72" w:rsidR="00007564" w:rsidRPr="009E0C04" w:rsidRDefault="009B267D" w:rsidP="00007564">
      <w:pPr>
        <w:widowControl w:val="0"/>
        <w:autoSpaceDE w:val="0"/>
        <w:autoSpaceDN w:val="0"/>
        <w:adjustRightInd w:val="0"/>
        <w:spacing w:line="240" w:lineRule="auto"/>
        <w:ind w:left="480" w:hanging="480"/>
        <w:rPr>
          <w:rFonts w:ascii="Times New Roman" w:hAnsi="Times New Roman" w:cs="Times New Roman"/>
          <w:noProof/>
          <w:sz w:val="20"/>
          <w:szCs w:val="24"/>
        </w:rPr>
      </w:pPr>
      <w:r w:rsidRPr="009E0C04">
        <w:rPr>
          <w:rFonts w:ascii="Times New Roman" w:hAnsi="Times New Roman" w:cs="Times New Roman"/>
          <w:b/>
          <w:sz w:val="20"/>
        </w:rPr>
        <w:fldChar w:fldCharType="begin" w:fldLock="1"/>
      </w:r>
      <w:r w:rsidRPr="009E0C04">
        <w:rPr>
          <w:rFonts w:ascii="Times New Roman" w:hAnsi="Times New Roman" w:cs="Times New Roman"/>
          <w:b/>
          <w:sz w:val="20"/>
        </w:rPr>
        <w:instrText xml:space="preserve">ADDIN Mendeley Bibliography CSL_BIBLIOGRAPHY </w:instrText>
      </w:r>
      <w:r w:rsidRPr="009E0C04">
        <w:rPr>
          <w:rFonts w:ascii="Times New Roman" w:hAnsi="Times New Roman" w:cs="Times New Roman"/>
          <w:b/>
          <w:sz w:val="20"/>
        </w:rPr>
        <w:fldChar w:fldCharType="separate"/>
      </w:r>
      <w:r w:rsidR="00007564" w:rsidRPr="009E0C04">
        <w:rPr>
          <w:rFonts w:ascii="Times New Roman" w:hAnsi="Times New Roman" w:cs="Times New Roman"/>
          <w:noProof/>
          <w:sz w:val="20"/>
          <w:szCs w:val="24"/>
        </w:rPr>
        <w:t xml:space="preserve">Auld, T.D. &amp; Leishman, M.R. (2015). Ecosystem risk assessment for Gnarled Mossy Cloud Forest, Lord Howe Island, Australia. </w:t>
      </w:r>
      <w:r w:rsidR="00007564" w:rsidRPr="009E0C04">
        <w:rPr>
          <w:rFonts w:ascii="Times New Roman" w:hAnsi="Times New Roman" w:cs="Times New Roman"/>
          <w:i/>
          <w:iCs/>
          <w:noProof/>
          <w:sz w:val="20"/>
          <w:szCs w:val="24"/>
        </w:rPr>
        <w:t>Austral Ecol.</w:t>
      </w:r>
      <w:r w:rsidR="00007564" w:rsidRPr="009E0C04">
        <w:rPr>
          <w:rFonts w:ascii="Times New Roman" w:hAnsi="Times New Roman" w:cs="Times New Roman"/>
          <w:noProof/>
          <w:sz w:val="20"/>
          <w:szCs w:val="24"/>
        </w:rPr>
        <w:t>, 40, 364–372.</w:t>
      </w:r>
    </w:p>
    <w:p w14:paraId="3A47BF73" w14:textId="77777777" w:rsidR="00007564" w:rsidRPr="009E0C04" w:rsidRDefault="00007564" w:rsidP="00007564">
      <w:pPr>
        <w:widowControl w:val="0"/>
        <w:autoSpaceDE w:val="0"/>
        <w:autoSpaceDN w:val="0"/>
        <w:adjustRightInd w:val="0"/>
        <w:spacing w:line="240" w:lineRule="auto"/>
        <w:ind w:left="480" w:hanging="480"/>
        <w:rPr>
          <w:rFonts w:ascii="Times New Roman" w:hAnsi="Times New Roman" w:cs="Times New Roman"/>
          <w:noProof/>
          <w:sz w:val="20"/>
          <w:szCs w:val="24"/>
        </w:rPr>
      </w:pPr>
      <w:r w:rsidRPr="009E0C04">
        <w:rPr>
          <w:rFonts w:ascii="Times New Roman" w:hAnsi="Times New Roman" w:cs="Times New Roman"/>
          <w:noProof/>
          <w:sz w:val="20"/>
          <w:szCs w:val="24"/>
        </w:rPr>
        <w:t xml:space="preserve">Barrett, S. &amp; Yates, C.J. (2015). Risks to a mountain summit ecosystem with endemic biota in southwestern Australia. </w:t>
      </w:r>
      <w:r w:rsidRPr="009E0C04">
        <w:rPr>
          <w:rFonts w:ascii="Times New Roman" w:hAnsi="Times New Roman" w:cs="Times New Roman"/>
          <w:i/>
          <w:iCs/>
          <w:noProof/>
          <w:sz w:val="20"/>
          <w:szCs w:val="24"/>
        </w:rPr>
        <w:t>Austral Ecol.</w:t>
      </w:r>
      <w:r w:rsidRPr="009E0C04">
        <w:rPr>
          <w:rFonts w:ascii="Times New Roman" w:hAnsi="Times New Roman" w:cs="Times New Roman"/>
          <w:noProof/>
          <w:sz w:val="20"/>
          <w:szCs w:val="24"/>
        </w:rPr>
        <w:t>, 40, 423–432.</w:t>
      </w:r>
    </w:p>
    <w:p w14:paraId="6D8876BE" w14:textId="77777777" w:rsidR="00007564" w:rsidRPr="009E0C04" w:rsidRDefault="00007564" w:rsidP="00007564">
      <w:pPr>
        <w:widowControl w:val="0"/>
        <w:autoSpaceDE w:val="0"/>
        <w:autoSpaceDN w:val="0"/>
        <w:adjustRightInd w:val="0"/>
        <w:spacing w:line="240" w:lineRule="auto"/>
        <w:ind w:left="480" w:hanging="480"/>
        <w:rPr>
          <w:rFonts w:ascii="Times New Roman" w:hAnsi="Times New Roman" w:cs="Times New Roman"/>
          <w:noProof/>
          <w:sz w:val="20"/>
          <w:szCs w:val="24"/>
        </w:rPr>
      </w:pPr>
      <w:r w:rsidRPr="009E0C04">
        <w:rPr>
          <w:rFonts w:ascii="Times New Roman" w:hAnsi="Times New Roman" w:cs="Times New Roman"/>
          <w:noProof/>
          <w:sz w:val="20"/>
          <w:szCs w:val="24"/>
        </w:rPr>
        <w:t xml:space="preserve">Bland, L.M., Regan, T.J., Dinh, M.N., Ferrari, R., Keith, D.A., Lester, R., Mouillot, D., Murray, N.J., Nguyen, H.A. &amp; Nicholson, E. (2017). Using multiple lines of evidence to assess the risk of ecosystem collapse. </w:t>
      </w:r>
      <w:r w:rsidRPr="009E0C04">
        <w:rPr>
          <w:rFonts w:ascii="Times New Roman" w:hAnsi="Times New Roman" w:cs="Times New Roman"/>
          <w:i/>
          <w:iCs/>
          <w:noProof/>
          <w:sz w:val="20"/>
          <w:szCs w:val="24"/>
        </w:rPr>
        <w:t>Proceedings. Biol. Sci.</w:t>
      </w:r>
      <w:r w:rsidRPr="009E0C04">
        <w:rPr>
          <w:rFonts w:ascii="Times New Roman" w:hAnsi="Times New Roman" w:cs="Times New Roman"/>
          <w:noProof/>
          <w:sz w:val="20"/>
          <w:szCs w:val="24"/>
        </w:rPr>
        <w:t>, 284, 20170660.</w:t>
      </w:r>
    </w:p>
    <w:p w14:paraId="27403A4E" w14:textId="77777777" w:rsidR="00007564" w:rsidRPr="009E0C04" w:rsidRDefault="00007564" w:rsidP="00007564">
      <w:pPr>
        <w:widowControl w:val="0"/>
        <w:autoSpaceDE w:val="0"/>
        <w:autoSpaceDN w:val="0"/>
        <w:adjustRightInd w:val="0"/>
        <w:spacing w:line="240" w:lineRule="auto"/>
        <w:ind w:left="480" w:hanging="480"/>
        <w:rPr>
          <w:rFonts w:ascii="Times New Roman" w:hAnsi="Times New Roman" w:cs="Times New Roman"/>
          <w:noProof/>
          <w:sz w:val="20"/>
          <w:szCs w:val="24"/>
        </w:rPr>
      </w:pPr>
      <w:r w:rsidRPr="009E0C04">
        <w:rPr>
          <w:rFonts w:ascii="Times New Roman" w:hAnsi="Times New Roman" w:cs="Times New Roman"/>
          <w:noProof/>
          <w:sz w:val="20"/>
          <w:szCs w:val="24"/>
        </w:rPr>
        <w:t xml:space="preserve">Bland, L.M., Watermeyer, K.E., Keith, D.A., Nicholson, E., Regan, T.J. &amp; Shannon, L.J. (2018). Assessing risks to marine ecosystems with indicators, ecosystem models and experts. </w:t>
      </w:r>
      <w:r w:rsidRPr="009E0C04">
        <w:rPr>
          <w:rFonts w:ascii="Times New Roman" w:hAnsi="Times New Roman" w:cs="Times New Roman"/>
          <w:i/>
          <w:iCs/>
          <w:noProof/>
          <w:sz w:val="20"/>
          <w:szCs w:val="24"/>
        </w:rPr>
        <w:t>Biol. Conserv.</w:t>
      </w:r>
      <w:r w:rsidRPr="009E0C04">
        <w:rPr>
          <w:rFonts w:ascii="Times New Roman" w:hAnsi="Times New Roman" w:cs="Times New Roman"/>
          <w:noProof/>
          <w:sz w:val="20"/>
          <w:szCs w:val="24"/>
        </w:rPr>
        <w:t>, 227, 19–28.</w:t>
      </w:r>
    </w:p>
    <w:p w14:paraId="66098FBC" w14:textId="77777777" w:rsidR="00007564" w:rsidRPr="009E0C04" w:rsidRDefault="00007564" w:rsidP="00007564">
      <w:pPr>
        <w:widowControl w:val="0"/>
        <w:autoSpaceDE w:val="0"/>
        <w:autoSpaceDN w:val="0"/>
        <w:adjustRightInd w:val="0"/>
        <w:spacing w:line="240" w:lineRule="auto"/>
        <w:ind w:left="480" w:hanging="480"/>
        <w:rPr>
          <w:rFonts w:ascii="Times New Roman" w:hAnsi="Times New Roman" w:cs="Times New Roman"/>
          <w:noProof/>
          <w:sz w:val="20"/>
          <w:szCs w:val="24"/>
          <w:lang w:val="fr-FR"/>
        </w:rPr>
      </w:pPr>
      <w:r w:rsidRPr="009E0C04">
        <w:rPr>
          <w:rFonts w:ascii="Times New Roman" w:hAnsi="Times New Roman" w:cs="Times New Roman"/>
          <w:noProof/>
          <w:sz w:val="20"/>
          <w:szCs w:val="24"/>
        </w:rPr>
        <w:t xml:space="preserve">Burns, E.L., Lindenmayer, D.B., Stein, J., Blanchard, W., McBurney, L., Blair, D. &amp; Banks, S.C. (2015). Ecosystem assessment of mountain ash forest in the Central Highlands of Victoria, south-eastern Australia. </w:t>
      </w:r>
      <w:r w:rsidRPr="009E0C04">
        <w:rPr>
          <w:rFonts w:ascii="Times New Roman" w:hAnsi="Times New Roman" w:cs="Times New Roman"/>
          <w:i/>
          <w:iCs/>
          <w:noProof/>
          <w:sz w:val="20"/>
          <w:szCs w:val="24"/>
          <w:lang w:val="fr-FR"/>
        </w:rPr>
        <w:t>Austral Ecol.</w:t>
      </w:r>
      <w:r w:rsidRPr="009E0C04">
        <w:rPr>
          <w:rFonts w:ascii="Times New Roman" w:hAnsi="Times New Roman" w:cs="Times New Roman"/>
          <w:noProof/>
          <w:sz w:val="20"/>
          <w:szCs w:val="24"/>
          <w:lang w:val="fr-FR"/>
        </w:rPr>
        <w:t>, 40, 386–399.</w:t>
      </w:r>
    </w:p>
    <w:p w14:paraId="17DC117E" w14:textId="77777777" w:rsidR="00007564" w:rsidRPr="009E0C04" w:rsidRDefault="00007564" w:rsidP="00007564">
      <w:pPr>
        <w:widowControl w:val="0"/>
        <w:autoSpaceDE w:val="0"/>
        <w:autoSpaceDN w:val="0"/>
        <w:adjustRightInd w:val="0"/>
        <w:spacing w:line="240" w:lineRule="auto"/>
        <w:ind w:left="480" w:hanging="480"/>
        <w:rPr>
          <w:rFonts w:ascii="Times New Roman" w:hAnsi="Times New Roman" w:cs="Times New Roman"/>
          <w:noProof/>
          <w:sz w:val="20"/>
          <w:szCs w:val="24"/>
          <w:lang w:val="fr-FR"/>
        </w:rPr>
      </w:pPr>
      <w:r w:rsidRPr="009E0C04">
        <w:rPr>
          <w:rFonts w:ascii="Times New Roman" w:hAnsi="Times New Roman" w:cs="Times New Roman"/>
          <w:noProof/>
          <w:sz w:val="20"/>
          <w:szCs w:val="24"/>
          <w:lang w:val="fr-FR"/>
        </w:rPr>
        <w:t xml:space="preserve">Carré, A., Poulin, B. &amp; Peguin, M. (2012). </w:t>
      </w:r>
      <w:r w:rsidRPr="009E0C04">
        <w:rPr>
          <w:rFonts w:ascii="Times New Roman" w:hAnsi="Times New Roman" w:cs="Times New Roman"/>
          <w:i/>
          <w:iCs/>
          <w:noProof/>
          <w:sz w:val="20"/>
          <w:szCs w:val="24"/>
          <w:lang w:val="fr-FR"/>
        </w:rPr>
        <w:t>Liste Rouge des Écosystèmes de l’UICN. Exercice d’application sur quelques écosystèmes de Zones Humides de France métropolitaine.</w:t>
      </w:r>
    </w:p>
    <w:p w14:paraId="7097BB5A" w14:textId="77777777" w:rsidR="00007564" w:rsidRPr="009E0C04" w:rsidRDefault="00007564" w:rsidP="00007564">
      <w:pPr>
        <w:widowControl w:val="0"/>
        <w:autoSpaceDE w:val="0"/>
        <w:autoSpaceDN w:val="0"/>
        <w:adjustRightInd w:val="0"/>
        <w:spacing w:line="240" w:lineRule="auto"/>
        <w:ind w:left="480" w:hanging="480"/>
        <w:rPr>
          <w:rFonts w:ascii="Times New Roman" w:hAnsi="Times New Roman" w:cs="Times New Roman"/>
          <w:noProof/>
          <w:sz w:val="20"/>
          <w:szCs w:val="24"/>
        </w:rPr>
      </w:pPr>
      <w:r w:rsidRPr="009E0C04">
        <w:rPr>
          <w:rFonts w:ascii="Times New Roman" w:hAnsi="Times New Roman" w:cs="Times New Roman"/>
          <w:noProof/>
          <w:sz w:val="20"/>
          <w:szCs w:val="24"/>
        </w:rPr>
        <w:t xml:space="preserve">Clark, G.F., Raymond, B., Riddle, M.J., Stark, J.S. &amp; Johnston, E.L. (2015). Vulnerability of Antarctic shallow invertebrate-dominated ecosystems. </w:t>
      </w:r>
      <w:r w:rsidRPr="009E0C04">
        <w:rPr>
          <w:rFonts w:ascii="Times New Roman" w:hAnsi="Times New Roman" w:cs="Times New Roman"/>
          <w:i/>
          <w:iCs/>
          <w:noProof/>
          <w:sz w:val="20"/>
          <w:szCs w:val="24"/>
        </w:rPr>
        <w:t>Austral Ecol.</w:t>
      </w:r>
      <w:r w:rsidRPr="009E0C04">
        <w:rPr>
          <w:rFonts w:ascii="Times New Roman" w:hAnsi="Times New Roman" w:cs="Times New Roman"/>
          <w:noProof/>
          <w:sz w:val="20"/>
          <w:szCs w:val="24"/>
        </w:rPr>
        <w:t>, 40, 482–491.</w:t>
      </w:r>
    </w:p>
    <w:p w14:paraId="07FB6ED3" w14:textId="77777777" w:rsidR="00007564" w:rsidRPr="009E0C04" w:rsidRDefault="00007564" w:rsidP="00007564">
      <w:pPr>
        <w:widowControl w:val="0"/>
        <w:autoSpaceDE w:val="0"/>
        <w:autoSpaceDN w:val="0"/>
        <w:adjustRightInd w:val="0"/>
        <w:spacing w:line="240" w:lineRule="auto"/>
        <w:ind w:left="480" w:hanging="480"/>
        <w:rPr>
          <w:rFonts w:ascii="Times New Roman" w:hAnsi="Times New Roman" w:cs="Times New Roman"/>
          <w:noProof/>
          <w:sz w:val="20"/>
          <w:szCs w:val="24"/>
        </w:rPr>
      </w:pPr>
      <w:r w:rsidRPr="009E0C04">
        <w:rPr>
          <w:rFonts w:ascii="Times New Roman" w:hAnsi="Times New Roman" w:cs="Times New Roman"/>
          <w:noProof/>
          <w:sz w:val="20"/>
          <w:szCs w:val="24"/>
        </w:rPr>
        <w:t xml:space="preserve">English, V. &amp; Keith, D.A. (2015). Assessing risks to ecosystems within biodiversity hotspots: a case study from southwestern Australia. </w:t>
      </w:r>
      <w:r w:rsidRPr="009E0C04">
        <w:rPr>
          <w:rFonts w:ascii="Times New Roman" w:hAnsi="Times New Roman" w:cs="Times New Roman"/>
          <w:i/>
          <w:iCs/>
          <w:noProof/>
          <w:sz w:val="20"/>
          <w:szCs w:val="24"/>
        </w:rPr>
        <w:t>Austral Ecol.</w:t>
      </w:r>
      <w:r w:rsidRPr="009E0C04">
        <w:rPr>
          <w:rFonts w:ascii="Times New Roman" w:hAnsi="Times New Roman" w:cs="Times New Roman"/>
          <w:noProof/>
          <w:sz w:val="20"/>
          <w:szCs w:val="24"/>
        </w:rPr>
        <w:t>, 40, 411–422.</w:t>
      </w:r>
    </w:p>
    <w:p w14:paraId="53D74355" w14:textId="77777777" w:rsidR="00007564" w:rsidRPr="009E0C04" w:rsidRDefault="00007564" w:rsidP="00007564">
      <w:pPr>
        <w:widowControl w:val="0"/>
        <w:autoSpaceDE w:val="0"/>
        <w:autoSpaceDN w:val="0"/>
        <w:adjustRightInd w:val="0"/>
        <w:spacing w:line="240" w:lineRule="auto"/>
        <w:ind w:left="480" w:hanging="480"/>
        <w:rPr>
          <w:rFonts w:ascii="Times New Roman" w:hAnsi="Times New Roman" w:cs="Times New Roman"/>
          <w:noProof/>
          <w:sz w:val="20"/>
          <w:szCs w:val="24"/>
        </w:rPr>
      </w:pPr>
      <w:r w:rsidRPr="009E0C04">
        <w:rPr>
          <w:rFonts w:ascii="Times New Roman" w:hAnsi="Times New Roman" w:cs="Times New Roman"/>
          <w:noProof/>
          <w:sz w:val="20"/>
          <w:szCs w:val="24"/>
        </w:rPr>
        <w:t xml:space="preserve">Keith, D.A., Rodríguez, J.P., Rodríguez-Clark, K.M., Nicholson, E., Aapala, K., Alonso, A., Asmussen, M., Bachman, S., Basset, A., Barrow, E.G., Benson, J.S., Bishop, M.J., Bonifacio, R., Brooks, T.M., Burgman, M.A., Comer, P., Comín, F.A., Essl, F., Faber-Langendoen, D., Fairweather, P.G., Holdaway, R.J., Jennings, M., Kingsford, R.T., Lester, R.E., Nally, R. Mac, McCarthy, M.A., Moat, J., Oliveira-Miranda, M.A., Pisanu, P., Poulin, B., Regan, T.J., Riecken, U., Spalding, M.D. &amp; Zambrano-Martínez, S. (2013). Scientific Foundations for an IUCN Red List of Ecosystems. </w:t>
      </w:r>
      <w:r w:rsidRPr="009E0C04">
        <w:rPr>
          <w:rFonts w:ascii="Times New Roman" w:hAnsi="Times New Roman" w:cs="Times New Roman"/>
          <w:i/>
          <w:iCs/>
          <w:noProof/>
          <w:sz w:val="20"/>
          <w:szCs w:val="24"/>
        </w:rPr>
        <w:t>PLoS One</w:t>
      </w:r>
      <w:r w:rsidRPr="009E0C04">
        <w:rPr>
          <w:rFonts w:ascii="Times New Roman" w:hAnsi="Times New Roman" w:cs="Times New Roman"/>
          <w:noProof/>
          <w:sz w:val="20"/>
          <w:szCs w:val="24"/>
        </w:rPr>
        <w:t>, 8, e62111.</w:t>
      </w:r>
    </w:p>
    <w:p w14:paraId="043EF3F1" w14:textId="77777777" w:rsidR="00007564" w:rsidRPr="009E0C04" w:rsidRDefault="00007564" w:rsidP="00007564">
      <w:pPr>
        <w:widowControl w:val="0"/>
        <w:autoSpaceDE w:val="0"/>
        <w:autoSpaceDN w:val="0"/>
        <w:adjustRightInd w:val="0"/>
        <w:spacing w:line="240" w:lineRule="auto"/>
        <w:ind w:left="480" w:hanging="480"/>
        <w:rPr>
          <w:rFonts w:ascii="Times New Roman" w:hAnsi="Times New Roman" w:cs="Times New Roman"/>
          <w:noProof/>
          <w:sz w:val="20"/>
          <w:szCs w:val="24"/>
        </w:rPr>
      </w:pPr>
      <w:r w:rsidRPr="009E0C04">
        <w:rPr>
          <w:rFonts w:ascii="Times New Roman" w:hAnsi="Times New Roman" w:cs="Times New Roman"/>
          <w:noProof/>
          <w:sz w:val="20"/>
          <w:szCs w:val="24"/>
        </w:rPr>
        <w:t xml:space="preserve">Mahoney, P.C. &amp; Bishop, M.J. (2017). Assessing risk of estuarine ecosystem collapse. </w:t>
      </w:r>
      <w:r w:rsidRPr="009E0C04">
        <w:rPr>
          <w:rFonts w:ascii="Times New Roman" w:hAnsi="Times New Roman" w:cs="Times New Roman"/>
          <w:i/>
          <w:iCs/>
          <w:noProof/>
          <w:sz w:val="20"/>
          <w:szCs w:val="24"/>
        </w:rPr>
        <w:t>Ocean Coast. Manag.</w:t>
      </w:r>
      <w:r w:rsidRPr="009E0C04">
        <w:rPr>
          <w:rFonts w:ascii="Times New Roman" w:hAnsi="Times New Roman" w:cs="Times New Roman"/>
          <w:noProof/>
          <w:sz w:val="20"/>
          <w:szCs w:val="24"/>
        </w:rPr>
        <w:t>, 140, 46–58.</w:t>
      </w:r>
    </w:p>
    <w:p w14:paraId="7E2112C7" w14:textId="77777777" w:rsidR="00007564" w:rsidRPr="009E0C04" w:rsidRDefault="00007564" w:rsidP="00007564">
      <w:pPr>
        <w:widowControl w:val="0"/>
        <w:autoSpaceDE w:val="0"/>
        <w:autoSpaceDN w:val="0"/>
        <w:adjustRightInd w:val="0"/>
        <w:spacing w:line="240" w:lineRule="auto"/>
        <w:ind w:left="480" w:hanging="480"/>
        <w:rPr>
          <w:rFonts w:ascii="Times New Roman" w:hAnsi="Times New Roman" w:cs="Times New Roman"/>
          <w:noProof/>
          <w:sz w:val="20"/>
          <w:szCs w:val="24"/>
        </w:rPr>
      </w:pPr>
      <w:r w:rsidRPr="009E0C04">
        <w:rPr>
          <w:rFonts w:ascii="Times New Roman" w:hAnsi="Times New Roman" w:cs="Times New Roman"/>
          <w:noProof/>
          <w:sz w:val="20"/>
          <w:szCs w:val="24"/>
        </w:rPr>
        <w:t xml:space="preserve">Marshall, A., Schulte to Bühne, H., Bland, L. &amp; Pettorelli, N. (2018). Assessing ecosystem collapse risk in ecosystems dominated by foundation species: The case of fringe mangroves. </w:t>
      </w:r>
      <w:r w:rsidRPr="009E0C04">
        <w:rPr>
          <w:rFonts w:ascii="Times New Roman" w:hAnsi="Times New Roman" w:cs="Times New Roman"/>
          <w:i/>
          <w:iCs/>
          <w:noProof/>
          <w:sz w:val="20"/>
          <w:szCs w:val="24"/>
        </w:rPr>
        <w:t>Ecol. Indic.</w:t>
      </w:r>
      <w:r w:rsidRPr="009E0C04">
        <w:rPr>
          <w:rFonts w:ascii="Times New Roman" w:hAnsi="Times New Roman" w:cs="Times New Roman"/>
          <w:noProof/>
          <w:sz w:val="20"/>
          <w:szCs w:val="24"/>
        </w:rPr>
        <w:t>, 91, 128–137.</w:t>
      </w:r>
    </w:p>
    <w:p w14:paraId="55DA5F44" w14:textId="77777777" w:rsidR="00007564" w:rsidRPr="009E0C04" w:rsidRDefault="00007564" w:rsidP="00007564">
      <w:pPr>
        <w:widowControl w:val="0"/>
        <w:autoSpaceDE w:val="0"/>
        <w:autoSpaceDN w:val="0"/>
        <w:adjustRightInd w:val="0"/>
        <w:spacing w:line="240" w:lineRule="auto"/>
        <w:ind w:left="480" w:hanging="480"/>
        <w:rPr>
          <w:rFonts w:ascii="Times New Roman" w:hAnsi="Times New Roman" w:cs="Times New Roman"/>
          <w:noProof/>
          <w:sz w:val="20"/>
          <w:szCs w:val="24"/>
        </w:rPr>
      </w:pPr>
      <w:r w:rsidRPr="009E0C04">
        <w:rPr>
          <w:rFonts w:ascii="Times New Roman" w:hAnsi="Times New Roman" w:cs="Times New Roman"/>
          <w:noProof/>
          <w:sz w:val="20"/>
          <w:szCs w:val="24"/>
        </w:rPr>
        <w:t xml:space="preserve">Metcalfe, D.J. &amp; Lawson, T.J. (2015). An International Union for Conservation of Nature risk assessment of coastal lowland rainforests of the Wet Tropics Bioregion, Queensland, Australia. </w:t>
      </w:r>
      <w:r w:rsidRPr="009E0C04">
        <w:rPr>
          <w:rFonts w:ascii="Times New Roman" w:hAnsi="Times New Roman" w:cs="Times New Roman"/>
          <w:i/>
          <w:iCs/>
          <w:noProof/>
          <w:sz w:val="20"/>
          <w:szCs w:val="24"/>
        </w:rPr>
        <w:t>Austral Ecol.</w:t>
      </w:r>
      <w:r w:rsidRPr="009E0C04">
        <w:rPr>
          <w:rFonts w:ascii="Times New Roman" w:hAnsi="Times New Roman" w:cs="Times New Roman"/>
          <w:noProof/>
          <w:sz w:val="20"/>
          <w:szCs w:val="24"/>
        </w:rPr>
        <w:t>, 40, 373–385.</w:t>
      </w:r>
    </w:p>
    <w:p w14:paraId="3585A106" w14:textId="77777777" w:rsidR="00007564" w:rsidRPr="009E0C04" w:rsidRDefault="00007564" w:rsidP="00007564">
      <w:pPr>
        <w:widowControl w:val="0"/>
        <w:autoSpaceDE w:val="0"/>
        <w:autoSpaceDN w:val="0"/>
        <w:adjustRightInd w:val="0"/>
        <w:spacing w:line="240" w:lineRule="auto"/>
        <w:ind w:left="480" w:hanging="480"/>
        <w:rPr>
          <w:rFonts w:ascii="Times New Roman" w:hAnsi="Times New Roman" w:cs="Times New Roman"/>
          <w:noProof/>
          <w:sz w:val="20"/>
          <w:szCs w:val="24"/>
        </w:rPr>
      </w:pPr>
      <w:r w:rsidRPr="009E0C04">
        <w:rPr>
          <w:rFonts w:ascii="Times New Roman" w:hAnsi="Times New Roman" w:cs="Times New Roman"/>
          <w:noProof/>
          <w:sz w:val="20"/>
          <w:szCs w:val="24"/>
        </w:rPr>
        <w:t xml:space="preserve">Murray, N.J., Ma, Z. &amp; Fuller, R.A. (2015). Tidal flats of the Yellow Sea: A review of ecosystem status and anthropogenic threats. </w:t>
      </w:r>
      <w:r w:rsidRPr="009E0C04">
        <w:rPr>
          <w:rFonts w:ascii="Times New Roman" w:hAnsi="Times New Roman" w:cs="Times New Roman"/>
          <w:i/>
          <w:iCs/>
          <w:noProof/>
          <w:sz w:val="20"/>
          <w:szCs w:val="24"/>
        </w:rPr>
        <w:t>Austral Ecol.</w:t>
      </w:r>
      <w:r w:rsidRPr="009E0C04">
        <w:rPr>
          <w:rFonts w:ascii="Times New Roman" w:hAnsi="Times New Roman" w:cs="Times New Roman"/>
          <w:noProof/>
          <w:sz w:val="20"/>
          <w:szCs w:val="24"/>
        </w:rPr>
        <w:t>, 40, 472–481.</w:t>
      </w:r>
    </w:p>
    <w:p w14:paraId="627F3D8B" w14:textId="77777777" w:rsidR="00007564" w:rsidRPr="009E0C04" w:rsidRDefault="00007564" w:rsidP="00007564">
      <w:pPr>
        <w:widowControl w:val="0"/>
        <w:autoSpaceDE w:val="0"/>
        <w:autoSpaceDN w:val="0"/>
        <w:adjustRightInd w:val="0"/>
        <w:spacing w:line="240" w:lineRule="auto"/>
        <w:ind w:left="480" w:hanging="480"/>
        <w:rPr>
          <w:rFonts w:ascii="Times New Roman" w:hAnsi="Times New Roman" w:cs="Times New Roman"/>
          <w:noProof/>
          <w:sz w:val="20"/>
          <w:szCs w:val="24"/>
        </w:rPr>
      </w:pPr>
      <w:r w:rsidRPr="009E0C04">
        <w:rPr>
          <w:rFonts w:ascii="Times New Roman" w:hAnsi="Times New Roman" w:cs="Times New Roman"/>
          <w:noProof/>
          <w:sz w:val="20"/>
          <w:szCs w:val="24"/>
        </w:rPr>
        <w:t xml:space="preserve">Pisanu, P., Kingsford, R.T., Wilson, B. &amp; Bonifacio, R. (2015). Status of connected wetlands of the Lake Eyre Basin, Australia. </w:t>
      </w:r>
      <w:r w:rsidRPr="009E0C04">
        <w:rPr>
          <w:rFonts w:ascii="Times New Roman" w:hAnsi="Times New Roman" w:cs="Times New Roman"/>
          <w:i/>
          <w:iCs/>
          <w:noProof/>
          <w:sz w:val="20"/>
          <w:szCs w:val="24"/>
        </w:rPr>
        <w:t>Austral Ecol.</w:t>
      </w:r>
      <w:r w:rsidRPr="009E0C04">
        <w:rPr>
          <w:rFonts w:ascii="Times New Roman" w:hAnsi="Times New Roman" w:cs="Times New Roman"/>
          <w:noProof/>
          <w:sz w:val="20"/>
          <w:szCs w:val="24"/>
        </w:rPr>
        <w:t>, 40, 460–471.</w:t>
      </w:r>
    </w:p>
    <w:p w14:paraId="4668D995" w14:textId="77777777" w:rsidR="00007564" w:rsidRPr="009E0C04" w:rsidRDefault="00007564" w:rsidP="00007564">
      <w:pPr>
        <w:widowControl w:val="0"/>
        <w:autoSpaceDE w:val="0"/>
        <w:autoSpaceDN w:val="0"/>
        <w:adjustRightInd w:val="0"/>
        <w:spacing w:line="240" w:lineRule="auto"/>
        <w:ind w:left="480" w:hanging="480"/>
        <w:rPr>
          <w:rFonts w:ascii="Times New Roman" w:hAnsi="Times New Roman" w:cs="Times New Roman"/>
          <w:noProof/>
          <w:sz w:val="20"/>
          <w:szCs w:val="24"/>
        </w:rPr>
      </w:pPr>
      <w:r w:rsidRPr="009E0C04">
        <w:rPr>
          <w:rFonts w:ascii="Times New Roman" w:hAnsi="Times New Roman" w:cs="Times New Roman"/>
          <w:noProof/>
          <w:sz w:val="20"/>
          <w:szCs w:val="24"/>
        </w:rPr>
        <w:t xml:space="preserve">Rowland, J.A. (2018). Biodiversity indicators for ecosystems to support global conservation targets. </w:t>
      </w:r>
      <w:r w:rsidRPr="009E0C04">
        <w:rPr>
          <w:rFonts w:ascii="Times New Roman" w:hAnsi="Times New Roman" w:cs="Times New Roman"/>
          <w:i/>
          <w:iCs/>
          <w:noProof/>
          <w:sz w:val="20"/>
          <w:szCs w:val="24"/>
        </w:rPr>
        <w:t>in prep.</w:t>
      </w:r>
    </w:p>
    <w:p w14:paraId="3F700C09" w14:textId="77777777" w:rsidR="00007564" w:rsidRPr="009E0C04" w:rsidRDefault="00007564" w:rsidP="00007564">
      <w:pPr>
        <w:widowControl w:val="0"/>
        <w:autoSpaceDE w:val="0"/>
        <w:autoSpaceDN w:val="0"/>
        <w:adjustRightInd w:val="0"/>
        <w:spacing w:line="240" w:lineRule="auto"/>
        <w:ind w:left="480" w:hanging="480"/>
        <w:rPr>
          <w:rFonts w:ascii="Times New Roman" w:hAnsi="Times New Roman" w:cs="Times New Roman"/>
          <w:noProof/>
          <w:sz w:val="20"/>
          <w:szCs w:val="24"/>
        </w:rPr>
      </w:pPr>
      <w:r w:rsidRPr="009E0C04">
        <w:rPr>
          <w:rFonts w:ascii="Times New Roman" w:hAnsi="Times New Roman" w:cs="Times New Roman"/>
          <w:noProof/>
          <w:sz w:val="20"/>
          <w:szCs w:val="24"/>
        </w:rPr>
        <w:t xml:space="preserve">Tozer, M.G., Leishman, M.R. &amp; Auld, T.D. (2015). Ecosystem risk assessment for Cumberland Plain Woodland, New South Wales, Australia. </w:t>
      </w:r>
      <w:r w:rsidRPr="009E0C04">
        <w:rPr>
          <w:rFonts w:ascii="Times New Roman" w:hAnsi="Times New Roman" w:cs="Times New Roman"/>
          <w:i/>
          <w:iCs/>
          <w:noProof/>
          <w:sz w:val="20"/>
          <w:szCs w:val="24"/>
        </w:rPr>
        <w:t>Austral Ecol.</w:t>
      </w:r>
      <w:r w:rsidRPr="009E0C04">
        <w:rPr>
          <w:rFonts w:ascii="Times New Roman" w:hAnsi="Times New Roman" w:cs="Times New Roman"/>
          <w:noProof/>
          <w:sz w:val="20"/>
          <w:szCs w:val="24"/>
        </w:rPr>
        <w:t>, 40, 400–410.</w:t>
      </w:r>
    </w:p>
    <w:p w14:paraId="488A861E" w14:textId="77777777" w:rsidR="00007564" w:rsidRPr="009E0C04" w:rsidRDefault="00007564" w:rsidP="00007564">
      <w:pPr>
        <w:widowControl w:val="0"/>
        <w:autoSpaceDE w:val="0"/>
        <w:autoSpaceDN w:val="0"/>
        <w:adjustRightInd w:val="0"/>
        <w:spacing w:line="240" w:lineRule="auto"/>
        <w:ind w:left="480" w:hanging="480"/>
        <w:rPr>
          <w:rFonts w:ascii="Times New Roman" w:hAnsi="Times New Roman" w:cs="Times New Roman"/>
          <w:noProof/>
          <w:sz w:val="20"/>
          <w:szCs w:val="24"/>
        </w:rPr>
      </w:pPr>
      <w:r w:rsidRPr="009E0C04">
        <w:rPr>
          <w:rFonts w:ascii="Times New Roman" w:hAnsi="Times New Roman" w:cs="Times New Roman"/>
          <w:noProof/>
          <w:sz w:val="20"/>
          <w:szCs w:val="24"/>
        </w:rPr>
        <w:t xml:space="preserve">Wardle, G.M., Greenville, A.C., Frank, A.S.K., Tischler, M., Emery, N.J. &amp; Dickman, C.R. (2015). Ecosystem risk assessment of Georgina gidgee woodlands in central Australia. </w:t>
      </w:r>
      <w:r w:rsidRPr="009E0C04">
        <w:rPr>
          <w:rFonts w:ascii="Times New Roman" w:hAnsi="Times New Roman" w:cs="Times New Roman"/>
          <w:i/>
          <w:iCs/>
          <w:noProof/>
          <w:sz w:val="20"/>
          <w:szCs w:val="24"/>
        </w:rPr>
        <w:t>Austral Ecol.</w:t>
      </w:r>
      <w:r w:rsidRPr="009E0C04">
        <w:rPr>
          <w:rFonts w:ascii="Times New Roman" w:hAnsi="Times New Roman" w:cs="Times New Roman"/>
          <w:noProof/>
          <w:sz w:val="20"/>
          <w:szCs w:val="24"/>
        </w:rPr>
        <w:t>, 40, 444–459.</w:t>
      </w:r>
    </w:p>
    <w:p w14:paraId="0548065E" w14:textId="77777777" w:rsidR="00007564" w:rsidRPr="009E0C04" w:rsidRDefault="00007564" w:rsidP="00007564">
      <w:pPr>
        <w:widowControl w:val="0"/>
        <w:autoSpaceDE w:val="0"/>
        <w:autoSpaceDN w:val="0"/>
        <w:adjustRightInd w:val="0"/>
        <w:spacing w:line="240" w:lineRule="auto"/>
        <w:ind w:left="480" w:hanging="480"/>
        <w:rPr>
          <w:rFonts w:ascii="Times New Roman" w:hAnsi="Times New Roman" w:cs="Times New Roman"/>
          <w:noProof/>
          <w:sz w:val="20"/>
        </w:rPr>
      </w:pPr>
      <w:r w:rsidRPr="009E0C04">
        <w:rPr>
          <w:rFonts w:ascii="Times New Roman" w:hAnsi="Times New Roman" w:cs="Times New Roman"/>
          <w:noProof/>
          <w:sz w:val="20"/>
          <w:szCs w:val="24"/>
        </w:rPr>
        <w:t xml:space="preserve">Williams, R.J., Wahren, C.-H., Stott, K.A.J., Camac, J.S., White, M., Burns, E., Harris, S., Nash, M., Morgan, J.W., Venn, S., Papst, W.A. &amp; Hoffmann, A.A. (2015). An International Union for the Conservation of Nature Red List ecosystems risk assessment for alpine snow patch herbfields, South-Eastern Australia. </w:t>
      </w:r>
      <w:r w:rsidRPr="009E0C04">
        <w:rPr>
          <w:rFonts w:ascii="Times New Roman" w:hAnsi="Times New Roman" w:cs="Times New Roman"/>
          <w:i/>
          <w:iCs/>
          <w:noProof/>
          <w:sz w:val="20"/>
          <w:szCs w:val="24"/>
        </w:rPr>
        <w:t>Austral Ecol.</w:t>
      </w:r>
      <w:r w:rsidRPr="009E0C04">
        <w:rPr>
          <w:rFonts w:ascii="Times New Roman" w:hAnsi="Times New Roman" w:cs="Times New Roman"/>
          <w:noProof/>
          <w:sz w:val="20"/>
          <w:szCs w:val="24"/>
        </w:rPr>
        <w:t>, 40, 433–443.</w:t>
      </w:r>
    </w:p>
    <w:p w14:paraId="0DE71728" w14:textId="3E2A9156" w:rsidR="00B25C8E" w:rsidRPr="00B25C8E" w:rsidRDefault="009B267D" w:rsidP="009B267D">
      <w:pPr>
        <w:spacing w:line="276" w:lineRule="auto"/>
        <w:rPr>
          <w:rFonts w:ascii="Times New Roman" w:hAnsi="Times New Roman" w:cs="Times New Roman"/>
          <w:b/>
        </w:rPr>
      </w:pPr>
      <w:r w:rsidRPr="009E0C04">
        <w:rPr>
          <w:rFonts w:ascii="Times New Roman" w:hAnsi="Times New Roman" w:cs="Times New Roman"/>
          <w:b/>
          <w:sz w:val="20"/>
        </w:rPr>
        <w:fldChar w:fldCharType="end"/>
      </w:r>
    </w:p>
    <w:sectPr w:rsidR="00B25C8E" w:rsidRPr="00B25C8E" w:rsidSect="005E5C8A">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3EAB3" w14:textId="77777777" w:rsidR="008907E3" w:rsidRDefault="008907E3">
      <w:pPr>
        <w:spacing w:after="0" w:line="240" w:lineRule="auto"/>
      </w:pPr>
      <w:r>
        <w:separator/>
      </w:r>
    </w:p>
  </w:endnote>
  <w:endnote w:type="continuationSeparator" w:id="0">
    <w:p w14:paraId="10211B95" w14:textId="77777777" w:rsidR="008907E3" w:rsidRDefault="00890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039321"/>
      <w:docPartObj>
        <w:docPartGallery w:val="Page Numbers (Bottom of Page)"/>
        <w:docPartUnique/>
      </w:docPartObj>
    </w:sdtPr>
    <w:sdtEndPr>
      <w:rPr>
        <w:noProof/>
      </w:rPr>
    </w:sdtEndPr>
    <w:sdtContent>
      <w:p w14:paraId="24077763" w14:textId="20211D7E" w:rsidR="005E5C8A" w:rsidRDefault="005E5C8A">
        <w:pPr>
          <w:pStyle w:val="Footer"/>
        </w:pPr>
        <w:r>
          <w:rPr>
            <w:noProof/>
          </w:rPr>
          <w:fldChar w:fldCharType="begin"/>
        </w:r>
        <w:r>
          <w:rPr>
            <w:noProof/>
          </w:rPr>
          <w:instrText xml:space="preserve"> PAGE   \* MERGEFORMAT </w:instrText>
        </w:r>
        <w:r>
          <w:rPr>
            <w:noProof/>
          </w:rPr>
          <w:fldChar w:fldCharType="separate"/>
        </w:r>
        <w:r w:rsidR="009A7ADC">
          <w:rPr>
            <w:noProof/>
          </w:rPr>
          <w:t>6</w:t>
        </w:r>
        <w:r>
          <w:rPr>
            <w:noProof/>
          </w:rPr>
          <w:fldChar w:fldCharType="end"/>
        </w:r>
      </w:p>
    </w:sdtContent>
  </w:sdt>
  <w:p w14:paraId="4D7BCBB5" w14:textId="77777777" w:rsidR="005E5C8A" w:rsidRDefault="005E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A4977" w14:textId="77777777" w:rsidR="008907E3" w:rsidRDefault="008907E3">
      <w:pPr>
        <w:spacing w:after="0" w:line="240" w:lineRule="auto"/>
      </w:pPr>
      <w:r>
        <w:separator/>
      </w:r>
    </w:p>
  </w:footnote>
  <w:footnote w:type="continuationSeparator" w:id="0">
    <w:p w14:paraId="65CFC15B" w14:textId="77777777" w:rsidR="008907E3" w:rsidRDefault="00890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D4A0D"/>
    <w:multiLevelType w:val="hybridMultilevel"/>
    <w:tmpl w:val="8C541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xtTC3NDM2MjY0MjJS0lEKTi0uzszPAykwrAUAGEp13SwAAAA="/>
  </w:docVars>
  <w:rsids>
    <w:rsidRoot w:val="00B25C8E"/>
    <w:rsid w:val="00007564"/>
    <w:rsid w:val="00050C03"/>
    <w:rsid w:val="001D328C"/>
    <w:rsid w:val="00576C58"/>
    <w:rsid w:val="005E5C8A"/>
    <w:rsid w:val="00637D1C"/>
    <w:rsid w:val="00847F69"/>
    <w:rsid w:val="008907E3"/>
    <w:rsid w:val="009A7ADC"/>
    <w:rsid w:val="009B267D"/>
    <w:rsid w:val="009E0C04"/>
    <w:rsid w:val="00B25C8E"/>
    <w:rsid w:val="00B53C47"/>
    <w:rsid w:val="00D74957"/>
    <w:rsid w:val="00DD7FC1"/>
    <w:rsid w:val="00ED4DBA"/>
    <w:rsid w:val="00EE7E51"/>
    <w:rsid w:val="00F8109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777F7"/>
  <w15:chartTrackingRefBased/>
  <w15:docId w15:val="{14552B9C-002C-4A31-8841-0EC12E8A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C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5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C8E"/>
    <w:rPr>
      <w:lang w:val="en-US"/>
    </w:rPr>
  </w:style>
  <w:style w:type="character" w:styleId="CommentReference">
    <w:name w:val="annotation reference"/>
    <w:basedOn w:val="DefaultParagraphFont"/>
    <w:uiPriority w:val="99"/>
    <w:semiHidden/>
    <w:unhideWhenUsed/>
    <w:rsid w:val="00B25C8E"/>
    <w:rPr>
      <w:sz w:val="16"/>
      <w:szCs w:val="16"/>
    </w:rPr>
  </w:style>
  <w:style w:type="paragraph" w:styleId="CommentText">
    <w:name w:val="annotation text"/>
    <w:basedOn w:val="Normal"/>
    <w:link w:val="CommentTextChar"/>
    <w:uiPriority w:val="99"/>
    <w:unhideWhenUsed/>
    <w:rsid w:val="00B25C8E"/>
    <w:pPr>
      <w:spacing w:line="240" w:lineRule="auto"/>
    </w:pPr>
    <w:rPr>
      <w:sz w:val="20"/>
      <w:szCs w:val="20"/>
    </w:rPr>
  </w:style>
  <w:style w:type="character" w:customStyle="1" w:styleId="CommentTextChar">
    <w:name w:val="Comment Text Char"/>
    <w:basedOn w:val="DefaultParagraphFont"/>
    <w:link w:val="CommentText"/>
    <w:uiPriority w:val="99"/>
    <w:rsid w:val="00B25C8E"/>
    <w:rPr>
      <w:sz w:val="20"/>
      <w:szCs w:val="20"/>
      <w:lang w:val="en-US"/>
    </w:rPr>
  </w:style>
  <w:style w:type="table" w:styleId="TableGrid">
    <w:name w:val="Table Grid"/>
    <w:basedOn w:val="TableNormal"/>
    <w:uiPriority w:val="39"/>
    <w:rsid w:val="00B25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25C8E"/>
  </w:style>
  <w:style w:type="paragraph" w:styleId="BalloonText">
    <w:name w:val="Balloon Text"/>
    <w:basedOn w:val="Normal"/>
    <w:link w:val="BalloonTextChar"/>
    <w:uiPriority w:val="99"/>
    <w:semiHidden/>
    <w:unhideWhenUsed/>
    <w:rsid w:val="00B25C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8E"/>
    <w:rPr>
      <w:rFonts w:ascii="Segoe UI" w:hAnsi="Segoe UI" w:cs="Segoe UI"/>
      <w:sz w:val="18"/>
      <w:szCs w:val="18"/>
      <w:lang w:val="en-US"/>
    </w:rPr>
  </w:style>
  <w:style w:type="paragraph" w:styleId="ListParagraph">
    <w:name w:val="List Paragraph"/>
    <w:basedOn w:val="Normal"/>
    <w:uiPriority w:val="34"/>
    <w:qFormat/>
    <w:rsid w:val="00B53C47"/>
    <w:pPr>
      <w:ind w:left="720"/>
      <w:contextualSpacing/>
    </w:pPr>
  </w:style>
  <w:style w:type="paragraph" w:styleId="CommentSubject">
    <w:name w:val="annotation subject"/>
    <w:basedOn w:val="CommentText"/>
    <w:next w:val="CommentText"/>
    <w:link w:val="CommentSubjectChar"/>
    <w:uiPriority w:val="99"/>
    <w:semiHidden/>
    <w:unhideWhenUsed/>
    <w:rsid w:val="00007564"/>
    <w:rPr>
      <w:b/>
      <w:bCs/>
    </w:rPr>
  </w:style>
  <w:style w:type="character" w:customStyle="1" w:styleId="CommentSubjectChar">
    <w:name w:val="Comment Subject Char"/>
    <w:basedOn w:val="CommentTextChar"/>
    <w:link w:val="CommentSubject"/>
    <w:uiPriority w:val="99"/>
    <w:semiHidden/>
    <w:rsid w:val="0000756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C9C76-CDAD-4846-A937-6F846FBE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6</Pages>
  <Words>29520</Words>
  <Characters>168267</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
    </vt:vector>
  </TitlesOfParts>
  <Company>Deakin University</Company>
  <LinksUpToDate>false</LinksUpToDate>
  <CharactersWithSpaces>197393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Lucie Bland</cp:lastModifiedBy>
  <cp:revision>8</cp:revision>
  <dcterms:created xsi:type="dcterms:W3CDTF">2018-10-25T03:41:00Z</dcterms:created>
  <dcterms:modified xsi:type="dcterms:W3CDTF">2018-12-05T04:57:00Z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cf8bef8b-fafd-397e-86a8-652b32efdc7f</vt:lpwstr>
  </property>
  <property fmtid="{D5CDD505-2E9C-101B-9397-08002B2CF9AE}" pid="4" name="Mendeley Citation Style_1">
    <vt:lpwstr>http://www.zotero.org/styles/conservation-letters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http://www.zotero.org/styles/conservation-letters</vt:lpwstr>
  </property>
  <property fmtid="{D5CDD505-2E9C-101B-9397-08002B2CF9AE}" pid="18" name="Mendeley Recent Style Name 6_1">
    <vt:lpwstr>Conservation Letters</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