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BB0" w:rsidRPr="00B87BB0" w:rsidRDefault="00B87BB0" w:rsidP="001238A1">
      <w:pPr>
        <w:spacing w:after="284"/>
        <w:ind w:left="-15" w:right="-13" w:firstLine="0"/>
        <w:rPr>
          <w:rFonts w:ascii="Arial" w:hAnsi="Arial" w:cs="Arial"/>
          <w:b/>
          <w:bCs/>
          <w:color w:val="222222"/>
          <w:sz w:val="32"/>
          <w:szCs w:val="32"/>
          <w:shd w:val="clear" w:color="auto" w:fill="FFFFFF"/>
        </w:rPr>
      </w:pPr>
      <w:r w:rsidRPr="00B87BB0">
        <w:rPr>
          <w:rFonts w:ascii="Arial" w:hAnsi="Arial" w:cs="Arial"/>
          <w:b/>
          <w:bCs/>
          <w:color w:val="222222"/>
          <w:sz w:val="32"/>
          <w:szCs w:val="32"/>
          <w:shd w:val="clear" w:color="auto" w:fill="FFFFFF"/>
        </w:rPr>
        <w:t>Capital management using stock sales</w:t>
      </w:r>
    </w:p>
    <w:p w:rsidR="00B87BB0" w:rsidRDefault="00B87BB0" w:rsidP="001238A1">
      <w:pPr>
        <w:spacing w:after="284"/>
        <w:ind w:left="-15" w:right="-13" w:firstLine="0"/>
        <w:rPr>
          <w:rFonts w:ascii="Arial" w:hAnsi="Arial" w:cs="Arial"/>
          <w:color w:val="222222"/>
          <w:sz w:val="24"/>
          <w:szCs w:val="24"/>
          <w:shd w:val="clear" w:color="auto" w:fill="FFFFFF"/>
        </w:rPr>
      </w:pPr>
      <w:r w:rsidRPr="00B87BB0">
        <w:rPr>
          <w:rFonts w:ascii="Arial" w:hAnsi="Arial" w:cs="Arial"/>
          <w:color w:val="222222"/>
          <w:sz w:val="24"/>
          <w:szCs w:val="24"/>
          <w:shd w:val="clear" w:color="auto" w:fill="FFFFFF"/>
        </w:rPr>
        <w:t xml:space="preserve">Reza </w:t>
      </w:r>
      <w:proofErr w:type="spellStart"/>
      <w:r w:rsidRPr="00B87BB0">
        <w:rPr>
          <w:rFonts w:ascii="Arial" w:hAnsi="Arial" w:cs="Arial"/>
          <w:color w:val="222222"/>
          <w:sz w:val="24"/>
          <w:szCs w:val="24"/>
          <w:shd w:val="clear" w:color="auto" w:fill="FFFFFF"/>
        </w:rPr>
        <w:t>mohammadi</w:t>
      </w:r>
      <w:proofErr w:type="spellEnd"/>
      <w:r w:rsidR="00B33EE0">
        <w:rPr>
          <w:rStyle w:val="FootnoteReference"/>
          <w:rFonts w:ascii="Arial" w:hAnsi="Arial" w:cs="Arial"/>
          <w:color w:val="222222"/>
          <w:sz w:val="24"/>
          <w:szCs w:val="24"/>
          <w:shd w:val="clear" w:color="auto" w:fill="FFFFFF"/>
        </w:rPr>
        <w:footnoteReference w:id="1"/>
      </w:r>
    </w:p>
    <w:p w:rsidR="00FE559B" w:rsidRPr="00B87BB0" w:rsidRDefault="00FE559B" w:rsidP="001238A1">
      <w:pPr>
        <w:spacing w:after="284"/>
        <w:ind w:left="-15" w:right="-13" w:firstLine="0"/>
        <w:rPr>
          <w:rFonts w:ascii="Arial" w:hAnsi="Arial" w:cs="Arial"/>
          <w:color w:val="222222"/>
          <w:sz w:val="24"/>
          <w:szCs w:val="24"/>
          <w:shd w:val="clear" w:color="auto" w:fill="FFFFFF"/>
        </w:rPr>
      </w:pPr>
    </w:p>
    <w:p w:rsidR="00B87BB0" w:rsidRDefault="00B87BB0" w:rsidP="00B87BB0">
      <w:pPr>
        <w:spacing w:after="284"/>
        <w:ind w:left="-15" w:right="-13" w:firstLine="0"/>
        <w:rPr>
          <w:rFonts w:ascii="Arial" w:hAnsi="Arial" w:cs="Arial"/>
          <w:color w:val="222222"/>
          <w:szCs w:val="20"/>
          <w:shd w:val="clear" w:color="auto" w:fill="FFFFFF"/>
        </w:rPr>
      </w:pPr>
      <w:r>
        <w:rPr>
          <w:rFonts w:ascii="Arial" w:hAnsi="Arial" w:cs="Arial"/>
          <w:color w:val="222222"/>
          <w:szCs w:val="20"/>
          <w:shd w:val="clear" w:color="auto" w:fill="FFFFFF"/>
        </w:rPr>
        <w:t xml:space="preserve">[Department of Accounting </w:t>
      </w:r>
      <w:proofErr w:type="gramStart"/>
      <w:r>
        <w:rPr>
          <w:rFonts w:ascii="Arial" w:hAnsi="Arial" w:cs="Arial"/>
          <w:color w:val="222222"/>
          <w:szCs w:val="20"/>
          <w:shd w:val="clear" w:color="auto" w:fill="FFFFFF"/>
        </w:rPr>
        <w:t>group ,</w:t>
      </w:r>
      <w:proofErr w:type="gramEnd"/>
      <w:r>
        <w:rPr>
          <w:rFonts w:ascii="Arial" w:hAnsi="Arial" w:cs="Arial"/>
          <w:color w:val="222222"/>
          <w:szCs w:val="20"/>
          <w:shd w:val="clear" w:color="auto" w:fill="FFFFFF"/>
        </w:rPr>
        <w:t xml:space="preserve"> Kerman Unit , Islamic Azad university, Kerman .Iran]</w:t>
      </w:r>
    </w:p>
    <w:p w:rsidR="00B87BB0" w:rsidRDefault="00B87BB0" w:rsidP="00B87BB0">
      <w:pPr>
        <w:spacing w:after="284"/>
        <w:ind w:left="-15" w:right="-13" w:firstLine="0"/>
        <w:rPr>
          <w:rFonts w:ascii="Arial" w:hAnsi="Arial" w:cs="Arial"/>
          <w:color w:val="222222"/>
          <w:szCs w:val="20"/>
          <w:shd w:val="clear" w:color="auto" w:fill="FFFFFF"/>
          <w:rtl/>
        </w:rPr>
      </w:pPr>
      <w:proofErr w:type="gramStart"/>
      <w:r>
        <w:rPr>
          <w:rFonts w:ascii="Arial" w:hAnsi="Arial" w:cs="Arial"/>
          <w:color w:val="222222"/>
          <w:szCs w:val="20"/>
          <w:shd w:val="clear" w:color="auto" w:fill="FFFFFF"/>
        </w:rPr>
        <w:t>Email :</w:t>
      </w:r>
      <w:proofErr w:type="gramEnd"/>
      <w:r>
        <w:rPr>
          <w:rFonts w:ascii="Arial" w:hAnsi="Arial" w:cs="Arial"/>
          <w:color w:val="222222"/>
          <w:szCs w:val="20"/>
          <w:shd w:val="clear" w:color="auto" w:fill="FFFFFF"/>
        </w:rPr>
        <w:t xml:space="preserve"> </w:t>
      </w:r>
      <w:hyperlink r:id="rId8" w:history="1">
        <w:r w:rsidR="00B33EE0" w:rsidRPr="00624B73">
          <w:rPr>
            <w:rStyle w:val="Hyperlink"/>
            <w:rFonts w:ascii="Arial" w:hAnsi="Arial" w:cs="Arial"/>
            <w:szCs w:val="20"/>
            <w:shd w:val="clear" w:color="auto" w:fill="FFFFFF"/>
          </w:rPr>
          <w:t>reza.co.us@gmail.com</w:t>
        </w:r>
      </w:hyperlink>
    </w:p>
    <w:p w:rsidR="00B33EE0" w:rsidRDefault="00B33EE0" w:rsidP="00B87BB0">
      <w:pPr>
        <w:spacing w:after="284"/>
        <w:ind w:left="-15" w:right="-13" w:firstLine="0"/>
        <w:rPr>
          <w:rFonts w:ascii="Arial" w:hAnsi="Arial" w:cs="Arial"/>
          <w:color w:val="222222"/>
          <w:szCs w:val="20"/>
          <w:shd w:val="clear" w:color="auto" w:fill="FFFFFF"/>
        </w:rPr>
      </w:pPr>
    </w:p>
    <w:p w:rsidR="001238A1" w:rsidRPr="00A40DDE" w:rsidRDefault="001238A1" w:rsidP="001238A1">
      <w:pPr>
        <w:spacing w:after="284"/>
        <w:ind w:left="-15" w:right="-13" w:firstLine="0"/>
        <w:rPr>
          <w:sz w:val="28"/>
          <w:szCs w:val="32"/>
        </w:rPr>
      </w:pPr>
      <w:proofErr w:type="gramStart"/>
      <w:r w:rsidRPr="00A40DDE">
        <w:rPr>
          <w:b/>
          <w:bCs/>
          <w:sz w:val="32"/>
          <w:szCs w:val="36"/>
        </w:rPr>
        <w:t>Abstract</w:t>
      </w:r>
      <w:r w:rsidR="00B16E7E" w:rsidRPr="00A40DDE">
        <w:rPr>
          <w:sz w:val="28"/>
          <w:szCs w:val="32"/>
        </w:rPr>
        <w:t xml:space="preserve"> </w:t>
      </w:r>
      <w:r w:rsidRPr="00A40DDE">
        <w:rPr>
          <w:sz w:val="28"/>
          <w:szCs w:val="32"/>
        </w:rPr>
        <w:t xml:space="preserve"> Based</w:t>
      </w:r>
      <w:proofErr w:type="gramEnd"/>
      <w:r w:rsidRPr="00A40DDE">
        <w:rPr>
          <w:sz w:val="28"/>
          <w:szCs w:val="32"/>
        </w:rPr>
        <w:t xml:space="preserve"> on a large sample of publicly listed and non-listed US commercial banks from 1996 to 2011, we find robust evidence consistent with banks using realized available for sale (AFS) securities gains and losses to smooth earnings and increase low regulatory capital. We also find that (</w:t>
      </w:r>
      <w:proofErr w:type="spellStart"/>
      <w:r w:rsidRPr="00A40DDE">
        <w:rPr>
          <w:sz w:val="28"/>
          <w:szCs w:val="32"/>
        </w:rPr>
        <w:t>i</w:t>
      </w:r>
      <w:proofErr w:type="spellEnd"/>
      <w:r w:rsidRPr="00A40DDE">
        <w:rPr>
          <w:sz w:val="28"/>
          <w:szCs w:val="32"/>
        </w:rPr>
        <w:t>) banks with positive earnings smooth earnings, and banks with negative earnings generally take big baths; (ii) regulatory capital constrains big baths; (iii) banks with more negative earnings and more unrealized beginning-of-quarter losses (gains) take big baths (smooth earnings); and (iv) banks with low regulatory capital and more unrealized gains realize more gains. Also, b</w:t>
      </w:r>
      <w:r w:rsidR="008A3785" w:rsidRPr="00A40DDE">
        <w:rPr>
          <w:sz w:val="28"/>
          <w:szCs w:val="32"/>
        </w:rPr>
        <w:t xml:space="preserve">anks with negative earnings </w:t>
      </w:r>
      <w:proofErr w:type="spellStart"/>
      <w:r w:rsidR="008A3785" w:rsidRPr="00A40DDE">
        <w:rPr>
          <w:sz w:val="28"/>
          <w:szCs w:val="32"/>
        </w:rPr>
        <w:t>tak</w:t>
      </w:r>
      <w:proofErr w:type="spellEnd"/>
      <w:r w:rsidRPr="00A40DDE">
        <w:rPr>
          <w:sz w:val="28"/>
          <w:szCs w:val="32"/>
        </w:rPr>
        <w:t xml:space="preserve"> big baths (avoid or reduce the earnings loss) if their unrealized gains are insufficient (sufficient) to offset the negative earnings. Our inferences apply to listed and non-listed banks, which indicates </w:t>
      </w:r>
      <w:proofErr w:type="gramStart"/>
      <w:r w:rsidRPr="00A40DDE">
        <w:rPr>
          <w:sz w:val="28"/>
          <w:szCs w:val="32"/>
        </w:rPr>
        <w:t>that</w:t>
      </w:r>
      <w:proofErr w:type="gramEnd"/>
      <w:r w:rsidRPr="00A40DDE">
        <w:rPr>
          <w:sz w:val="28"/>
          <w:szCs w:val="32"/>
        </w:rPr>
        <w:t xml:space="preserve"> the earnings management incentives do not derive solely from public capital markets. Our findings reveal that the accounting for AFS securities gains and losses enables banks to manage regulatory capital and earnings in a variety of ways.</w:t>
      </w:r>
    </w:p>
    <w:p w:rsidR="004F5B50" w:rsidRPr="00A40DDE" w:rsidRDefault="004F5B50" w:rsidP="002E4B1A">
      <w:pPr>
        <w:ind w:firstLine="0"/>
        <w:rPr>
          <w:sz w:val="28"/>
          <w:szCs w:val="32"/>
          <w:rtl/>
          <w:lang w:bidi="fa-IR"/>
        </w:rPr>
      </w:pPr>
    </w:p>
    <w:p w:rsidR="00B33EE0" w:rsidRPr="00A40DDE" w:rsidRDefault="00B33EE0" w:rsidP="00BE5DC9">
      <w:pPr>
        <w:rPr>
          <w:sz w:val="28"/>
          <w:szCs w:val="32"/>
          <w:rtl/>
          <w:lang w:bidi="fa-IR"/>
        </w:rPr>
      </w:pPr>
    </w:p>
    <w:p w:rsidR="00BE5DC9" w:rsidRPr="00A40DDE" w:rsidRDefault="00BE5DC9" w:rsidP="00BE5DC9">
      <w:pPr>
        <w:rPr>
          <w:sz w:val="28"/>
          <w:szCs w:val="32"/>
          <w:rtl/>
          <w:lang w:bidi="fa-IR"/>
        </w:rPr>
      </w:pPr>
    </w:p>
    <w:p w:rsidR="00BE5DC9" w:rsidRPr="00A40DDE" w:rsidRDefault="0016170A" w:rsidP="002E4B1A">
      <w:pPr>
        <w:spacing w:after="244" w:line="319" w:lineRule="auto"/>
        <w:ind w:left="-15" w:right="-13" w:firstLine="0"/>
        <w:rPr>
          <w:sz w:val="24"/>
          <w:szCs w:val="28"/>
          <w:rtl/>
        </w:rPr>
      </w:pPr>
      <w:r w:rsidRPr="00A40DDE">
        <w:rPr>
          <w:b/>
          <w:bCs/>
          <w:sz w:val="24"/>
          <w:szCs w:val="28"/>
        </w:rPr>
        <w:t>Keywords</w:t>
      </w:r>
      <w:r w:rsidRPr="00A40DDE">
        <w:rPr>
          <w:rFonts w:hint="cs"/>
          <w:sz w:val="24"/>
          <w:szCs w:val="28"/>
          <w:rtl/>
        </w:rPr>
        <w:t>:</w:t>
      </w:r>
      <w:r w:rsidR="008A3785" w:rsidRPr="00A40DDE">
        <w:rPr>
          <w:sz w:val="24"/>
          <w:szCs w:val="28"/>
        </w:rPr>
        <w:t xml:space="preserve"> </w:t>
      </w:r>
      <w:r w:rsidRPr="00A40DDE">
        <w:rPr>
          <w:sz w:val="24"/>
          <w:szCs w:val="28"/>
        </w:rPr>
        <w:t>Available for sale securities</w:t>
      </w:r>
      <w:r w:rsidR="002E4B1A">
        <w:rPr>
          <w:sz w:val="24"/>
          <w:szCs w:val="28"/>
        </w:rPr>
        <w:t>,</w:t>
      </w:r>
      <w:r w:rsidRPr="00A40DDE">
        <w:rPr>
          <w:sz w:val="24"/>
          <w:szCs w:val="28"/>
        </w:rPr>
        <w:t xml:space="preserve"> Realized gains and losses</w:t>
      </w:r>
      <w:r w:rsidR="002E4B1A">
        <w:rPr>
          <w:sz w:val="24"/>
          <w:szCs w:val="28"/>
        </w:rPr>
        <w:t>,</w:t>
      </w:r>
      <w:r w:rsidRPr="00A40DDE">
        <w:rPr>
          <w:sz w:val="24"/>
          <w:szCs w:val="28"/>
        </w:rPr>
        <w:t xml:space="preserve"> Regulatory capital</w:t>
      </w:r>
    </w:p>
    <w:p w:rsidR="00BE5DC9" w:rsidRDefault="00BE5DC9" w:rsidP="00BE5DC9">
      <w:pPr>
        <w:rPr>
          <w:sz w:val="28"/>
          <w:szCs w:val="32"/>
          <w:rtl/>
          <w:lang w:bidi="fa-IR"/>
        </w:rPr>
      </w:pPr>
    </w:p>
    <w:p w:rsidR="00B33EE0" w:rsidRPr="00A40DDE" w:rsidRDefault="00B33EE0" w:rsidP="00BE5DC9">
      <w:pPr>
        <w:rPr>
          <w:sz w:val="28"/>
          <w:szCs w:val="32"/>
          <w:rtl/>
          <w:lang w:bidi="fa-IR"/>
        </w:rPr>
      </w:pPr>
    </w:p>
    <w:p w:rsidR="00BE5DC9" w:rsidRPr="00A40DDE" w:rsidRDefault="00BE5DC9" w:rsidP="00BE5DC9">
      <w:pPr>
        <w:pStyle w:val="Heading1"/>
        <w:ind w:left="158" w:hanging="173"/>
        <w:rPr>
          <w:sz w:val="32"/>
          <w:szCs w:val="32"/>
        </w:rPr>
      </w:pPr>
      <w:r w:rsidRPr="00A40DDE">
        <w:rPr>
          <w:sz w:val="32"/>
          <w:szCs w:val="32"/>
        </w:rPr>
        <w:lastRenderedPageBreak/>
        <w:t>Introduction</w:t>
      </w:r>
    </w:p>
    <w:p w:rsidR="00BE5DC9" w:rsidRPr="00A40DDE" w:rsidRDefault="00BE5DC9" w:rsidP="00BE5DC9">
      <w:pPr>
        <w:ind w:left="-15" w:right="-13" w:firstLine="0"/>
        <w:rPr>
          <w:sz w:val="28"/>
          <w:szCs w:val="32"/>
        </w:rPr>
      </w:pPr>
      <w:r w:rsidRPr="00A40DDE">
        <w:rPr>
          <w:sz w:val="28"/>
          <w:szCs w:val="32"/>
        </w:rPr>
        <w:t>The question we address is the extent to which, and how, banks use available for sale (AFS) securities realized gains and losses to manage earnings and regulatory capital.</w:t>
      </w:r>
      <w:r w:rsidRPr="00A40DDE">
        <w:rPr>
          <w:sz w:val="28"/>
          <w:szCs w:val="32"/>
          <w:vertAlign w:val="superscript"/>
        </w:rPr>
        <w:footnoteReference w:id="2"/>
      </w:r>
      <w:r w:rsidRPr="00A40DDE">
        <w:rPr>
          <w:sz w:val="28"/>
          <w:szCs w:val="32"/>
        </w:rPr>
        <w:t>AFS securities is the largest category of banks</w:t>
      </w:r>
      <w:r w:rsidRPr="00A40DDE">
        <w:rPr>
          <w:rFonts w:ascii="Calibri" w:eastAsia="Calibri" w:hAnsi="Calibri" w:cs="Calibri"/>
          <w:sz w:val="28"/>
          <w:szCs w:val="32"/>
        </w:rPr>
        <w:t xml:space="preserve">’ </w:t>
      </w:r>
      <w:r w:rsidRPr="00A40DDE">
        <w:rPr>
          <w:sz w:val="28"/>
          <w:szCs w:val="32"/>
        </w:rPr>
        <w:t>securities and a sizable portion of bank assets. We base our inferences on a large sample of publicly listed and non-listed US commercial banks from 1996 to 2011. Our findings reveal that both types of banks use realized gains and losses on AFS securities to manage earnings and regulatory capital in a variety of ways. We find that banks realize gains and losses to manage regulatory capital and smooth earnings, avoid losses, or take a big bath, and that the choice depends on the circumstances, including the extent to which the banks have unrealized gains and losses to realize. Thus, our findings reveal that banks opportunistically use the discretion afforded to them by accounting standards and regulatory requirements that exclude unrealized securities gains and losses from earnings and regulatory capital.</w:t>
      </w:r>
    </w:p>
    <w:p w:rsidR="00BE5DC9" w:rsidRPr="00A40DDE" w:rsidRDefault="00BE5DC9" w:rsidP="00BE5DC9">
      <w:pPr>
        <w:rPr>
          <w:sz w:val="28"/>
          <w:szCs w:val="32"/>
          <w:rtl/>
        </w:rPr>
      </w:pPr>
      <w:r w:rsidRPr="00A40DDE">
        <w:rPr>
          <w:sz w:val="28"/>
          <w:szCs w:val="32"/>
        </w:rPr>
        <w:t xml:space="preserve">Accounting Standards Codification (ASC) Topic 320 (formerly Statement of Financial Accounting Standards No. 115, FASB </w:t>
      </w:r>
      <w:r w:rsidRPr="00A40DDE">
        <w:rPr>
          <w:color w:val="392A97"/>
          <w:sz w:val="28"/>
          <w:szCs w:val="32"/>
        </w:rPr>
        <w:t>1993</w:t>
      </w:r>
      <w:r w:rsidRPr="00A40DDE">
        <w:rPr>
          <w:sz w:val="28"/>
          <w:szCs w:val="32"/>
        </w:rPr>
        <w:t xml:space="preserve">) created AFS securities and specified a new accounting treatment for them. Prior to ASC 320, investment securities, which represented most bank securities, </w:t>
      </w:r>
      <w:proofErr w:type="gramStart"/>
      <w:r w:rsidRPr="00A40DDE">
        <w:rPr>
          <w:sz w:val="28"/>
          <w:szCs w:val="32"/>
        </w:rPr>
        <w:t>were measured</w:t>
      </w:r>
      <w:proofErr w:type="gramEnd"/>
      <w:r w:rsidRPr="00A40DDE">
        <w:rPr>
          <w:sz w:val="28"/>
          <w:szCs w:val="32"/>
        </w:rPr>
        <w:t xml:space="preserve"> at amortized cost. Although investment securities fair values </w:t>
      </w:r>
      <w:proofErr w:type="gramStart"/>
      <w:r w:rsidRPr="00A40DDE">
        <w:rPr>
          <w:sz w:val="28"/>
          <w:szCs w:val="32"/>
        </w:rPr>
        <w:t>were disclosed</w:t>
      </w:r>
      <w:proofErr w:type="gramEnd"/>
      <w:r w:rsidRPr="00A40DDE">
        <w:rPr>
          <w:sz w:val="28"/>
          <w:szCs w:val="32"/>
        </w:rPr>
        <w:t xml:space="preserve">, there was no recognition on the statement of financial position or income based on those fair values. The investment securities gains and losses </w:t>
      </w:r>
      <w:proofErr w:type="gramStart"/>
      <w:r w:rsidRPr="00A40DDE">
        <w:rPr>
          <w:sz w:val="28"/>
          <w:szCs w:val="32"/>
        </w:rPr>
        <w:t>were recognized</w:t>
      </w:r>
      <w:proofErr w:type="gramEnd"/>
      <w:r w:rsidRPr="00A40DDE">
        <w:rPr>
          <w:sz w:val="28"/>
          <w:szCs w:val="32"/>
        </w:rPr>
        <w:t xml:space="preserve"> in earnings only when they were realized. ASC 320 specifies that AFS securities </w:t>
      </w:r>
      <w:proofErr w:type="gramStart"/>
      <w:r w:rsidRPr="00A40DDE">
        <w:rPr>
          <w:sz w:val="28"/>
          <w:szCs w:val="32"/>
        </w:rPr>
        <w:t>be measured</w:t>
      </w:r>
      <w:proofErr w:type="gramEnd"/>
      <w:r w:rsidRPr="00A40DDE">
        <w:rPr>
          <w:sz w:val="28"/>
          <w:szCs w:val="32"/>
        </w:rPr>
        <w:t xml:space="preserve"> at fair value, with changes in fair value recognized in other comprehensive income, not earnings. Thus, the pre-ASC 320 scope for banks to manage earnings by selectively realizing securities gains and losses is unchanged by ASC 320, presuming managers view net income as the earnings management target. However, if bank managers view comprehensive income as the target, we will not observe evidence of selective selling</w:t>
      </w:r>
      <w:r w:rsidRPr="00A40DDE">
        <w:rPr>
          <w:rFonts w:hint="cs"/>
          <w:sz w:val="28"/>
          <w:szCs w:val="32"/>
          <w:rtl/>
        </w:rPr>
        <w:t>.</w:t>
      </w:r>
    </w:p>
    <w:p w:rsidR="00BE5DC9" w:rsidRPr="00A40DDE" w:rsidRDefault="00BE5DC9" w:rsidP="00BE5DC9">
      <w:pPr>
        <w:ind w:left="-15" w:right="-13"/>
        <w:rPr>
          <w:sz w:val="28"/>
          <w:szCs w:val="32"/>
        </w:rPr>
      </w:pPr>
      <w:proofErr w:type="gramStart"/>
      <w:r w:rsidRPr="00A40DDE">
        <w:rPr>
          <w:sz w:val="28"/>
          <w:szCs w:val="32"/>
        </w:rPr>
        <w:t>behavior</w:t>
      </w:r>
      <w:proofErr w:type="gramEnd"/>
      <w:r w:rsidRPr="00A40DDE">
        <w:rPr>
          <w:sz w:val="28"/>
          <w:szCs w:val="32"/>
        </w:rPr>
        <w:t xml:space="preserve">. As with investment securities, AFS securities gains and losses generally affect regulatory capital only when they </w:t>
      </w:r>
      <w:proofErr w:type="gramStart"/>
      <w:r w:rsidRPr="00A40DDE">
        <w:rPr>
          <w:sz w:val="28"/>
          <w:szCs w:val="32"/>
        </w:rPr>
        <w:t>are realized</w:t>
      </w:r>
      <w:proofErr w:type="gramEnd"/>
      <w:r w:rsidRPr="00A40DDE">
        <w:rPr>
          <w:sz w:val="28"/>
          <w:szCs w:val="32"/>
        </w:rPr>
        <w:t>.</w:t>
      </w:r>
    </w:p>
    <w:p w:rsidR="00BE5DC9" w:rsidRPr="00A40DDE" w:rsidRDefault="00BE5DC9" w:rsidP="00BE5DC9">
      <w:pPr>
        <w:ind w:left="-15" w:right="-13"/>
        <w:rPr>
          <w:sz w:val="28"/>
          <w:szCs w:val="32"/>
        </w:rPr>
      </w:pPr>
      <w:r w:rsidRPr="00A40DDE">
        <w:rPr>
          <w:sz w:val="28"/>
          <w:szCs w:val="32"/>
        </w:rPr>
        <w:t xml:space="preserve">We base our inferences on the relation between realized gains and losses on AFS securities and earnings and regulatory capital, each before the effect of the gains and losses (henceforth earnings and regulatory capital), and control variables identified in prior research. We obtain data from quarterly bank regulatory reports, which </w:t>
      </w:r>
      <w:r w:rsidRPr="00A40DDE">
        <w:rPr>
          <w:sz w:val="28"/>
          <w:szCs w:val="32"/>
        </w:rPr>
        <w:lastRenderedPageBreak/>
        <w:t>include detailed information about banks</w:t>
      </w:r>
      <w:r w:rsidRPr="00A40DDE">
        <w:rPr>
          <w:rFonts w:ascii="Calibri" w:eastAsia="Calibri" w:hAnsi="Calibri" w:cs="Calibri"/>
          <w:sz w:val="28"/>
          <w:szCs w:val="32"/>
        </w:rPr>
        <w:t xml:space="preserve">’ </w:t>
      </w:r>
      <w:r w:rsidRPr="00A40DDE">
        <w:rPr>
          <w:sz w:val="28"/>
          <w:szCs w:val="32"/>
        </w:rPr>
        <w:t>securities and regulatory capital. These reports cover publicly listed and non-listed banks. Our sample comprises 136,879 bank-quarter observations for 6300 banks, with 15,204 (121,675) observations for 728 (5862) listed (non-listed) banks.</w:t>
      </w:r>
    </w:p>
    <w:p w:rsidR="00BE5DC9" w:rsidRPr="00A40DDE" w:rsidRDefault="00BE5DC9" w:rsidP="00BE5DC9">
      <w:pPr>
        <w:rPr>
          <w:sz w:val="28"/>
          <w:szCs w:val="32"/>
          <w:rtl/>
        </w:rPr>
      </w:pPr>
    </w:p>
    <w:p w:rsidR="00BE5DC9" w:rsidRPr="00A40DDE" w:rsidRDefault="00BE5DC9" w:rsidP="00BE5DC9">
      <w:pPr>
        <w:ind w:left="-15" w:right="-13"/>
        <w:rPr>
          <w:sz w:val="28"/>
          <w:szCs w:val="32"/>
        </w:rPr>
      </w:pPr>
      <w:r w:rsidRPr="00A40DDE">
        <w:rPr>
          <w:sz w:val="28"/>
          <w:szCs w:val="32"/>
        </w:rPr>
        <w:t>We begin by focusing on the use of realized AFS securities gains and losses to smooth earnings and increase regulatory capital. Consistent with earnings smoothing, we find a robust, significantly negative relation between earnings and realized AFS securities gains and losses. Consistent with banks</w:t>
      </w:r>
      <w:r w:rsidRPr="00A40DDE">
        <w:rPr>
          <w:rFonts w:ascii="Calibri" w:eastAsia="Calibri" w:hAnsi="Calibri" w:cs="Calibri"/>
          <w:sz w:val="28"/>
          <w:szCs w:val="32"/>
        </w:rPr>
        <w:t xml:space="preserve">’ </w:t>
      </w:r>
      <w:r w:rsidRPr="00A40DDE">
        <w:rPr>
          <w:sz w:val="28"/>
          <w:szCs w:val="32"/>
        </w:rPr>
        <w:t xml:space="preserve">incentives to increase low regulatory capital, we find that banks with low regulatory capital realize significantly more net gains than other banks. Prior research on investment securities implies these inferences. Although we do not find that banks with low regulatory capital smooth earnings more or less than other banks, the findings </w:t>
      </w:r>
      <w:proofErr w:type="gramStart"/>
      <w:r w:rsidRPr="00A40DDE">
        <w:rPr>
          <w:sz w:val="28"/>
          <w:szCs w:val="32"/>
        </w:rPr>
        <w:t>are based</w:t>
      </w:r>
      <w:proofErr w:type="gramEnd"/>
      <w:r w:rsidRPr="00A40DDE">
        <w:rPr>
          <w:sz w:val="28"/>
          <w:szCs w:val="32"/>
        </w:rPr>
        <w:t xml:space="preserve"> on tests that do not distinguish banks with positive and negative earnings, which could mask offsetting differences between earnings smoothing and big bath earnings management.</w:t>
      </w:r>
    </w:p>
    <w:p w:rsidR="00BE5DC9" w:rsidRPr="00A40DDE" w:rsidRDefault="00BE5DC9" w:rsidP="00BE5DC9">
      <w:pPr>
        <w:ind w:left="-15" w:right="-13"/>
        <w:rPr>
          <w:sz w:val="28"/>
          <w:szCs w:val="32"/>
        </w:rPr>
      </w:pPr>
      <w:r w:rsidRPr="00A40DDE">
        <w:rPr>
          <w:sz w:val="28"/>
          <w:szCs w:val="32"/>
        </w:rPr>
        <w:t>We next test for big bath earnings management by permitting the relation between realized gains and losses on AFS securities and earnings to differ for banks with positive and negative earnings. We find evidence of earnings smoothing by banks with positive earnings and of big baths by banks with negative earnings. We also find that banks with low regulatory capital and negative earnings engage in less big bath earnings management, which indicates that regulatory capital requirements constrain big bath earnings management.</w:t>
      </w:r>
    </w:p>
    <w:p w:rsidR="00BE5DC9" w:rsidRPr="00A40DDE" w:rsidRDefault="00BE5DC9" w:rsidP="00BE5DC9">
      <w:pPr>
        <w:ind w:left="-15" w:right="-13"/>
        <w:rPr>
          <w:sz w:val="28"/>
          <w:szCs w:val="32"/>
        </w:rPr>
      </w:pPr>
      <w:r w:rsidRPr="00A40DDE">
        <w:rPr>
          <w:sz w:val="28"/>
          <w:szCs w:val="32"/>
        </w:rPr>
        <w:t xml:space="preserve">We exploit disclosed beginning-of-quarter accumulated unrealized gains and unrealized losses on AFS securities to take into consideration the extent to which a bank has the opportunity to realize gains or losses to manage earnings and regulatory capital. We find that banks with negative earnings take big baths </w:t>
      </w:r>
      <w:proofErr w:type="gramStart"/>
      <w:r w:rsidRPr="00A40DDE">
        <w:rPr>
          <w:sz w:val="28"/>
          <w:szCs w:val="32"/>
        </w:rPr>
        <w:t>to a greater extent</w:t>
      </w:r>
      <w:proofErr w:type="gramEnd"/>
      <w:r w:rsidRPr="00A40DDE">
        <w:rPr>
          <w:sz w:val="28"/>
          <w:szCs w:val="32"/>
        </w:rPr>
        <w:t xml:space="preserve"> when they have more unrealized losses, and engage in earnings smoothing to a greater extent when they have more unrealized gains. We do not find that banks with positive earnings smooth earnings more when they have more unrealized losses. We find that banks with unrealized gains insufficient to convert negative earnings into positive earnings take big baths. However, we also find that some banks avoid negative earnings by realizing just enough securities gains to avoid a loss, and that others reduce the loss even if they do not avoid it.</w:t>
      </w:r>
    </w:p>
    <w:p w:rsidR="00BE5DC9" w:rsidRPr="00A40DDE" w:rsidRDefault="00BE5DC9" w:rsidP="00BE5DC9">
      <w:pPr>
        <w:rPr>
          <w:sz w:val="28"/>
          <w:szCs w:val="32"/>
          <w:rtl/>
        </w:rPr>
      </w:pPr>
      <w:r w:rsidRPr="00A40DDE">
        <w:rPr>
          <w:sz w:val="28"/>
          <w:szCs w:val="32"/>
        </w:rPr>
        <w:t xml:space="preserve">Estimating the relations separately for publicly listed and non-listed banks reveals that our inferences generally apply to both types of banks. However, some findings </w:t>
      </w:r>
      <w:proofErr w:type="gramStart"/>
      <w:r w:rsidRPr="00A40DDE">
        <w:rPr>
          <w:sz w:val="28"/>
          <w:szCs w:val="32"/>
        </w:rPr>
        <w:lastRenderedPageBreak/>
        <w:t>are more pronounced</w:t>
      </w:r>
      <w:proofErr w:type="gramEnd"/>
      <w:r w:rsidRPr="00A40DDE">
        <w:rPr>
          <w:sz w:val="28"/>
          <w:szCs w:val="32"/>
        </w:rPr>
        <w:t xml:space="preserve"> for listed banks. In particular, we find that listed banks with positive (negative) earnings smooth earnings (take a big bath) to a greater extent than</w:t>
      </w:r>
    </w:p>
    <w:p w:rsidR="00BE5DC9" w:rsidRPr="00A40DDE" w:rsidRDefault="00BE5DC9" w:rsidP="00BE5DC9">
      <w:pPr>
        <w:ind w:left="-15" w:right="-13"/>
        <w:rPr>
          <w:sz w:val="28"/>
          <w:szCs w:val="32"/>
        </w:rPr>
      </w:pPr>
      <w:proofErr w:type="gramStart"/>
      <w:r w:rsidRPr="00A40DDE">
        <w:rPr>
          <w:sz w:val="28"/>
          <w:szCs w:val="32"/>
        </w:rPr>
        <w:t>non-listed</w:t>
      </w:r>
      <w:proofErr w:type="gramEnd"/>
      <w:r w:rsidRPr="00A40DDE">
        <w:rPr>
          <w:sz w:val="28"/>
          <w:szCs w:val="32"/>
        </w:rPr>
        <w:t xml:space="preserve"> banks, and that listed banks with low regulatory capital realize more net securities gains. Regardless, our findings reveal that incentives to manage earnings and regulatory capital are not limited to banks whose equity trades in public capital markets.</w:t>
      </w:r>
    </w:p>
    <w:p w:rsidR="00BE5DC9" w:rsidRPr="00A40DDE" w:rsidRDefault="00BE5DC9" w:rsidP="00BE5DC9">
      <w:pPr>
        <w:ind w:left="-15" w:right="-13"/>
        <w:rPr>
          <w:sz w:val="28"/>
          <w:szCs w:val="32"/>
        </w:rPr>
      </w:pPr>
      <w:r w:rsidRPr="00A40DDE">
        <w:rPr>
          <w:sz w:val="28"/>
          <w:szCs w:val="32"/>
        </w:rPr>
        <w:t>Findings from additional analyses support our inferences. First, our inferences are unaffected by simultaneously considering loan loss provisions, securitization gains, and changes in equity financing as alternative earnings and regulatory capital management tools. Second, as expected, we find no evidence that banks use fair value gains and losses on trading securities to smooth earnings or increase low regulatory capital. Third, using banks</w:t>
      </w:r>
      <w:r w:rsidRPr="00A40DDE">
        <w:rPr>
          <w:rFonts w:ascii="Calibri" w:eastAsia="Calibri" w:hAnsi="Calibri" w:cs="Calibri"/>
          <w:sz w:val="28"/>
          <w:szCs w:val="32"/>
        </w:rPr>
        <w:t xml:space="preserve">’ </w:t>
      </w:r>
      <w:r w:rsidRPr="00A40DDE">
        <w:rPr>
          <w:sz w:val="28"/>
          <w:szCs w:val="32"/>
        </w:rPr>
        <w:t>median earnings before taxes in the quarter as the earnings benchmark reveals similar evidence of earnings management. Fourth, we find that earnings smoothing by non-listed banks stems primarily from incentives associated with depositors.</w:t>
      </w:r>
    </w:p>
    <w:p w:rsidR="00BE5DC9" w:rsidRPr="00A40DDE" w:rsidRDefault="00BE5DC9" w:rsidP="00BE5DC9">
      <w:pPr>
        <w:ind w:left="-15" w:right="-13"/>
        <w:rPr>
          <w:sz w:val="28"/>
          <w:szCs w:val="32"/>
        </w:rPr>
      </w:pPr>
      <w:r w:rsidRPr="00A40DDE">
        <w:rPr>
          <w:sz w:val="28"/>
          <w:szCs w:val="32"/>
        </w:rPr>
        <w:t xml:space="preserve">We contribute in several ways to prior research on banks using realized securities gains and losses to smooth earnings and regulatory capital. This prior research almost exclusively </w:t>
      </w:r>
      <w:proofErr w:type="gramStart"/>
      <w:r w:rsidRPr="00A40DDE">
        <w:rPr>
          <w:sz w:val="28"/>
          <w:szCs w:val="32"/>
        </w:rPr>
        <w:t>is based</w:t>
      </w:r>
      <w:proofErr w:type="gramEnd"/>
      <w:r w:rsidRPr="00A40DDE">
        <w:rPr>
          <w:sz w:val="28"/>
          <w:szCs w:val="32"/>
        </w:rPr>
        <w:t xml:space="preserve"> on the period before ASC 320 and employs samples considerably smaller and less diverse than ours. We build on this research by finding strong and robust evidence consistent with banks using realized AFS securities gains and losses to smooth earnings and manage regulatory capital. We extend this literature by finding that the extent to which banks smooth earnings and manage regulatory capital depends on the extent to which the banks have unrealized securities gains and losses to realize.</w:t>
      </w:r>
    </w:p>
    <w:p w:rsidR="00BE5DC9" w:rsidRPr="00A40DDE" w:rsidRDefault="00BE5DC9" w:rsidP="00BE5DC9">
      <w:pPr>
        <w:ind w:left="-15" w:right="-13" w:firstLine="0"/>
        <w:rPr>
          <w:sz w:val="28"/>
          <w:szCs w:val="32"/>
        </w:rPr>
      </w:pPr>
      <w:r w:rsidRPr="00A40DDE">
        <w:rPr>
          <w:sz w:val="28"/>
          <w:szCs w:val="32"/>
        </w:rPr>
        <w:t>We also provide evidence consistent with banks using realized AFS securities gains and losses to manage earnings in ways other than to smooth earnings. In particular, we find that banks with negative earnings take big baths (reduce the loss), particularly when they have more unrealized AFS securities losses (gains), and that banks engage in less big bath earnings management when they have low regulatory capital.</w:t>
      </w:r>
    </w:p>
    <w:p w:rsidR="00BE5DC9" w:rsidRPr="00A40DDE" w:rsidRDefault="00BE5DC9" w:rsidP="00BE5DC9">
      <w:pPr>
        <w:spacing w:after="505"/>
        <w:ind w:left="-15" w:right="-13"/>
        <w:rPr>
          <w:sz w:val="28"/>
          <w:szCs w:val="32"/>
        </w:rPr>
      </w:pPr>
      <w:r w:rsidRPr="00A40DDE">
        <w:rPr>
          <w:sz w:val="28"/>
          <w:szCs w:val="32"/>
        </w:rPr>
        <w:t xml:space="preserve">The remainder of the paper proceeds as follows. Section </w:t>
      </w:r>
      <w:r w:rsidRPr="00A40DDE">
        <w:rPr>
          <w:color w:val="392A97"/>
          <w:sz w:val="28"/>
          <w:szCs w:val="32"/>
        </w:rPr>
        <w:t xml:space="preserve">2 </w:t>
      </w:r>
      <w:r w:rsidRPr="00A40DDE">
        <w:rPr>
          <w:sz w:val="28"/>
          <w:szCs w:val="32"/>
        </w:rPr>
        <w:t xml:space="preserve">discusses the institutional background and related research, which provide the basis for our empirical predictions. Section </w:t>
      </w:r>
      <w:r w:rsidRPr="00A40DDE">
        <w:rPr>
          <w:color w:val="392A97"/>
          <w:sz w:val="28"/>
          <w:szCs w:val="32"/>
        </w:rPr>
        <w:t xml:space="preserve">3 </w:t>
      </w:r>
      <w:r w:rsidRPr="00A40DDE">
        <w:rPr>
          <w:sz w:val="28"/>
          <w:szCs w:val="32"/>
        </w:rPr>
        <w:t xml:space="preserve">develops the research design. Section </w:t>
      </w:r>
      <w:r w:rsidRPr="00A40DDE">
        <w:rPr>
          <w:color w:val="392A97"/>
          <w:sz w:val="28"/>
          <w:szCs w:val="32"/>
        </w:rPr>
        <w:t xml:space="preserve">4 </w:t>
      </w:r>
      <w:r w:rsidRPr="00A40DDE">
        <w:rPr>
          <w:sz w:val="28"/>
          <w:szCs w:val="32"/>
        </w:rPr>
        <w:t xml:space="preserve">describes the data, and Section </w:t>
      </w:r>
      <w:r w:rsidRPr="00A40DDE">
        <w:rPr>
          <w:color w:val="392A97"/>
          <w:sz w:val="28"/>
          <w:szCs w:val="32"/>
        </w:rPr>
        <w:t xml:space="preserve">5 </w:t>
      </w:r>
      <w:r w:rsidRPr="00A40DDE">
        <w:rPr>
          <w:sz w:val="28"/>
          <w:szCs w:val="32"/>
        </w:rPr>
        <w:t xml:space="preserve">presents the results. Section </w:t>
      </w:r>
      <w:r w:rsidRPr="00A40DDE">
        <w:rPr>
          <w:color w:val="392A97"/>
          <w:sz w:val="28"/>
          <w:szCs w:val="32"/>
        </w:rPr>
        <w:t xml:space="preserve">6 </w:t>
      </w:r>
      <w:r w:rsidRPr="00A40DDE">
        <w:rPr>
          <w:sz w:val="28"/>
          <w:szCs w:val="32"/>
        </w:rPr>
        <w:t xml:space="preserve">offers </w:t>
      </w:r>
      <w:proofErr w:type="gramStart"/>
      <w:r w:rsidRPr="00A40DDE">
        <w:rPr>
          <w:sz w:val="28"/>
          <w:szCs w:val="32"/>
        </w:rPr>
        <w:t>a summary and concluding remarks</w:t>
      </w:r>
      <w:proofErr w:type="gramEnd"/>
      <w:r w:rsidRPr="00A40DDE">
        <w:rPr>
          <w:sz w:val="28"/>
          <w:szCs w:val="32"/>
        </w:rPr>
        <w:t>.</w:t>
      </w:r>
    </w:p>
    <w:p w:rsidR="00BE5DC9" w:rsidRPr="00A40DDE" w:rsidRDefault="00BE5DC9" w:rsidP="00BE5DC9">
      <w:pPr>
        <w:pStyle w:val="Heading1"/>
        <w:spacing w:after="235"/>
        <w:ind w:left="158" w:hanging="173"/>
        <w:rPr>
          <w:sz w:val="32"/>
          <w:szCs w:val="32"/>
        </w:rPr>
      </w:pPr>
      <w:r w:rsidRPr="00A40DDE">
        <w:rPr>
          <w:sz w:val="32"/>
          <w:szCs w:val="32"/>
        </w:rPr>
        <w:lastRenderedPageBreak/>
        <w:t>Institutional background and related research</w:t>
      </w:r>
    </w:p>
    <w:p w:rsidR="00BE5DC9" w:rsidRPr="00A40DDE" w:rsidRDefault="00BE5DC9" w:rsidP="00BE5DC9">
      <w:pPr>
        <w:spacing w:after="228" w:line="265" w:lineRule="auto"/>
        <w:ind w:left="-5" w:right="0" w:hanging="10"/>
        <w:jc w:val="left"/>
        <w:rPr>
          <w:sz w:val="28"/>
          <w:szCs w:val="32"/>
        </w:rPr>
      </w:pPr>
      <w:proofErr w:type="gramStart"/>
      <w:r w:rsidRPr="00A40DDE">
        <w:rPr>
          <w:sz w:val="28"/>
          <w:szCs w:val="32"/>
        </w:rPr>
        <w:t>2.1</w:t>
      </w:r>
      <w:proofErr w:type="gramEnd"/>
      <w:r w:rsidRPr="00A40DDE">
        <w:rPr>
          <w:sz w:val="28"/>
          <w:szCs w:val="32"/>
        </w:rPr>
        <w:t xml:space="preserve"> Available for sale securities</w:t>
      </w:r>
    </w:p>
    <w:p w:rsidR="00BE5DC9" w:rsidRPr="00A40DDE" w:rsidRDefault="00BE5DC9" w:rsidP="00BE5DC9">
      <w:pPr>
        <w:rPr>
          <w:sz w:val="28"/>
          <w:szCs w:val="32"/>
          <w:rtl/>
          <w:lang w:bidi="fa-IR"/>
        </w:rPr>
      </w:pPr>
      <w:r w:rsidRPr="00A40DDE">
        <w:rPr>
          <w:sz w:val="28"/>
          <w:szCs w:val="32"/>
        </w:rPr>
        <w:t xml:space="preserve">The accounting for investment securities in the US </w:t>
      </w:r>
      <w:proofErr w:type="gramStart"/>
      <w:r w:rsidRPr="00A40DDE">
        <w:rPr>
          <w:sz w:val="28"/>
          <w:szCs w:val="32"/>
        </w:rPr>
        <w:t>is specified</w:t>
      </w:r>
      <w:proofErr w:type="gramEnd"/>
      <w:r w:rsidRPr="00A40DDE">
        <w:rPr>
          <w:sz w:val="28"/>
          <w:szCs w:val="32"/>
        </w:rPr>
        <w:t xml:space="preserve"> in FASB Accounting Standards Codification (ASC) Topic 320. Prior to ASC 320, banks classified securities as trading or investment. Trading securities, which typically represented a small fraction of bank assets (Barth </w:t>
      </w:r>
      <w:r w:rsidRPr="00A40DDE">
        <w:rPr>
          <w:color w:val="392A97"/>
          <w:sz w:val="28"/>
          <w:szCs w:val="32"/>
        </w:rPr>
        <w:t>1994</w:t>
      </w:r>
      <w:r w:rsidRPr="00A40DDE">
        <w:rPr>
          <w:sz w:val="28"/>
          <w:szCs w:val="32"/>
        </w:rPr>
        <w:t>), were securities the bank intended to trade</w:t>
      </w:r>
    </w:p>
    <w:p w:rsidR="00BE5DC9" w:rsidRPr="00A40DDE" w:rsidRDefault="00BE5DC9" w:rsidP="00BE5DC9">
      <w:pPr>
        <w:spacing w:after="35"/>
        <w:ind w:left="-15" w:right="-13" w:firstLine="0"/>
        <w:rPr>
          <w:sz w:val="28"/>
          <w:szCs w:val="32"/>
        </w:rPr>
      </w:pPr>
      <w:proofErr w:type="gramStart"/>
      <w:r w:rsidRPr="00A40DDE">
        <w:rPr>
          <w:sz w:val="28"/>
          <w:szCs w:val="32"/>
        </w:rPr>
        <w:t>actively</w:t>
      </w:r>
      <w:proofErr w:type="gramEnd"/>
      <w:r w:rsidRPr="00A40DDE">
        <w:rPr>
          <w:sz w:val="28"/>
          <w:szCs w:val="32"/>
        </w:rPr>
        <w:t xml:space="preserve">, and were measured at fair value with changes in fair value recognized in earnings. Investment securities, which represented most bank securities, were debt securities the bank had the ability and intent to hold to maturity, and </w:t>
      </w:r>
      <w:proofErr w:type="gramStart"/>
      <w:r w:rsidRPr="00A40DDE">
        <w:rPr>
          <w:sz w:val="28"/>
          <w:szCs w:val="32"/>
        </w:rPr>
        <w:t>were measured</w:t>
      </w:r>
      <w:proofErr w:type="gramEnd"/>
      <w:r w:rsidRPr="00A40DDE">
        <w:rPr>
          <w:sz w:val="28"/>
          <w:szCs w:val="32"/>
        </w:rPr>
        <w:t xml:space="preserve"> at amortized cost. Although the fair value of investment securities </w:t>
      </w:r>
      <w:proofErr w:type="gramStart"/>
      <w:r w:rsidRPr="00A40DDE">
        <w:rPr>
          <w:sz w:val="28"/>
          <w:szCs w:val="32"/>
        </w:rPr>
        <w:t>was disclosed</w:t>
      </w:r>
      <w:proofErr w:type="gramEnd"/>
      <w:r w:rsidRPr="00A40DDE">
        <w:rPr>
          <w:sz w:val="28"/>
          <w:szCs w:val="32"/>
        </w:rPr>
        <w:t>, there was no accounting recognition on the statement of financial position or income based on those fair values; only realized gains and losses were recognized in earnings and equity.</w:t>
      </w:r>
      <w:r w:rsidRPr="00A40DDE">
        <w:rPr>
          <w:sz w:val="28"/>
          <w:szCs w:val="32"/>
          <w:vertAlign w:val="superscript"/>
        </w:rPr>
        <w:footnoteReference w:id="3"/>
      </w:r>
    </w:p>
    <w:p w:rsidR="00BE5DC9" w:rsidRPr="00A40DDE" w:rsidRDefault="00BE5DC9" w:rsidP="00BE5DC9">
      <w:pPr>
        <w:ind w:left="-15" w:right="-13"/>
        <w:rPr>
          <w:sz w:val="28"/>
          <w:szCs w:val="32"/>
        </w:rPr>
      </w:pPr>
      <w:r w:rsidRPr="00A40DDE">
        <w:rPr>
          <w:sz w:val="28"/>
          <w:szCs w:val="32"/>
        </w:rPr>
        <w:t>ASC 320 requires all entities, including banks, to categorize securities into one of three categories. Trading securities, the first category, are securities that the bank plans to sell in the near term; this category was largely unchanged by ASC 320. Held-</w:t>
      </w:r>
      <w:proofErr w:type="spellStart"/>
      <w:r w:rsidRPr="00A40DDE">
        <w:rPr>
          <w:sz w:val="28"/>
          <w:szCs w:val="32"/>
        </w:rPr>
        <w:t>tomaturity</w:t>
      </w:r>
      <w:proofErr w:type="spellEnd"/>
      <w:r w:rsidRPr="00A40DDE">
        <w:rPr>
          <w:sz w:val="28"/>
          <w:szCs w:val="32"/>
        </w:rPr>
        <w:t xml:space="preserve"> (HTM) securities, the second category, are debt securities that the bank has the positive intent and ability to hold to maturity. Although this description is similar to that of investment securities, the classification criteria in ASC 320 are more stringent. Most notably, ASC 320 introduced </w:t>
      </w:r>
      <w:proofErr w:type="spellStart"/>
      <w:r w:rsidRPr="00A40DDE">
        <w:rPr>
          <w:rFonts w:ascii="Calibri" w:eastAsia="Calibri" w:hAnsi="Calibri" w:cs="Calibri"/>
          <w:sz w:val="28"/>
          <w:szCs w:val="32"/>
        </w:rPr>
        <w:t>B</w:t>
      </w:r>
      <w:r w:rsidRPr="00A40DDE">
        <w:rPr>
          <w:sz w:val="28"/>
          <w:szCs w:val="32"/>
        </w:rPr>
        <w:t>tainting</w:t>
      </w:r>
      <w:proofErr w:type="spellEnd"/>
      <w:r w:rsidRPr="00A40DDE">
        <w:rPr>
          <w:sz w:val="28"/>
          <w:szCs w:val="32"/>
        </w:rPr>
        <w:t xml:space="preserve"> rules</w:t>
      </w:r>
      <w:proofErr w:type="gramStart"/>
      <w:r w:rsidRPr="00A40DDE">
        <w:rPr>
          <w:sz w:val="28"/>
          <w:szCs w:val="32"/>
        </w:rPr>
        <w:t>,</w:t>
      </w:r>
      <w:r w:rsidRPr="00A40DDE">
        <w:rPr>
          <w:rFonts w:ascii="Calibri" w:eastAsia="Calibri" w:hAnsi="Calibri" w:cs="Calibri"/>
          <w:sz w:val="28"/>
          <w:szCs w:val="32"/>
        </w:rPr>
        <w:t>^</w:t>
      </w:r>
      <w:proofErr w:type="gramEnd"/>
      <w:r w:rsidRPr="00A40DDE">
        <w:rPr>
          <w:rFonts w:ascii="Calibri" w:eastAsia="Calibri" w:hAnsi="Calibri" w:cs="Calibri"/>
          <w:sz w:val="28"/>
          <w:szCs w:val="32"/>
        </w:rPr>
        <w:t xml:space="preserve"> </w:t>
      </w:r>
      <w:r w:rsidRPr="00A40DDE">
        <w:rPr>
          <w:sz w:val="28"/>
          <w:szCs w:val="32"/>
        </w:rPr>
        <w:t>under which sales of HTM securities could taint the bank</w:t>
      </w:r>
      <w:r w:rsidRPr="00A40DDE">
        <w:rPr>
          <w:rFonts w:ascii="Calibri" w:eastAsia="Calibri" w:hAnsi="Calibri" w:cs="Calibri"/>
          <w:sz w:val="28"/>
          <w:szCs w:val="32"/>
        </w:rPr>
        <w:t>’</w:t>
      </w:r>
      <w:r w:rsidRPr="00A40DDE">
        <w:rPr>
          <w:sz w:val="28"/>
          <w:szCs w:val="32"/>
        </w:rPr>
        <w:t xml:space="preserve">s assertion that it had a positive intent to hold the securities to maturity, thereby precluding the bank from using the HTM category. The third category is available for sale (AFS). AFS securities are securities other than those categorized as trading and held to maturity. Shortly after ASC 320 became effective, the FASB offered a brief reclassification period during which banks could reclassify securities from HTM, i.e., securities previously classified as investment securities, to AFS (FASB </w:t>
      </w:r>
      <w:r w:rsidRPr="00A40DDE">
        <w:rPr>
          <w:color w:val="392A97"/>
          <w:sz w:val="28"/>
          <w:szCs w:val="32"/>
        </w:rPr>
        <w:t>1995</w:t>
      </w:r>
      <w:r w:rsidRPr="00A40DDE">
        <w:rPr>
          <w:sz w:val="28"/>
          <w:szCs w:val="32"/>
        </w:rPr>
        <w:t>). Most banks did so.</w:t>
      </w:r>
      <w:r w:rsidRPr="00A40DDE">
        <w:rPr>
          <w:sz w:val="28"/>
          <w:szCs w:val="32"/>
          <w:vertAlign w:val="superscript"/>
        </w:rPr>
        <w:footnoteReference w:id="4"/>
      </w:r>
      <w:r w:rsidRPr="00A40DDE">
        <w:rPr>
          <w:sz w:val="28"/>
          <w:szCs w:val="32"/>
          <w:vertAlign w:val="superscript"/>
        </w:rPr>
        <w:t xml:space="preserve"> </w:t>
      </w:r>
      <w:r w:rsidRPr="00A40DDE">
        <w:rPr>
          <w:sz w:val="28"/>
          <w:szCs w:val="32"/>
        </w:rPr>
        <w:t>As a result, AFS replaced investment securities as the largest category of banks</w:t>
      </w:r>
      <w:r w:rsidRPr="00A40DDE">
        <w:rPr>
          <w:rFonts w:ascii="Calibri" w:eastAsia="Calibri" w:hAnsi="Calibri" w:cs="Calibri"/>
          <w:sz w:val="28"/>
          <w:szCs w:val="32"/>
        </w:rPr>
        <w:t xml:space="preserve">’ </w:t>
      </w:r>
      <w:r w:rsidRPr="00A40DDE">
        <w:rPr>
          <w:sz w:val="28"/>
          <w:szCs w:val="32"/>
        </w:rPr>
        <w:t>securities.</w:t>
      </w:r>
    </w:p>
    <w:p w:rsidR="00BE5DC9" w:rsidRPr="00A40DDE" w:rsidRDefault="00BE5DC9" w:rsidP="00BE5DC9">
      <w:pPr>
        <w:ind w:left="-15" w:right="-13"/>
        <w:rPr>
          <w:sz w:val="28"/>
          <w:szCs w:val="32"/>
        </w:rPr>
      </w:pPr>
      <w:r w:rsidRPr="00A40DDE">
        <w:rPr>
          <w:sz w:val="28"/>
          <w:szCs w:val="32"/>
        </w:rPr>
        <w:t xml:space="preserve">Unlike investment securities, AFS securities </w:t>
      </w:r>
      <w:proofErr w:type="gramStart"/>
      <w:r w:rsidRPr="00A40DDE">
        <w:rPr>
          <w:sz w:val="28"/>
          <w:szCs w:val="32"/>
        </w:rPr>
        <w:t>are measured</w:t>
      </w:r>
      <w:proofErr w:type="gramEnd"/>
      <w:r w:rsidRPr="00A40DDE">
        <w:rPr>
          <w:sz w:val="28"/>
          <w:szCs w:val="32"/>
        </w:rPr>
        <w:t xml:space="preserve"> at fair value. However, unrealized</w:t>
      </w:r>
      <w:r w:rsidRPr="00A40DDE">
        <w:rPr>
          <w:rFonts w:hint="cs"/>
          <w:sz w:val="28"/>
          <w:szCs w:val="32"/>
          <w:rtl/>
        </w:rPr>
        <w:t xml:space="preserve"> </w:t>
      </w:r>
      <w:r w:rsidRPr="00A40DDE">
        <w:rPr>
          <w:sz w:val="28"/>
          <w:szCs w:val="32"/>
        </w:rPr>
        <w:t>AFS</w:t>
      </w:r>
      <w:r w:rsidRPr="00A40DDE">
        <w:rPr>
          <w:rFonts w:hint="cs"/>
          <w:sz w:val="28"/>
          <w:szCs w:val="32"/>
          <w:rtl/>
        </w:rPr>
        <w:t xml:space="preserve"> </w:t>
      </w:r>
      <w:r w:rsidRPr="00A40DDE">
        <w:rPr>
          <w:sz w:val="28"/>
          <w:szCs w:val="32"/>
        </w:rPr>
        <w:t>securities</w:t>
      </w:r>
      <w:r w:rsidRPr="00A40DDE">
        <w:rPr>
          <w:rFonts w:hint="cs"/>
          <w:sz w:val="28"/>
          <w:szCs w:val="32"/>
          <w:rtl/>
        </w:rPr>
        <w:t xml:space="preserve"> </w:t>
      </w:r>
      <w:proofErr w:type="spellStart"/>
      <w:r w:rsidRPr="00A40DDE">
        <w:rPr>
          <w:sz w:val="28"/>
          <w:szCs w:val="32"/>
        </w:rPr>
        <w:t>gain</w:t>
      </w:r>
      <w:r w:rsidRPr="00A40DDE">
        <w:rPr>
          <w:rFonts w:hint="cs"/>
          <w:sz w:val="28"/>
          <w:szCs w:val="32"/>
          <w:rtl/>
        </w:rPr>
        <w:t xml:space="preserve"> </w:t>
      </w:r>
      <w:r w:rsidRPr="00A40DDE">
        <w:rPr>
          <w:sz w:val="28"/>
          <w:szCs w:val="32"/>
        </w:rPr>
        <w:t>sand</w:t>
      </w:r>
      <w:proofErr w:type="spellEnd"/>
      <w:r w:rsidRPr="00A40DDE">
        <w:rPr>
          <w:sz w:val="28"/>
          <w:szCs w:val="32"/>
        </w:rPr>
        <w:t xml:space="preserve"> losses </w:t>
      </w:r>
      <w:proofErr w:type="gramStart"/>
      <w:r w:rsidRPr="00A40DDE">
        <w:rPr>
          <w:sz w:val="28"/>
          <w:szCs w:val="32"/>
        </w:rPr>
        <w:t>are recognized</w:t>
      </w:r>
      <w:proofErr w:type="gramEnd"/>
      <w:r w:rsidRPr="00A40DDE">
        <w:rPr>
          <w:rFonts w:hint="cs"/>
          <w:sz w:val="28"/>
          <w:szCs w:val="32"/>
          <w:rtl/>
        </w:rPr>
        <w:t xml:space="preserve"> </w:t>
      </w:r>
      <w:r w:rsidRPr="00A40DDE">
        <w:rPr>
          <w:sz w:val="28"/>
          <w:szCs w:val="32"/>
        </w:rPr>
        <w:t>in</w:t>
      </w:r>
      <w:r w:rsidRPr="00A40DDE">
        <w:rPr>
          <w:rFonts w:hint="cs"/>
          <w:sz w:val="28"/>
          <w:szCs w:val="32"/>
          <w:rtl/>
        </w:rPr>
        <w:t xml:space="preserve"> </w:t>
      </w:r>
      <w:r w:rsidRPr="00A40DDE">
        <w:rPr>
          <w:sz w:val="28"/>
          <w:szCs w:val="32"/>
        </w:rPr>
        <w:t>other comprehensive</w:t>
      </w:r>
      <w:r w:rsidRPr="00A40DDE">
        <w:rPr>
          <w:rFonts w:hint="cs"/>
          <w:sz w:val="28"/>
          <w:szCs w:val="32"/>
          <w:rtl/>
        </w:rPr>
        <w:t xml:space="preserve"> </w:t>
      </w:r>
      <w:r w:rsidRPr="00A40DDE">
        <w:rPr>
          <w:sz w:val="28"/>
          <w:szCs w:val="32"/>
        </w:rPr>
        <w:t>income.</w:t>
      </w:r>
    </w:p>
    <w:p w:rsidR="00BE5DC9" w:rsidRPr="00A40DDE" w:rsidRDefault="00BE5DC9" w:rsidP="00BE5DC9">
      <w:pPr>
        <w:rPr>
          <w:sz w:val="28"/>
          <w:szCs w:val="32"/>
          <w:rtl/>
        </w:rPr>
      </w:pPr>
      <w:r w:rsidRPr="00A40DDE">
        <w:rPr>
          <w:sz w:val="28"/>
          <w:szCs w:val="32"/>
        </w:rPr>
        <w:lastRenderedPageBreak/>
        <w:t>These gains and losses are only recognized in earnings when they are realized, i.e., when the security is sold or otherwise disposed of, or when impairment is deemed other-than</w:t>
      </w:r>
      <w:r w:rsidRPr="00A40DDE">
        <w:rPr>
          <w:rFonts w:hint="cs"/>
          <w:sz w:val="28"/>
          <w:szCs w:val="32"/>
          <w:rtl/>
        </w:rPr>
        <w:t xml:space="preserve"> </w:t>
      </w:r>
      <w:r w:rsidRPr="00A40DDE">
        <w:rPr>
          <w:sz w:val="28"/>
          <w:szCs w:val="32"/>
        </w:rPr>
        <w:t xml:space="preserve">temporary. That unrealized gains and losses on AFS securities do not affect earnings motivates the prediction that bank managers selectively sell or otherwise dispose of these securities to manage earnings. However, if bank managers view comprehensive income as the earnings management target, we will not observe evidence of this strategic selling behavior. Unrealized gains and losses (gains) on AFS debt (equity) securities </w:t>
      </w:r>
      <w:proofErr w:type="gramStart"/>
      <w:r w:rsidRPr="00A40DDE">
        <w:rPr>
          <w:sz w:val="28"/>
          <w:szCs w:val="32"/>
        </w:rPr>
        <w:t>are excluded</w:t>
      </w:r>
      <w:proofErr w:type="gramEnd"/>
      <w:r w:rsidRPr="00A40DDE">
        <w:rPr>
          <w:sz w:val="28"/>
          <w:szCs w:val="32"/>
        </w:rPr>
        <w:t xml:space="preserve"> from Tier 1 regulatory capital and thus affect regulatory capital only when realized.</w:t>
      </w:r>
      <w:r w:rsidRPr="00A40DDE">
        <w:rPr>
          <w:sz w:val="28"/>
          <w:szCs w:val="32"/>
          <w:vertAlign w:val="superscript"/>
        </w:rPr>
        <w:footnoteReference w:id="5"/>
      </w:r>
      <w:r w:rsidRPr="00A40DDE">
        <w:rPr>
          <w:sz w:val="28"/>
          <w:szCs w:val="32"/>
        </w:rPr>
        <w:t>Therefore, realizing unrealized gains or losses</w:t>
      </w:r>
      <w:r w:rsidR="000956F5" w:rsidRPr="00A40DDE">
        <w:rPr>
          <w:rFonts w:hint="cs"/>
          <w:sz w:val="28"/>
          <w:szCs w:val="32"/>
          <w:rtl/>
        </w:rPr>
        <w:t>.</w:t>
      </w:r>
    </w:p>
    <w:p w:rsidR="000956F5" w:rsidRPr="00A40DDE" w:rsidRDefault="000956F5" w:rsidP="000956F5">
      <w:pPr>
        <w:ind w:left="-15" w:right="-13" w:firstLine="0"/>
        <w:rPr>
          <w:sz w:val="28"/>
          <w:szCs w:val="32"/>
        </w:rPr>
      </w:pPr>
      <w:proofErr w:type="gramStart"/>
      <w:r w:rsidRPr="00A40DDE">
        <w:rPr>
          <w:sz w:val="28"/>
          <w:szCs w:val="32"/>
        </w:rPr>
        <w:t>largely</w:t>
      </w:r>
      <w:proofErr w:type="gramEnd"/>
      <w:r w:rsidRPr="00A40DDE">
        <w:rPr>
          <w:sz w:val="28"/>
          <w:szCs w:val="32"/>
        </w:rPr>
        <w:t xml:space="preserve"> determines when the gains or losses are included in regulatory capital as well as earnings.</w:t>
      </w:r>
    </w:p>
    <w:p w:rsidR="000956F5" w:rsidRPr="00A40DDE" w:rsidRDefault="000956F5" w:rsidP="000956F5">
      <w:pPr>
        <w:ind w:left="-15" w:right="-13"/>
        <w:rPr>
          <w:sz w:val="28"/>
          <w:szCs w:val="32"/>
        </w:rPr>
      </w:pPr>
      <w:r w:rsidRPr="00A40DDE">
        <w:rPr>
          <w:sz w:val="28"/>
          <w:szCs w:val="32"/>
        </w:rPr>
        <w:t xml:space="preserve">Our tests focus on realized gains and losses on AFS securities. Trading securities </w:t>
      </w:r>
      <w:proofErr w:type="gramStart"/>
      <w:r w:rsidRPr="00A40DDE">
        <w:rPr>
          <w:sz w:val="28"/>
          <w:szCs w:val="32"/>
        </w:rPr>
        <w:t>are measured</w:t>
      </w:r>
      <w:proofErr w:type="gramEnd"/>
      <w:r w:rsidRPr="00A40DDE">
        <w:rPr>
          <w:sz w:val="28"/>
          <w:szCs w:val="32"/>
        </w:rPr>
        <w:t xml:space="preserve"> at fair value, with changes in fair value, including unrealized gains and losses, recognized in earnings and regulatory capital. Thus, there is no incentive to realize trading securities gains and losses to manage earnings or regulatory capital. Because HTM securities </w:t>
      </w:r>
      <w:proofErr w:type="gramStart"/>
      <w:r w:rsidRPr="00A40DDE">
        <w:rPr>
          <w:sz w:val="28"/>
          <w:szCs w:val="32"/>
        </w:rPr>
        <w:t>are measured</w:t>
      </w:r>
      <w:proofErr w:type="gramEnd"/>
      <w:r w:rsidRPr="00A40DDE">
        <w:rPr>
          <w:sz w:val="28"/>
          <w:szCs w:val="32"/>
        </w:rPr>
        <w:t xml:space="preserve"> at amortized cost, realizing gains and losses on HTM securities affects earnings. However, selling HTM securities risks violating the tainting rules, which means that banks are unlikely to use these realized gains and losses to manage earnings or regulatory capital.</w:t>
      </w:r>
    </w:p>
    <w:p w:rsidR="000956F5" w:rsidRPr="00A40DDE" w:rsidRDefault="000956F5" w:rsidP="000956F5">
      <w:pPr>
        <w:ind w:left="-15" w:right="-13"/>
        <w:rPr>
          <w:sz w:val="28"/>
          <w:szCs w:val="32"/>
        </w:rPr>
      </w:pPr>
      <w:r w:rsidRPr="00A40DDE">
        <w:rPr>
          <w:sz w:val="28"/>
          <w:szCs w:val="32"/>
        </w:rPr>
        <w:t>Realizing securities gains and losses is a potentially attractive way to manage earnings and regulatory capital because it could be less costly than managing accruals or engaging in other real earnings management activities.</w:t>
      </w:r>
      <w:r w:rsidRPr="00A40DDE">
        <w:rPr>
          <w:sz w:val="28"/>
          <w:szCs w:val="32"/>
          <w:vertAlign w:val="superscript"/>
        </w:rPr>
        <w:footnoteReference w:id="6"/>
      </w:r>
      <w:r w:rsidRPr="00A40DDE">
        <w:rPr>
          <w:sz w:val="28"/>
          <w:szCs w:val="32"/>
          <w:vertAlign w:val="superscript"/>
        </w:rPr>
        <w:t xml:space="preserve"> </w:t>
      </w:r>
      <w:r w:rsidRPr="00A40DDE">
        <w:rPr>
          <w:sz w:val="28"/>
          <w:szCs w:val="32"/>
        </w:rPr>
        <w:t>Although securities sales involve transactions costs, such sales are not as subject to ex post scrutiny</w:t>
      </w:r>
      <w:r w:rsidRPr="00A40DDE">
        <w:rPr>
          <w:rFonts w:ascii="Calibri" w:eastAsia="Calibri" w:hAnsi="Calibri" w:cs="Calibri"/>
          <w:sz w:val="28"/>
          <w:szCs w:val="32"/>
        </w:rPr>
        <w:t>—</w:t>
      </w:r>
      <w:r w:rsidRPr="00A40DDE">
        <w:rPr>
          <w:sz w:val="28"/>
          <w:szCs w:val="32"/>
        </w:rPr>
        <w:t>such as from auditors</w:t>
      </w:r>
      <w:r w:rsidRPr="00A40DDE">
        <w:rPr>
          <w:rFonts w:ascii="Calibri" w:eastAsia="Calibri" w:hAnsi="Calibri" w:cs="Calibri"/>
          <w:sz w:val="28"/>
          <w:szCs w:val="32"/>
        </w:rPr>
        <w:t>—</w:t>
      </w:r>
      <w:r w:rsidRPr="00A40DDE">
        <w:rPr>
          <w:sz w:val="28"/>
          <w:szCs w:val="32"/>
        </w:rPr>
        <w:t xml:space="preserve">as accruals because there is a transaction. Such scrutiny is costly and, coupled with accounting rules, limits the extent to which banks can manage accruals. Although the extent to which a bank can realize AFS securities gains and losses </w:t>
      </w:r>
      <w:proofErr w:type="gramStart"/>
      <w:r w:rsidRPr="00A40DDE">
        <w:rPr>
          <w:sz w:val="28"/>
          <w:szCs w:val="32"/>
        </w:rPr>
        <w:t>is limited</w:t>
      </w:r>
      <w:proofErr w:type="gramEnd"/>
      <w:r w:rsidRPr="00A40DDE">
        <w:rPr>
          <w:sz w:val="28"/>
          <w:szCs w:val="32"/>
        </w:rPr>
        <w:t xml:space="preserve"> by the extent to which the bank has unrealized gains and </w:t>
      </w:r>
      <w:r w:rsidRPr="00A40DDE">
        <w:rPr>
          <w:sz w:val="28"/>
          <w:szCs w:val="32"/>
        </w:rPr>
        <w:lastRenderedPageBreak/>
        <w:t>losses to realize, realizing AFS securities gains and losses avoids costs associated with accruals-based earnings management.</w:t>
      </w:r>
    </w:p>
    <w:p w:rsidR="000956F5" w:rsidRPr="00A40DDE" w:rsidRDefault="000956F5" w:rsidP="000956F5">
      <w:pPr>
        <w:ind w:left="-15" w:right="-13"/>
        <w:rPr>
          <w:sz w:val="28"/>
          <w:szCs w:val="32"/>
        </w:rPr>
      </w:pPr>
      <w:r w:rsidRPr="00A40DDE">
        <w:rPr>
          <w:sz w:val="28"/>
          <w:szCs w:val="32"/>
        </w:rPr>
        <w:t xml:space="preserve">Opportunistically realizing securities gains and losses can affect earnings and regulatory capital to an economically meaningful extent. </w:t>
      </w:r>
      <w:proofErr w:type="spellStart"/>
      <w:r w:rsidRPr="00A40DDE">
        <w:rPr>
          <w:sz w:val="28"/>
          <w:szCs w:val="32"/>
        </w:rPr>
        <w:t>Nissim</w:t>
      </w:r>
      <w:proofErr w:type="spellEnd"/>
      <w:r w:rsidRPr="00A40DDE">
        <w:rPr>
          <w:sz w:val="28"/>
          <w:szCs w:val="32"/>
        </w:rPr>
        <w:t xml:space="preserve"> and Penman (</w:t>
      </w:r>
      <w:r w:rsidRPr="00A40DDE">
        <w:rPr>
          <w:color w:val="392A97"/>
          <w:sz w:val="28"/>
          <w:szCs w:val="32"/>
        </w:rPr>
        <w:t>2007</w:t>
      </w:r>
      <w:r w:rsidRPr="00A40DDE">
        <w:rPr>
          <w:sz w:val="28"/>
          <w:szCs w:val="32"/>
        </w:rPr>
        <w:t xml:space="preserve">) and </w:t>
      </w:r>
      <w:proofErr w:type="spellStart"/>
      <w:proofErr w:type="gramStart"/>
      <w:r w:rsidRPr="00A40DDE">
        <w:rPr>
          <w:sz w:val="28"/>
          <w:szCs w:val="32"/>
        </w:rPr>
        <w:t>Laux</w:t>
      </w:r>
      <w:proofErr w:type="spellEnd"/>
      <w:r w:rsidRPr="00A40DDE">
        <w:rPr>
          <w:rFonts w:hint="cs"/>
          <w:sz w:val="28"/>
          <w:szCs w:val="32"/>
          <w:rtl/>
        </w:rPr>
        <w:t xml:space="preserve"> </w:t>
      </w:r>
      <w:r w:rsidRPr="00A40DDE">
        <w:rPr>
          <w:sz w:val="28"/>
          <w:szCs w:val="32"/>
        </w:rPr>
        <w:t xml:space="preserve"> and</w:t>
      </w:r>
      <w:proofErr w:type="gramEnd"/>
      <w:r w:rsidRPr="00A40DDE">
        <w:rPr>
          <w:sz w:val="28"/>
          <w:szCs w:val="32"/>
        </w:rPr>
        <w:t xml:space="preserve"> </w:t>
      </w:r>
      <w:proofErr w:type="spellStart"/>
      <w:r w:rsidRPr="00A40DDE">
        <w:rPr>
          <w:sz w:val="28"/>
          <w:szCs w:val="32"/>
        </w:rPr>
        <w:t>Leuz</w:t>
      </w:r>
      <w:proofErr w:type="spellEnd"/>
      <w:r w:rsidRPr="00A40DDE">
        <w:rPr>
          <w:sz w:val="28"/>
          <w:szCs w:val="32"/>
        </w:rPr>
        <w:t xml:space="preserve"> (</w:t>
      </w:r>
      <w:r w:rsidRPr="00A40DDE">
        <w:rPr>
          <w:color w:val="392A97"/>
          <w:sz w:val="28"/>
          <w:szCs w:val="32"/>
        </w:rPr>
        <w:t>2010</w:t>
      </w:r>
      <w:r w:rsidRPr="00A40DDE">
        <w:rPr>
          <w:sz w:val="28"/>
          <w:szCs w:val="32"/>
        </w:rPr>
        <w:t>) report that banks classify 95% of non-trading securities as AFS, which represents 16% of total assets. Although trading securities represent more than 12% of total assets for the largest bank holding companies, they represent nearly 0% of total assets for the majority of banks.</w:t>
      </w:r>
      <w:r w:rsidRPr="00A40DDE">
        <w:rPr>
          <w:sz w:val="28"/>
          <w:szCs w:val="32"/>
          <w:vertAlign w:val="superscript"/>
        </w:rPr>
        <w:t>6</w:t>
      </w:r>
    </w:p>
    <w:p w:rsidR="000956F5" w:rsidRPr="00A40DDE" w:rsidRDefault="000956F5" w:rsidP="000956F5">
      <w:pPr>
        <w:spacing w:after="230" w:line="265" w:lineRule="auto"/>
        <w:ind w:left="-5" w:right="0" w:hanging="10"/>
        <w:jc w:val="left"/>
        <w:rPr>
          <w:sz w:val="28"/>
          <w:szCs w:val="32"/>
          <w:rtl/>
        </w:rPr>
      </w:pPr>
      <w:r w:rsidRPr="00A40DDE">
        <w:rPr>
          <w:sz w:val="28"/>
          <w:szCs w:val="32"/>
        </w:rPr>
        <w:t>2.2 Related research on earnings management in banks</w:t>
      </w:r>
      <w:r w:rsidRPr="00A40DDE">
        <w:rPr>
          <w:rFonts w:hint="cs"/>
          <w:sz w:val="28"/>
          <w:szCs w:val="32"/>
          <w:rtl/>
        </w:rPr>
        <w:t>.</w:t>
      </w:r>
    </w:p>
    <w:p w:rsidR="000956F5" w:rsidRPr="00A40DDE" w:rsidRDefault="000956F5" w:rsidP="000956F5">
      <w:pPr>
        <w:ind w:left="-15" w:right="-13" w:firstLine="0"/>
        <w:rPr>
          <w:sz w:val="28"/>
          <w:szCs w:val="32"/>
        </w:rPr>
      </w:pPr>
      <w:proofErr w:type="gramStart"/>
      <w:r w:rsidRPr="00A40DDE">
        <w:rPr>
          <w:sz w:val="28"/>
          <w:szCs w:val="32"/>
        </w:rPr>
        <w:t xml:space="preserve">The literature on earnings management is extensive and offers several incentives for listed firms to manage earnings, such as smoothing earnings (e.g., Healy and </w:t>
      </w:r>
      <w:proofErr w:type="spellStart"/>
      <w:r w:rsidRPr="00A40DDE">
        <w:rPr>
          <w:sz w:val="28"/>
          <w:szCs w:val="32"/>
        </w:rPr>
        <w:t>Wahlen</w:t>
      </w:r>
      <w:proofErr w:type="spellEnd"/>
      <w:r w:rsidRPr="00A40DDE">
        <w:rPr>
          <w:sz w:val="28"/>
          <w:szCs w:val="32"/>
        </w:rPr>
        <w:t xml:space="preserve"> </w:t>
      </w:r>
      <w:r w:rsidRPr="00A40DDE">
        <w:rPr>
          <w:color w:val="392A97"/>
          <w:sz w:val="28"/>
          <w:szCs w:val="32"/>
        </w:rPr>
        <w:t>1999</w:t>
      </w:r>
      <w:r w:rsidRPr="00A40DDE">
        <w:rPr>
          <w:sz w:val="28"/>
          <w:szCs w:val="32"/>
        </w:rPr>
        <w:t xml:space="preserve">; </w:t>
      </w:r>
      <w:proofErr w:type="spellStart"/>
      <w:r w:rsidRPr="00A40DDE">
        <w:rPr>
          <w:sz w:val="28"/>
          <w:szCs w:val="32"/>
        </w:rPr>
        <w:t>Dechow</w:t>
      </w:r>
      <w:proofErr w:type="spellEnd"/>
      <w:r w:rsidRPr="00A40DDE">
        <w:rPr>
          <w:sz w:val="28"/>
          <w:szCs w:val="32"/>
        </w:rPr>
        <w:t xml:space="preserve"> et al. </w:t>
      </w:r>
      <w:r w:rsidRPr="00A40DDE">
        <w:rPr>
          <w:color w:val="392A97"/>
          <w:sz w:val="28"/>
          <w:szCs w:val="32"/>
        </w:rPr>
        <w:t>2010b</w:t>
      </w:r>
      <w:r w:rsidRPr="00A40DDE">
        <w:rPr>
          <w:sz w:val="28"/>
          <w:szCs w:val="32"/>
        </w:rPr>
        <w:t xml:space="preserve">), managing earnings relative to a target (e.g., </w:t>
      </w:r>
      <w:proofErr w:type="spellStart"/>
      <w:r w:rsidRPr="00A40DDE">
        <w:rPr>
          <w:sz w:val="28"/>
          <w:szCs w:val="32"/>
        </w:rPr>
        <w:t>Burgstahler</w:t>
      </w:r>
      <w:proofErr w:type="spellEnd"/>
      <w:r w:rsidRPr="00A40DDE">
        <w:rPr>
          <w:sz w:val="28"/>
          <w:szCs w:val="32"/>
        </w:rPr>
        <w:t xml:space="preserve"> and </w:t>
      </w:r>
      <w:proofErr w:type="spellStart"/>
      <w:r w:rsidRPr="00A40DDE">
        <w:rPr>
          <w:sz w:val="28"/>
          <w:szCs w:val="32"/>
        </w:rPr>
        <w:t>Dichev</w:t>
      </w:r>
      <w:proofErr w:type="spellEnd"/>
      <w:r w:rsidRPr="00A40DDE">
        <w:rPr>
          <w:sz w:val="28"/>
          <w:szCs w:val="32"/>
        </w:rPr>
        <w:t xml:space="preserve"> </w:t>
      </w:r>
      <w:r w:rsidRPr="00A40DDE">
        <w:rPr>
          <w:color w:val="392A97"/>
          <w:sz w:val="28"/>
          <w:szCs w:val="32"/>
        </w:rPr>
        <w:t>1997</w:t>
      </w:r>
      <w:r w:rsidRPr="00A40DDE">
        <w:rPr>
          <w:sz w:val="28"/>
          <w:szCs w:val="32"/>
        </w:rPr>
        <w:t xml:space="preserve">; </w:t>
      </w:r>
      <w:proofErr w:type="spellStart"/>
      <w:r w:rsidRPr="00A40DDE">
        <w:rPr>
          <w:sz w:val="28"/>
          <w:szCs w:val="32"/>
        </w:rPr>
        <w:t>Degeorge</w:t>
      </w:r>
      <w:proofErr w:type="spellEnd"/>
      <w:r w:rsidRPr="00A40DDE">
        <w:rPr>
          <w:sz w:val="28"/>
          <w:szCs w:val="32"/>
        </w:rPr>
        <w:t xml:space="preserve"> et al. </w:t>
      </w:r>
      <w:r w:rsidRPr="00A40DDE">
        <w:rPr>
          <w:color w:val="392A97"/>
          <w:sz w:val="28"/>
          <w:szCs w:val="32"/>
        </w:rPr>
        <w:t>1999</w:t>
      </w:r>
      <w:r w:rsidRPr="00A40DDE">
        <w:rPr>
          <w:sz w:val="28"/>
          <w:szCs w:val="32"/>
        </w:rPr>
        <w:t xml:space="preserve">), and recognizing large losses when a loss is unavoidable to increase the likelihood of positive earnings in the future, i.e., taking a big bath (see, e.g., </w:t>
      </w:r>
      <w:proofErr w:type="spellStart"/>
      <w:r w:rsidRPr="00A40DDE">
        <w:rPr>
          <w:sz w:val="28"/>
          <w:szCs w:val="32"/>
        </w:rPr>
        <w:t>Dechow</w:t>
      </w:r>
      <w:proofErr w:type="spellEnd"/>
      <w:r w:rsidRPr="00A40DDE">
        <w:rPr>
          <w:sz w:val="28"/>
          <w:szCs w:val="32"/>
        </w:rPr>
        <w:t xml:space="preserve"> et al. </w:t>
      </w:r>
      <w:r w:rsidRPr="00A40DDE">
        <w:rPr>
          <w:color w:val="392A97"/>
          <w:sz w:val="28"/>
          <w:szCs w:val="32"/>
        </w:rPr>
        <w:t xml:space="preserve">2010a </w:t>
      </w:r>
      <w:r w:rsidRPr="00A40DDE">
        <w:rPr>
          <w:sz w:val="28"/>
          <w:szCs w:val="32"/>
        </w:rPr>
        <w:t>for a review).</w:t>
      </w:r>
      <w:proofErr w:type="gramEnd"/>
      <w:r w:rsidRPr="00A40DDE">
        <w:rPr>
          <w:sz w:val="28"/>
          <w:szCs w:val="32"/>
        </w:rPr>
        <w:t xml:space="preserve"> Coppens and Peek (</w:t>
      </w:r>
      <w:r w:rsidRPr="00A40DDE">
        <w:rPr>
          <w:color w:val="392A97"/>
          <w:sz w:val="28"/>
          <w:szCs w:val="32"/>
        </w:rPr>
        <w:t>2005</w:t>
      </w:r>
      <w:r w:rsidRPr="00A40DDE">
        <w:rPr>
          <w:sz w:val="28"/>
          <w:szCs w:val="32"/>
        </w:rPr>
        <w:t>), Graham et al. (</w:t>
      </w:r>
      <w:r w:rsidRPr="00A40DDE">
        <w:rPr>
          <w:color w:val="392A97"/>
          <w:sz w:val="28"/>
          <w:szCs w:val="32"/>
        </w:rPr>
        <w:t>2005</w:t>
      </w:r>
      <w:r w:rsidRPr="00A40DDE">
        <w:rPr>
          <w:sz w:val="28"/>
          <w:szCs w:val="32"/>
        </w:rPr>
        <w:t xml:space="preserve">), </w:t>
      </w:r>
      <w:proofErr w:type="spellStart"/>
      <w:r w:rsidRPr="00A40DDE">
        <w:rPr>
          <w:sz w:val="28"/>
          <w:szCs w:val="32"/>
        </w:rPr>
        <w:t>Burgstahler</w:t>
      </w:r>
      <w:proofErr w:type="spellEnd"/>
      <w:r w:rsidRPr="00A40DDE">
        <w:rPr>
          <w:sz w:val="28"/>
          <w:szCs w:val="32"/>
        </w:rPr>
        <w:t xml:space="preserve"> et al. (</w:t>
      </w:r>
      <w:r w:rsidRPr="00A40DDE">
        <w:rPr>
          <w:color w:val="392A97"/>
          <w:sz w:val="28"/>
          <w:szCs w:val="32"/>
        </w:rPr>
        <w:t>2006</w:t>
      </w:r>
      <w:r w:rsidRPr="00A40DDE">
        <w:rPr>
          <w:sz w:val="28"/>
          <w:szCs w:val="32"/>
        </w:rPr>
        <w:t>), and Hope et al. (</w:t>
      </w:r>
      <w:r w:rsidRPr="00A40DDE">
        <w:rPr>
          <w:color w:val="392A97"/>
          <w:sz w:val="28"/>
          <w:szCs w:val="32"/>
        </w:rPr>
        <w:t>2013</w:t>
      </w:r>
      <w:r w:rsidRPr="00A40DDE">
        <w:rPr>
          <w:sz w:val="28"/>
          <w:szCs w:val="32"/>
        </w:rPr>
        <w:t>) reveal that non-listed firms also perceive earnings management as important. All of these incentives apply to banks. In addition, banks are subject to regulatory capital requirements; thus, banks with low regulatory capital have an incentive to increase it or at least not decrease it substantially. As a result, banks could manage earnings to accomplish that objective. Beatty and Liao (</w:t>
      </w:r>
      <w:r w:rsidRPr="00A40DDE">
        <w:rPr>
          <w:color w:val="392A97"/>
          <w:sz w:val="28"/>
          <w:szCs w:val="32"/>
        </w:rPr>
        <w:t>2014</w:t>
      </w:r>
      <w:r w:rsidRPr="00A40DDE">
        <w:rPr>
          <w:sz w:val="28"/>
          <w:szCs w:val="32"/>
        </w:rPr>
        <w:t>) provides a review of the large empirical literature on the banking industry, including that addressing earnings management.</w:t>
      </w:r>
    </w:p>
    <w:p w:rsidR="000956F5" w:rsidRPr="00A40DDE" w:rsidRDefault="000956F5" w:rsidP="000956F5">
      <w:pPr>
        <w:ind w:left="-15" w:right="-13"/>
        <w:rPr>
          <w:sz w:val="28"/>
          <w:szCs w:val="32"/>
        </w:rPr>
      </w:pPr>
      <w:r w:rsidRPr="00A40DDE">
        <w:rPr>
          <w:sz w:val="28"/>
          <w:szCs w:val="32"/>
        </w:rPr>
        <w:t>Banks</w:t>
      </w:r>
      <w:r w:rsidRPr="00A40DDE">
        <w:rPr>
          <w:rFonts w:ascii="Calibri" w:eastAsia="Calibri" w:hAnsi="Calibri" w:cs="Calibri"/>
          <w:sz w:val="28"/>
          <w:szCs w:val="32"/>
        </w:rPr>
        <w:t xml:space="preserve">’ </w:t>
      </w:r>
      <w:r w:rsidRPr="00A40DDE">
        <w:rPr>
          <w:sz w:val="28"/>
          <w:szCs w:val="32"/>
        </w:rPr>
        <w:t>use of realized securities gains and losses to smooth earnings has been a topic of accounting research for at least 25 years. The findings from this literature suggest that banks engage in this smoothing behavior, but the findings are not consistently robust. Barth et al. (</w:t>
      </w:r>
      <w:r w:rsidRPr="00A40DDE">
        <w:rPr>
          <w:color w:val="392A97"/>
          <w:sz w:val="28"/>
          <w:szCs w:val="32"/>
        </w:rPr>
        <w:t>1990</w:t>
      </w:r>
      <w:r w:rsidRPr="00A40DDE">
        <w:rPr>
          <w:sz w:val="28"/>
          <w:szCs w:val="32"/>
        </w:rPr>
        <w:t xml:space="preserve">) finds that </w:t>
      </w:r>
      <w:proofErr w:type="gramStart"/>
      <w:r w:rsidRPr="00A40DDE">
        <w:rPr>
          <w:sz w:val="28"/>
          <w:szCs w:val="32"/>
        </w:rPr>
        <w:t>investors</w:t>
      </w:r>
      <w:proofErr w:type="gramEnd"/>
      <w:r w:rsidRPr="00A40DDE">
        <w:rPr>
          <w:sz w:val="28"/>
          <w:szCs w:val="32"/>
        </w:rPr>
        <w:t xml:space="preserve"> price annual realized securities gains and losses as if they perceive that bank managers time the gains and losses to offset losses and gains in other earnings. See also Ahmed and Takeda (</w:t>
      </w:r>
      <w:r w:rsidRPr="00A40DDE">
        <w:rPr>
          <w:color w:val="392A97"/>
          <w:sz w:val="28"/>
          <w:szCs w:val="32"/>
        </w:rPr>
        <w:t>1995</w:t>
      </w:r>
      <w:r w:rsidRPr="00A40DDE">
        <w:rPr>
          <w:sz w:val="28"/>
          <w:szCs w:val="32"/>
        </w:rPr>
        <w:t xml:space="preserve">) and Warfield and </w:t>
      </w:r>
      <w:proofErr w:type="spellStart"/>
      <w:r w:rsidRPr="00A40DDE">
        <w:rPr>
          <w:sz w:val="28"/>
          <w:szCs w:val="32"/>
        </w:rPr>
        <w:t>Linsmeier</w:t>
      </w:r>
      <w:proofErr w:type="spellEnd"/>
      <w:r w:rsidRPr="00A40DDE">
        <w:rPr>
          <w:sz w:val="28"/>
          <w:szCs w:val="32"/>
        </w:rPr>
        <w:t xml:space="preserve"> (</w:t>
      </w:r>
      <w:r w:rsidRPr="00A40DDE">
        <w:rPr>
          <w:color w:val="392A97"/>
          <w:sz w:val="28"/>
          <w:szCs w:val="32"/>
        </w:rPr>
        <w:t>1992</w:t>
      </w:r>
      <w:r w:rsidRPr="00A40DDE">
        <w:rPr>
          <w:sz w:val="28"/>
          <w:szCs w:val="32"/>
        </w:rPr>
        <w:t>). Beatty et al. (</w:t>
      </w:r>
      <w:r w:rsidRPr="00A40DDE">
        <w:rPr>
          <w:color w:val="392A97"/>
          <w:sz w:val="28"/>
          <w:szCs w:val="32"/>
        </w:rPr>
        <w:t>1995</w:t>
      </w:r>
      <w:r w:rsidRPr="00A40DDE">
        <w:rPr>
          <w:sz w:val="28"/>
          <w:szCs w:val="32"/>
        </w:rPr>
        <w:t>) finds that banks smooth earnings using miscellaneous gains and losses, which includes gains and losses on fixed assets, loans, and credit card portfolios in addition to realized securities gains and losses. However, the association between earnings and miscellaneous gains and losses is not significant when the estimation equation includes bank fixed effects. Collins et al. (</w:t>
      </w:r>
      <w:r w:rsidRPr="00A40DDE">
        <w:rPr>
          <w:color w:val="392A97"/>
          <w:sz w:val="28"/>
          <w:szCs w:val="32"/>
        </w:rPr>
        <w:t>1995</w:t>
      </w:r>
      <w:r w:rsidRPr="00A40DDE">
        <w:rPr>
          <w:sz w:val="28"/>
          <w:szCs w:val="32"/>
        </w:rPr>
        <w:t xml:space="preserve">) also finds that banks use realized securities gains and losses to smooth earnings, although not consistently across </w:t>
      </w:r>
      <w:r w:rsidRPr="00A40DDE">
        <w:rPr>
          <w:sz w:val="28"/>
          <w:szCs w:val="32"/>
        </w:rPr>
        <w:lastRenderedPageBreak/>
        <w:t>specifications. These studies base their findings on samples of 638</w:t>
      </w:r>
      <w:r w:rsidRPr="00A40DDE">
        <w:rPr>
          <w:rFonts w:ascii="Calibri" w:eastAsia="Calibri" w:hAnsi="Calibri" w:cs="Calibri"/>
          <w:sz w:val="28"/>
          <w:szCs w:val="32"/>
        </w:rPr>
        <w:t xml:space="preserve">– </w:t>
      </w:r>
      <w:r w:rsidRPr="00A40DDE">
        <w:rPr>
          <w:sz w:val="28"/>
          <w:szCs w:val="32"/>
        </w:rPr>
        <w:t>3256 observations between 1969 and 1991 from the 150 largest bank holding companies.</w:t>
      </w:r>
    </w:p>
    <w:p w:rsidR="000956F5" w:rsidRPr="00A40DDE" w:rsidRDefault="000956F5" w:rsidP="000956F5">
      <w:pPr>
        <w:spacing w:after="230" w:line="265" w:lineRule="auto"/>
        <w:ind w:left="-5" w:right="0" w:hanging="10"/>
        <w:jc w:val="left"/>
        <w:rPr>
          <w:sz w:val="28"/>
          <w:szCs w:val="32"/>
        </w:rPr>
      </w:pPr>
      <w:r w:rsidRPr="00A40DDE">
        <w:rPr>
          <w:sz w:val="28"/>
          <w:szCs w:val="32"/>
        </w:rPr>
        <w:t>Beatty and Harris (</w:t>
      </w:r>
      <w:r w:rsidRPr="00A40DDE">
        <w:rPr>
          <w:color w:val="392A97"/>
          <w:sz w:val="28"/>
          <w:szCs w:val="32"/>
        </w:rPr>
        <w:t>1998</w:t>
      </w:r>
      <w:r w:rsidRPr="00A40DDE">
        <w:rPr>
          <w:sz w:val="28"/>
          <w:szCs w:val="32"/>
        </w:rPr>
        <w:t xml:space="preserve">, BH) investigates differences in earnings smoothing for listed and non-listed banks using a sample of 778 bank-year observations from 1991 and 1992, 265 (513) of which are from listed (non-listed) banks. BH finds that both types of banks engage in earnings smoothing using realized securities gains and losses, but that listed banks do so </w:t>
      </w:r>
      <w:proofErr w:type="gramStart"/>
      <w:r w:rsidRPr="00A40DDE">
        <w:rPr>
          <w:sz w:val="28"/>
          <w:szCs w:val="32"/>
        </w:rPr>
        <w:t>to a greater extent</w:t>
      </w:r>
      <w:proofErr w:type="gramEnd"/>
      <w:r w:rsidRPr="00A40DDE">
        <w:rPr>
          <w:sz w:val="28"/>
          <w:szCs w:val="32"/>
        </w:rPr>
        <w:t>. BH also reports evidence that listed banks use this earnings smoothing to convey information to investors regarding next quarter</w:t>
      </w:r>
      <w:r w:rsidRPr="00A40DDE">
        <w:rPr>
          <w:rFonts w:ascii="Calibri" w:eastAsia="Calibri" w:hAnsi="Calibri" w:cs="Calibri"/>
          <w:sz w:val="28"/>
          <w:szCs w:val="32"/>
        </w:rPr>
        <w:t>’</w:t>
      </w:r>
      <w:r w:rsidRPr="00A40DDE">
        <w:rPr>
          <w:sz w:val="28"/>
          <w:szCs w:val="32"/>
        </w:rPr>
        <w:t>s earnings.</w:t>
      </w:r>
      <w:r w:rsidRPr="00A40DDE">
        <w:rPr>
          <w:sz w:val="28"/>
          <w:szCs w:val="32"/>
          <w:vertAlign w:val="superscript"/>
        </w:rPr>
        <w:footnoteReference w:id="7"/>
      </w:r>
      <w:r w:rsidRPr="00A40DDE">
        <w:rPr>
          <w:sz w:val="28"/>
          <w:szCs w:val="32"/>
          <w:vertAlign w:val="superscript"/>
        </w:rPr>
        <w:t xml:space="preserve"> </w:t>
      </w:r>
      <w:r w:rsidRPr="00A40DDE">
        <w:rPr>
          <w:sz w:val="28"/>
          <w:szCs w:val="32"/>
        </w:rPr>
        <w:t>Using a sample of 1867 listed and non-listed banks from 1988 to 1998, Beatty et al. (</w:t>
      </w:r>
      <w:r w:rsidRPr="00A40DDE">
        <w:rPr>
          <w:color w:val="392A97"/>
          <w:sz w:val="28"/>
          <w:szCs w:val="32"/>
        </w:rPr>
        <w:t>2002</w:t>
      </w:r>
      <w:r w:rsidRPr="00A40DDE">
        <w:rPr>
          <w:sz w:val="28"/>
          <w:szCs w:val="32"/>
        </w:rPr>
        <w:t xml:space="preserve">) adopts the research design of </w:t>
      </w:r>
      <w:proofErr w:type="spellStart"/>
      <w:r w:rsidRPr="00A40DDE">
        <w:rPr>
          <w:sz w:val="28"/>
          <w:szCs w:val="32"/>
        </w:rPr>
        <w:t>Burgstahler</w:t>
      </w:r>
      <w:proofErr w:type="spellEnd"/>
      <w:r w:rsidRPr="00A40DDE">
        <w:rPr>
          <w:sz w:val="28"/>
          <w:szCs w:val="32"/>
        </w:rPr>
        <w:t xml:space="preserve"> and</w:t>
      </w:r>
      <w:r w:rsidRPr="00A40DDE">
        <w:rPr>
          <w:rFonts w:hint="cs"/>
          <w:sz w:val="28"/>
          <w:szCs w:val="32"/>
          <w:rtl/>
        </w:rPr>
        <w:t>.</w:t>
      </w:r>
    </w:p>
    <w:p w:rsidR="000956F5" w:rsidRPr="00A40DDE" w:rsidRDefault="000956F5" w:rsidP="000956F5">
      <w:pPr>
        <w:spacing w:after="57"/>
        <w:ind w:left="-15" w:right="-13"/>
        <w:rPr>
          <w:sz w:val="28"/>
          <w:szCs w:val="32"/>
          <w:rtl/>
        </w:rPr>
      </w:pPr>
      <w:proofErr w:type="spellStart"/>
      <w:r w:rsidRPr="00A40DDE">
        <w:rPr>
          <w:sz w:val="28"/>
          <w:szCs w:val="32"/>
        </w:rPr>
        <w:t>Dichev</w:t>
      </w:r>
      <w:proofErr w:type="spellEnd"/>
      <w:r w:rsidRPr="00A40DDE">
        <w:rPr>
          <w:sz w:val="28"/>
          <w:szCs w:val="32"/>
        </w:rPr>
        <w:t xml:space="preserve"> (</w:t>
      </w:r>
      <w:r w:rsidRPr="00A40DDE">
        <w:rPr>
          <w:color w:val="392A97"/>
          <w:sz w:val="28"/>
          <w:szCs w:val="32"/>
        </w:rPr>
        <w:t>1997</w:t>
      </w:r>
      <w:r w:rsidRPr="00A40DDE">
        <w:rPr>
          <w:sz w:val="28"/>
          <w:szCs w:val="32"/>
        </w:rPr>
        <w:t>) and finds that listed banks are more likely than non-listed banks to use realized securities gains to eliminate small earnings decreases.</w:t>
      </w:r>
      <w:r w:rsidRPr="00A40DDE">
        <w:rPr>
          <w:sz w:val="28"/>
          <w:szCs w:val="32"/>
          <w:vertAlign w:val="superscript"/>
        </w:rPr>
        <w:footnoteReference w:id="8"/>
      </w:r>
    </w:p>
    <w:p w:rsidR="000956F5" w:rsidRPr="00A40DDE" w:rsidRDefault="000956F5" w:rsidP="000956F5">
      <w:pPr>
        <w:spacing w:after="61"/>
        <w:ind w:left="-15" w:right="-13"/>
        <w:rPr>
          <w:sz w:val="28"/>
          <w:szCs w:val="32"/>
        </w:rPr>
      </w:pPr>
      <w:r w:rsidRPr="00A40DDE">
        <w:rPr>
          <w:sz w:val="28"/>
          <w:szCs w:val="32"/>
        </w:rPr>
        <w:t xml:space="preserve">To our knowledge, the only published study reporting evidence of banks using realized AFS securities gains and losses to smooth earnings is </w:t>
      </w:r>
      <w:proofErr w:type="spellStart"/>
      <w:r w:rsidRPr="00A40DDE">
        <w:rPr>
          <w:sz w:val="28"/>
          <w:szCs w:val="32"/>
        </w:rPr>
        <w:t>Lifschutz</w:t>
      </w:r>
      <w:proofErr w:type="spellEnd"/>
      <w:r w:rsidRPr="00A40DDE">
        <w:rPr>
          <w:sz w:val="28"/>
          <w:szCs w:val="32"/>
        </w:rPr>
        <w:t xml:space="preserve"> (</w:t>
      </w:r>
      <w:r w:rsidRPr="00A40DDE">
        <w:rPr>
          <w:color w:val="392A97"/>
          <w:sz w:val="28"/>
          <w:szCs w:val="32"/>
        </w:rPr>
        <w:t>2002</w:t>
      </w:r>
      <w:r w:rsidRPr="00A40DDE">
        <w:rPr>
          <w:sz w:val="28"/>
          <w:szCs w:val="32"/>
        </w:rPr>
        <w:t xml:space="preserve">), which is based on 1408 bank-quarter observations from 1997 to 2000 for 88 bank holding companies with total assets exceeding $5 billion. </w:t>
      </w:r>
      <w:proofErr w:type="spellStart"/>
      <w:r w:rsidRPr="00A40DDE">
        <w:rPr>
          <w:sz w:val="28"/>
          <w:szCs w:val="32"/>
        </w:rPr>
        <w:t>Lifschutz</w:t>
      </w:r>
      <w:proofErr w:type="spellEnd"/>
      <w:r w:rsidRPr="00A40DDE">
        <w:rPr>
          <w:sz w:val="28"/>
          <w:szCs w:val="32"/>
        </w:rPr>
        <w:t xml:space="preserve"> (</w:t>
      </w:r>
      <w:r w:rsidRPr="00A40DDE">
        <w:rPr>
          <w:color w:val="392A97"/>
          <w:sz w:val="28"/>
          <w:szCs w:val="32"/>
        </w:rPr>
        <w:t>2002</w:t>
      </w:r>
      <w:r w:rsidRPr="00A40DDE">
        <w:rPr>
          <w:sz w:val="28"/>
          <w:szCs w:val="32"/>
        </w:rPr>
        <w:t>) estimates the relation between (</w:t>
      </w:r>
      <w:proofErr w:type="spellStart"/>
      <w:r w:rsidRPr="00A40DDE">
        <w:rPr>
          <w:sz w:val="28"/>
          <w:szCs w:val="32"/>
        </w:rPr>
        <w:t>i</w:t>
      </w:r>
      <w:proofErr w:type="spellEnd"/>
      <w:r w:rsidRPr="00A40DDE">
        <w:rPr>
          <w:sz w:val="28"/>
          <w:szCs w:val="32"/>
        </w:rPr>
        <w:t xml:space="preserve">) the ratio of realized securities gains and losses to total value of AFS securities, and (ii) return on equity or return on assets. Based on reported significant negative coefficients on each performance measure, </w:t>
      </w:r>
      <w:proofErr w:type="spellStart"/>
      <w:r w:rsidRPr="00A40DDE">
        <w:rPr>
          <w:sz w:val="28"/>
          <w:szCs w:val="32"/>
        </w:rPr>
        <w:t>Lifschutz</w:t>
      </w:r>
      <w:proofErr w:type="spellEnd"/>
      <w:r w:rsidRPr="00A40DDE">
        <w:rPr>
          <w:sz w:val="28"/>
          <w:szCs w:val="32"/>
        </w:rPr>
        <w:t xml:space="preserve"> (</w:t>
      </w:r>
      <w:r w:rsidRPr="00A40DDE">
        <w:rPr>
          <w:color w:val="392A97"/>
          <w:sz w:val="28"/>
          <w:szCs w:val="32"/>
        </w:rPr>
        <w:t>2002</w:t>
      </w:r>
      <w:r w:rsidRPr="00A40DDE">
        <w:rPr>
          <w:sz w:val="28"/>
          <w:szCs w:val="32"/>
        </w:rPr>
        <w:t xml:space="preserve">) concludes that the motivation of managers of these banks to manage earnings by realizing securities gains and losses </w:t>
      </w:r>
      <w:proofErr w:type="gramStart"/>
      <w:r w:rsidRPr="00A40DDE">
        <w:rPr>
          <w:sz w:val="28"/>
          <w:szCs w:val="32"/>
        </w:rPr>
        <w:t>is negatively related</w:t>
      </w:r>
      <w:proofErr w:type="gramEnd"/>
      <w:r w:rsidRPr="00A40DDE">
        <w:rPr>
          <w:sz w:val="28"/>
          <w:szCs w:val="32"/>
        </w:rPr>
        <w:t xml:space="preserve"> to bank earnings before realized gains and losses. However, </w:t>
      </w:r>
      <w:proofErr w:type="spellStart"/>
      <w:r w:rsidRPr="00A40DDE">
        <w:rPr>
          <w:sz w:val="28"/>
          <w:szCs w:val="32"/>
        </w:rPr>
        <w:t>Lifschutz</w:t>
      </w:r>
      <w:proofErr w:type="spellEnd"/>
      <w:r w:rsidRPr="00A40DDE">
        <w:rPr>
          <w:sz w:val="28"/>
          <w:szCs w:val="32"/>
        </w:rPr>
        <w:t xml:space="preserve"> (</w:t>
      </w:r>
      <w:r w:rsidRPr="00A40DDE">
        <w:rPr>
          <w:color w:val="392A97"/>
          <w:sz w:val="28"/>
          <w:szCs w:val="32"/>
        </w:rPr>
        <w:t>2002</w:t>
      </w:r>
      <w:r w:rsidRPr="00A40DDE">
        <w:rPr>
          <w:sz w:val="28"/>
          <w:szCs w:val="32"/>
        </w:rPr>
        <w:t xml:space="preserve">) neither corrects the reported t-statistics for serial and cross-sectional correlation in regression residuals nor includes bank fixed effects in the estimation equation. </w:t>
      </w:r>
      <w:proofErr w:type="spellStart"/>
      <w:r w:rsidRPr="00A40DDE">
        <w:rPr>
          <w:sz w:val="28"/>
          <w:szCs w:val="32"/>
        </w:rPr>
        <w:t>Untabulated</w:t>
      </w:r>
      <w:proofErr w:type="spellEnd"/>
      <w:r w:rsidRPr="00A40DDE">
        <w:rPr>
          <w:sz w:val="28"/>
          <w:szCs w:val="32"/>
        </w:rPr>
        <w:t xml:space="preserve"> statistics based on our efforts to replicate the findings in </w:t>
      </w:r>
      <w:proofErr w:type="spellStart"/>
      <w:r w:rsidRPr="00A40DDE">
        <w:rPr>
          <w:sz w:val="28"/>
          <w:szCs w:val="32"/>
        </w:rPr>
        <w:t>Lifschutz</w:t>
      </w:r>
      <w:proofErr w:type="spellEnd"/>
      <w:r w:rsidRPr="00A40DDE">
        <w:rPr>
          <w:sz w:val="28"/>
          <w:szCs w:val="32"/>
        </w:rPr>
        <w:t xml:space="preserve"> (</w:t>
      </w:r>
      <w:r w:rsidRPr="00A40DDE">
        <w:rPr>
          <w:color w:val="392A97"/>
          <w:sz w:val="28"/>
          <w:szCs w:val="32"/>
        </w:rPr>
        <w:t>2002</w:t>
      </w:r>
      <w:r w:rsidRPr="00A40DDE">
        <w:rPr>
          <w:sz w:val="28"/>
          <w:szCs w:val="32"/>
        </w:rPr>
        <w:t>) reveal that the findings in that study are not robust to incorporating either of these design features, which suggests that the tests in the study do not support its conclusion.</w:t>
      </w:r>
      <w:r w:rsidRPr="00A40DDE">
        <w:rPr>
          <w:sz w:val="28"/>
          <w:szCs w:val="32"/>
          <w:vertAlign w:val="superscript"/>
        </w:rPr>
        <w:footnoteReference w:id="9"/>
      </w:r>
    </w:p>
    <w:p w:rsidR="000956F5" w:rsidRPr="00A40DDE" w:rsidRDefault="000956F5" w:rsidP="000956F5">
      <w:pPr>
        <w:spacing w:after="57"/>
        <w:ind w:left="-15" w:right="-13"/>
        <w:rPr>
          <w:sz w:val="28"/>
          <w:szCs w:val="32"/>
        </w:rPr>
      </w:pPr>
      <w:r w:rsidRPr="00A40DDE">
        <w:rPr>
          <w:sz w:val="28"/>
          <w:szCs w:val="32"/>
        </w:rPr>
        <w:lastRenderedPageBreak/>
        <w:t>Regarding regulatory capital, Moyer (</w:t>
      </w:r>
      <w:r w:rsidRPr="00A40DDE">
        <w:rPr>
          <w:color w:val="392A97"/>
          <w:sz w:val="28"/>
          <w:szCs w:val="32"/>
        </w:rPr>
        <w:t>1990</w:t>
      </w:r>
      <w:r w:rsidRPr="00A40DDE">
        <w:rPr>
          <w:sz w:val="28"/>
          <w:szCs w:val="32"/>
        </w:rPr>
        <w:t xml:space="preserve">) finds evidence consistent with banks using realized securities gains and losses to increase regulatory capital, </w:t>
      </w:r>
      <w:proofErr w:type="gramStart"/>
      <w:r w:rsidRPr="00A40DDE">
        <w:rPr>
          <w:sz w:val="28"/>
          <w:szCs w:val="32"/>
        </w:rPr>
        <w:t>but only for</w:t>
      </w:r>
      <w:proofErr w:type="gramEnd"/>
      <w:r w:rsidRPr="00A40DDE">
        <w:rPr>
          <w:rFonts w:hint="cs"/>
          <w:sz w:val="28"/>
          <w:szCs w:val="32"/>
          <w:rtl/>
        </w:rPr>
        <w:t>.</w:t>
      </w:r>
    </w:p>
    <w:p w:rsidR="000956F5" w:rsidRPr="00A40DDE" w:rsidRDefault="000956F5" w:rsidP="00BE5DC9">
      <w:pPr>
        <w:rPr>
          <w:sz w:val="28"/>
          <w:szCs w:val="32"/>
          <w:rtl/>
        </w:rPr>
      </w:pPr>
      <w:proofErr w:type="gramStart"/>
      <w:r w:rsidRPr="00A40DDE">
        <w:rPr>
          <w:sz w:val="28"/>
          <w:szCs w:val="32"/>
        </w:rPr>
        <w:t>banks</w:t>
      </w:r>
      <w:proofErr w:type="gramEnd"/>
      <w:r w:rsidRPr="00A40DDE">
        <w:rPr>
          <w:sz w:val="28"/>
          <w:szCs w:val="32"/>
        </w:rPr>
        <w:t xml:space="preserve"> with regulatory capital below the minimum.</w:t>
      </w:r>
      <w:r w:rsidRPr="00A40DDE">
        <w:rPr>
          <w:sz w:val="28"/>
          <w:szCs w:val="32"/>
          <w:vertAlign w:val="superscript"/>
        </w:rPr>
        <w:footnoteReference w:id="10"/>
      </w:r>
      <w:r w:rsidRPr="00A40DDE">
        <w:rPr>
          <w:sz w:val="28"/>
          <w:szCs w:val="32"/>
          <w:vertAlign w:val="superscript"/>
        </w:rPr>
        <w:t xml:space="preserve"> </w:t>
      </w:r>
      <w:r w:rsidRPr="00A40DDE">
        <w:rPr>
          <w:sz w:val="28"/>
          <w:szCs w:val="32"/>
        </w:rPr>
        <w:t>Scholes et al. (</w:t>
      </w:r>
      <w:r w:rsidRPr="00A40DDE">
        <w:rPr>
          <w:color w:val="392A97"/>
          <w:sz w:val="28"/>
          <w:szCs w:val="32"/>
        </w:rPr>
        <w:t>1990</w:t>
      </w:r>
      <w:r w:rsidRPr="00A40DDE">
        <w:rPr>
          <w:sz w:val="28"/>
          <w:szCs w:val="32"/>
        </w:rPr>
        <w:t>) finds a significant negative relation between banks</w:t>
      </w:r>
      <w:r w:rsidRPr="00A40DDE">
        <w:rPr>
          <w:rFonts w:ascii="Calibri" w:eastAsia="Calibri" w:hAnsi="Calibri" w:cs="Calibri"/>
          <w:sz w:val="28"/>
          <w:szCs w:val="32"/>
        </w:rPr>
        <w:t xml:space="preserve">’ </w:t>
      </w:r>
      <w:r w:rsidRPr="00A40DDE">
        <w:rPr>
          <w:sz w:val="28"/>
          <w:szCs w:val="32"/>
        </w:rPr>
        <w:t>regulatory capital and realized securities gains and losses, which suggests that banks use realized securities gains and losses to smooth regulatory capital.</w:t>
      </w:r>
      <w:r w:rsidRPr="00A40DDE">
        <w:rPr>
          <w:sz w:val="28"/>
          <w:szCs w:val="32"/>
          <w:vertAlign w:val="superscript"/>
        </w:rPr>
        <w:footnoteReference w:id="11"/>
      </w:r>
      <w:r w:rsidRPr="00A40DDE">
        <w:rPr>
          <w:sz w:val="28"/>
          <w:szCs w:val="32"/>
          <w:vertAlign w:val="superscript"/>
        </w:rPr>
        <w:t xml:space="preserve"> </w:t>
      </w:r>
      <w:r w:rsidRPr="00A40DDE">
        <w:rPr>
          <w:sz w:val="28"/>
          <w:szCs w:val="32"/>
        </w:rPr>
        <w:t>Beatty et al. (</w:t>
      </w:r>
      <w:r w:rsidRPr="00A40DDE">
        <w:rPr>
          <w:color w:val="392A97"/>
          <w:sz w:val="28"/>
          <w:szCs w:val="32"/>
        </w:rPr>
        <w:t>1995</w:t>
      </w:r>
      <w:r w:rsidRPr="00A40DDE">
        <w:rPr>
          <w:sz w:val="28"/>
          <w:szCs w:val="32"/>
        </w:rPr>
        <w:t>) finds a negative relation between</w:t>
      </w:r>
      <w:r w:rsidR="007A7C36" w:rsidRPr="00A40DDE">
        <w:rPr>
          <w:rFonts w:hint="cs"/>
          <w:sz w:val="28"/>
          <w:szCs w:val="32"/>
          <w:rtl/>
        </w:rPr>
        <w:t>.</w:t>
      </w:r>
    </w:p>
    <w:p w:rsidR="007A7C36" w:rsidRPr="00A40DDE" w:rsidRDefault="007A7C36" w:rsidP="007A7C36">
      <w:pPr>
        <w:ind w:left="-15" w:right="-13" w:firstLine="0"/>
        <w:rPr>
          <w:sz w:val="28"/>
          <w:szCs w:val="32"/>
        </w:rPr>
      </w:pPr>
      <w:proofErr w:type="gramStart"/>
      <w:r w:rsidRPr="00A40DDE">
        <w:rPr>
          <w:sz w:val="28"/>
          <w:szCs w:val="32"/>
        </w:rPr>
        <w:t>miscellaneous</w:t>
      </w:r>
      <w:proofErr w:type="gramEnd"/>
      <w:r w:rsidRPr="00A40DDE">
        <w:rPr>
          <w:sz w:val="28"/>
          <w:szCs w:val="32"/>
        </w:rPr>
        <w:t xml:space="preserve"> gains and losses and regulatory capital, although the relation is not significantly negative in all specifications. Collins et al. (</w:t>
      </w:r>
      <w:r w:rsidRPr="00A40DDE">
        <w:rPr>
          <w:color w:val="392A97"/>
          <w:sz w:val="28"/>
          <w:szCs w:val="32"/>
        </w:rPr>
        <w:t>1995</w:t>
      </w:r>
      <w:r w:rsidRPr="00A40DDE">
        <w:rPr>
          <w:sz w:val="28"/>
          <w:szCs w:val="32"/>
        </w:rPr>
        <w:t xml:space="preserve">) finds that after 1980 realized securities gains and losses </w:t>
      </w:r>
      <w:proofErr w:type="gramStart"/>
      <w:r w:rsidRPr="00A40DDE">
        <w:rPr>
          <w:sz w:val="28"/>
          <w:szCs w:val="32"/>
        </w:rPr>
        <w:t>are not consistently negatively related</w:t>
      </w:r>
      <w:proofErr w:type="gramEnd"/>
      <w:r w:rsidRPr="00A40DDE">
        <w:rPr>
          <w:sz w:val="28"/>
          <w:szCs w:val="32"/>
        </w:rPr>
        <w:t xml:space="preserve"> to regulatory capital.</w:t>
      </w:r>
    </w:p>
    <w:p w:rsidR="007A7C36" w:rsidRPr="00A40DDE" w:rsidRDefault="007A7C36" w:rsidP="007A7C36">
      <w:pPr>
        <w:ind w:left="-15" w:right="-13"/>
        <w:rPr>
          <w:sz w:val="28"/>
          <w:szCs w:val="32"/>
        </w:rPr>
      </w:pPr>
      <w:r w:rsidRPr="00A40DDE">
        <w:rPr>
          <w:sz w:val="28"/>
          <w:szCs w:val="32"/>
        </w:rPr>
        <w:t>Taken together, prior research suggests banks use realized securities gains and losses to smooth earnings and manage regulatory capital. We revisit this question using data from quarterly bank regulatory reports for all publicly listed and non-listed banks, which enables us to conduct our tests</w:t>
      </w:r>
      <w:r w:rsidRPr="00A40DDE">
        <w:rPr>
          <w:rFonts w:ascii="Calibri" w:eastAsia="Calibri" w:hAnsi="Calibri" w:cs="Calibri"/>
          <w:sz w:val="28"/>
          <w:szCs w:val="32"/>
        </w:rPr>
        <w:t>—</w:t>
      </w:r>
      <w:r w:rsidRPr="00A40DDE">
        <w:rPr>
          <w:sz w:val="28"/>
          <w:szCs w:val="32"/>
        </w:rPr>
        <w:t>including those relating to differences between listed and non-listed banks</w:t>
      </w:r>
      <w:r w:rsidRPr="00A40DDE">
        <w:rPr>
          <w:rFonts w:ascii="Calibri" w:eastAsia="Calibri" w:hAnsi="Calibri" w:cs="Calibri"/>
          <w:sz w:val="28"/>
          <w:szCs w:val="32"/>
        </w:rPr>
        <w:t>—</w:t>
      </w:r>
      <w:r w:rsidRPr="00A40DDE">
        <w:rPr>
          <w:sz w:val="28"/>
          <w:szCs w:val="32"/>
        </w:rPr>
        <w:t xml:space="preserve">on a considerably larger sample with greater </w:t>
      </w:r>
      <w:proofErr w:type="spellStart"/>
      <w:r w:rsidRPr="00A40DDE">
        <w:rPr>
          <w:sz w:val="28"/>
          <w:szCs w:val="32"/>
        </w:rPr>
        <w:t>crosssectional</w:t>
      </w:r>
      <w:proofErr w:type="spellEnd"/>
      <w:r w:rsidRPr="00A40DDE">
        <w:rPr>
          <w:sz w:val="28"/>
          <w:szCs w:val="32"/>
        </w:rPr>
        <w:t xml:space="preserve"> variation. These features of our sample could enable us to provide more robust evidence than was possible in prior research.</w:t>
      </w:r>
    </w:p>
    <w:p w:rsidR="007A7C36" w:rsidRPr="00A40DDE" w:rsidRDefault="007A7C36" w:rsidP="007A7C36">
      <w:pPr>
        <w:ind w:left="-15" w:right="-13"/>
        <w:rPr>
          <w:sz w:val="28"/>
          <w:szCs w:val="32"/>
        </w:rPr>
      </w:pPr>
      <w:r w:rsidRPr="00A40DDE">
        <w:rPr>
          <w:sz w:val="28"/>
          <w:szCs w:val="32"/>
        </w:rPr>
        <w:t>In addition, financial reporting by banks has changed since the time of this prior research, which could alter banks</w:t>
      </w:r>
      <w:r w:rsidRPr="00A40DDE">
        <w:rPr>
          <w:rFonts w:ascii="Calibri" w:eastAsia="Calibri" w:hAnsi="Calibri" w:cs="Calibri"/>
          <w:sz w:val="28"/>
          <w:szCs w:val="32"/>
        </w:rPr>
        <w:t xml:space="preserve">’ </w:t>
      </w:r>
      <w:r w:rsidRPr="00A40DDE">
        <w:rPr>
          <w:sz w:val="28"/>
          <w:szCs w:val="32"/>
        </w:rPr>
        <w:t>earnings and regulatory capital management ability and incentives. Most notable is the change from not recognizing unrealized securities gains and losses</w:t>
      </w:r>
      <w:r w:rsidRPr="00A40DDE">
        <w:rPr>
          <w:rFonts w:ascii="Calibri" w:eastAsia="Calibri" w:hAnsi="Calibri" w:cs="Calibri"/>
          <w:sz w:val="28"/>
          <w:szCs w:val="32"/>
        </w:rPr>
        <w:t>—</w:t>
      </w:r>
      <w:r w:rsidRPr="00A40DDE">
        <w:rPr>
          <w:sz w:val="28"/>
          <w:szCs w:val="32"/>
        </w:rPr>
        <w:t>prior to the issuance of ASC 320</w:t>
      </w:r>
      <w:r w:rsidRPr="00A40DDE">
        <w:rPr>
          <w:rFonts w:ascii="Calibri" w:eastAsia="Calibri" w:hAnsi="Calibri" w:cs="Calibri"/>
          <w:sz w:val="28"/>
          <w:szCs w:val="32"/>
        </w:rPr>
        <w:t>—</w:t>
      </w:r>
      <w:r w:rsidRPr="00A40DDE">
        <w:rPr>
          <w:sz w:val="28"/>
          <w:szCs w:val="32"/>
        </w:rPr>
        <w:t>to recognizing them in other comprehensive income. Prior research provides a basis for expecting that this change could reduce bank managers</w:t>
      </w:r>
      <w:r w:rsidRPr="00A40DDE">
        <w:rPr>
          <w:rFonts w:ascii="Calibri" w:eastAsia="Calibri" w:hAnsi="Calibri" w:cs="Calibri"/>
          <w:sz w:val="28"/>
          <w:szCs w:val="32"/>
        </w:rPr>
        <w:t xml:space="preserve">’ </w:t>
      </w:r>
      <w:r w:rsidRPr="00A40DDE">
        <w:rPr>
          <w:sz w:val="28"/>
          <w:szCs w:val="32"/>
        </w:rPr>
        <w:t xml:space="preserve">perceived benefits from using realized AFS securities gains and losses to manage earnings. For example, several studies find that other comprehensive income, particularly the unrealized securities gains and losses component, is value relevant (e.g., Dhaliwal et al. </w:t>
      </w:r>
      <w:r w:rsidRPr="00A40DDE">
        <w:rPr>
          <w:color w:val="392A97"/>
          <w:sz w:val="28"/>
          <w:szCs w:val="32"/>
        </w:rPr>
        <w:t>1999</w:t>
      </w:r>
      <w:r w:rsidRPr="00A40DDE">
        <w:rPr>
          <w:sz w:val="28"/>
          <w:szCs w:val="32"/>
        </w:rPr>
        <w:t xml:space="preserve">; Biddle and Choi </w:t>
      </w:r>
      <w:r w:rsidRPr="00A40DDE">
        <w:rPr>
          <w:color w:val="392A97"/>
          <w:sz w:val="28"/>
          <w:szCs w:val="32"/>
        </w:rPr>
        <w:t>2006</w:t>
      </w:r>
      <w:r w:rsidRPr="00A40DDE">
        <w:rPr>
          <w:sz w:val="28"/>
          <w:szCs w:val="32"/>
        </w:rPr>
        <w:t xml:space="preserve">; Chambers et al. </w:t>
      </w:r>
      <w:r w:rsidRPr="00A40DDE">
        <w:rPr>
          <w:color w:val="392A97"/>
          <w:sz w:val="28"/>
          <w:szCs w:val="32"/>
        </w:rPr>
        <w:t>2007</w:t>
      </w:r>
      <w:r w:rsidRPr="00A40DDE">
        <w:rPr>
          <w:sz w:val="28"/>
          <w:szCs w:val="32"/>
        </w:rPr>
        <w:t xml:space="preserve">; </w:t>
      </w:r>
      <w:proofErr w:type="spellStart"/>
      <w:r w:rsidRPr="00A40DDE">
        <w:rPr>
          <w:sz w:val="28"/>
          <w:szCs w:val="32"/>
        </w:rPr>
        <w:t>Bamber</w:t>
      </w:r>
      <w:proofErr w:type="spellEnd"/>
      <w:r w:rsidRPr="00A40DDE">
        <w:rPr>
          <w:sz w:val="28"/>
          <w:szCs w:val="32"/>
        </w:rPr>
        <w:t xml:space="preserve"> et al. </w:t>
      </w:r>
      <w:r w:rsidRPr="00A40DDE">
        <w:rPr>
          <w:color w:val="392A97"/>
          <w:sz w:val="28"/>
          <w:szCs w:val="32"/>
        </w:rPr>
        <w:t>2010</w:t>
      </w:r>
      <w:r w:rsidRPr="00A40DDE">
        <w:rPr>
          <w:sz w:val="28"/>
          <w:szCs w:val="32"/>
        </w:rPr>
        <w:t>). Except for Dhaliwal et al. (</w:t>
      </w:r>
      <w:r w:rsidRPr="00A40DDE">
        <w:rPr>
          <w:color w:val="392A97"/>
          <w:sz w:val="28"/>
          <w:szCs w:val="32"/>
        </w:rPr>
        <w:t>1999</w:t>
      </w:r>
      <w:r w:rsidRPr="00A40DDE">
        <w:rPr>
          <w:sz w:val="28"/>
          <w:szCs w:val="32"/>
        </w:rPr>
        <w:t xml:space="preserve">), the sample periods in these studies are after the issuance of ASC 220 in 1997 (formerly </w:t>
      </w:r>
      <w:r w:rsidRPr="00A40DDE">
        <w:rPr>
          <w:sz w:val="28"/>
          <w:szCs w:val="32"/>
        </w:rPr>
        <w:lastRenderedPageBreak/>
        <w:t xml:space="preserve">Statement of Financial Accounting Standards No. 130; FASB </w:t>
      </w:r>
      <w:r w:rsidRPr="00A40DDE">
        <w:rPr>
          <w:color w:val="392A97"/>
          <w:sz w:val="28"/>
          <w:szCs w:val="32"/>
        </w:rPr>
        <w:t>1997</w:t>
      </w:r>
      <w:r w:rsidRPr="00A40DDE">
        <w:rPr>
          <w:sz w:val="28"/>
          <w:szCs w:val="32"/>
        </w:rPr>
        <w:t xml:space="preserve">), which led to more prominent disclosure of the components of other comprehensive income. </w:t>
      </w:r>
      <w:proofErr w:type="spellStart"/>
      <w:r w:rsidRPr="00A40DDE">
        <w:rPr>
          <w:sz w:val="28"/>
          <w:szCs w:val="32"/>
        </w:rPr>
        <w:t>Hirst</w:t>
      </w:r>
      <w:proofErr w:type="spellEnd"/>
      <w:r w:rsidRPr="00A40DDE">
        <w:rPr>
          <w:sz w:val="28"/>
          <w:szCs w:val="32"/>
        </w:rPr>
        <w:t xml:space="preserve"> and Hopkins (</w:t>
      </w:r>
      <w:r w:rsidRPr="00A40DDE">
        <w:rPr>
          <w:color w:val="392A97"/>
          <w:sz w:val="28"/>
          <w:szCs w:val="32"/>
        </w:rPr>
        <w:t>1998</w:t>
      </w:r>
      <w:r w:rsidRPr="00A40DDE">
        <w:rPr>
          <w:sz w:val="28"/>
          <w:szCs w:val="32"/>
        </w:rPr>
        <w:t>) shows that more prominent presentation of other comprehensive income decreases the tendency for firms to manage earnings.</w:t>
      </w:r>
    </w:p>
    <w:p w:rsidR="007A7C36" w:rsidRPr="00A40DDE" w:rsidRDefault="007A7C36" w:rsidP="007A7C36">
      <w:pPr>
        <w:ind w:left="-15" w:right="-13"/>
        <w:rPr>
          <w:sz w:val="28"/>
          <w:szCs w:val="32"/>
        </w:rPr>
      </w:pPr>
      <w:r w:rsidRPr="00A40DDE">
        <w:rPr>
          <w:sz w:val="28"/>
          <w:szCs w:val="32"/>
        </w:rPr>
        <w:t>In a concurrent working paper, Dong and Zhang (</w:t>
      </w:r>
      <w:r w:rsidRPr="00A40DDE">
        <w:rPr>
          <w:color w:val="392A97"/>
          <w:sz w:val="28"/>
          <w:szCs w:val="32"/>
        </w:rPr>
        <w:t>2015</w:t>
      </w:r>
      <w:r w:rsidRPr="00A40DDE">
        <w:rPr>
          <w:sz w:val="28"/>
          <w:szCs w:val="32"/>
        </w:rPr>
        <w:t>) examines the selective trading of AFS securities by publicly traded US commercial banks after implementation of ASC 320. Consistent with our findings, Dong and Zhang (</w:t>
      </w:r>
      <w:r w:rsidRPr="00A40DDE">
        <w:rPr>
          <w:color w:val="392A97"/>
          <w:sz w:val="28"/>
          <w:szCs w:val="32"/>
        </w:rPr>
        <w:t>2015</w:t>
      </w:r>
      <w:r w:rsidRPr="00A40DDE">
        <w:rPr>
          <w:sz w:val="28"/>
          <w:szCs w:val="32"/>
        </w:rPr>
        <w:t>) finds evidence that banks realize gains and losses on AFS securities to smooth earnings and meet or beat earnings benchmarks. However, that study</w:t>
      </w:r>
      <w:r w:rsidRPr="00A40DDE">
        <w:rPr>
          <w:rFonts w:ascii="Calibri" w:eastAsia="Calibri" w:hAnsi="Calibri" w:cs="Calibri"/>
          <w:sz w:val="28"/>
          <w:szCs w:val="32"/>
        </w:rPr>
        <w:t>’</w:t>
      </w:r>
      <w:r w:rsidRPr="00A40DDE">
        <w:rPr>
          <w:sz w:val="28"/>
          <w:szCs w:val="32"/>
        </w:rPr>
        <w:t>s focus is on why ASC 320 fails to inhibit this behavior. The study finds that the earnings management primarily occurs in banks that disclose unrealized gains and losses in the statement of shareholders</w:t>
      </w:r>
      <w:r w:rsidRPr="00A40DDE">
        <w:rPr>
          <w:rFonts w:ascii="Calibri" w:eastAsia="Calibri" w:hAnsi="Calibri" w:cs="Calibri"/>
          <w:sz w:val="28"/>
          <w:szCs w:val="32"/>
        </w:rPr>
        <w:t xml:space="preserve">’ </w:t>
      </w:r>
      <w:r w:rsidRPr="00A40DDE">
        <w:rPr>
          <w:sz w:val="28"/>
          <w:szCs w:val="32"/>
        </w:rPr>
        <w:t xml:space="preserve">equity rather than in a separate statement of comprehensive income or below net income in the income statement, which the study posits as providing </w:t>
      </w:r>
      <w:proofErr w:type="gramStart"/>
      <w:r w:rsidRPr="00A40DDE">
        <w:rPr>
          <w:sz w:val="28"/>
          <w:szCs w:val="32"/>
        </w:rPr>
        <w:t>more prominent disclosure</w:t>
      </w:r>
      <w:proofErr w:type="gramEnd"/>
      <w:r w:rsidRPr="00A40DDE">
        <w:rPr>
          <w:sz w:val="28"/>
          <w:szCs w:val="32"/>
        </w:rPr>
        <w:t>. The study interprets this finding as consistent with managers believing disclosure location affects financial statement users</w:t>
      </w:r>
      <w:r w:rsidRPr="00A40DDE">
        <w:rPr>
          <w:rFonts w:ascii="Calibri" w:eastAsia="Calibri" w:hAnsi="Calibri" w:cs="Calibri"/>
          <w:sz w:val="28"/>
          <w:szCs w:val="32"/>
        </w:rPr>
        <w:t xml:space="preserve">’ </w:t>
      </w:r>
      <w:r w:rsidRPr="00A40DDE">
        <w:rPr>
          <w:sz w:val="28"/>
          <w:szCs w:val="32"/>
        </w:rPr>
        <w:t>attention to disclosed information.</w:t>
      </w:r>
    </w:p>
    <w:p w:rsidR="007A7C36" w:rsidRPr="00A40DDE" w:rsidRDefault="007A7C36" w:rsidP="007A7C36">
      <w:pPr>
        <w:rPr>
          <w:sz w:val="28"/>
          <w:szCs w:val="32"/>
          <w:rtl/>
        </w:rPr>
      </w:pPr>
      <w:r w:rsidRPr="00A40DDE">
        <w:rPr>
          <w:sz w:val="28"/>
          <w:szCs w:val="32"/>
        </w:rPr>
        <w:t>Our large sample, with its attendant large cross-sectional variation, also permits us to consider other earnings management incentives that prior research does not consider. In particular, we can address the following, heretofore unaddressed,</w:t>
      </w:r>
    </w:p>
    <w:p w:rsidR="007A7C36" w:rsidRPr="00A40DDE" w:rsidRDefault="007A7C36" w:rsidP="007A7C36">
      <w:pPr>
        <w:spacing w:after="490"/>
        <w:ind w:left="-15" w:right="-13"/>
        <w:rPr>
          <w:sz w:val="28"/>
          <w:szCs w:val="32"/>
        </w:rPr>
      </w:pPr>
      <w:proofErr w:type="gramStart"/>
      <w:r w:rsidRPr="00A40DDE">
        <w:rPr>
          <w:sz w:val="28"/>
          <w:szCs w:val="32"/>
        </w:rPr>
        <w:t>questions</w:t>
      </w:r>
      <w:proofErr w:type="gramEnd"/>
      <w:r w:rsidRPr="00A40DDE">
        <w:rPr>
          <w:sz w:val="28"/>
          <w:szCs w:val="32"/>
        </w:rPr>
        <w:t>: Do the earnings management and regulatory capital incentives interact? Does banks</w:t>
      </w:r>
      <w:r w:rsidRPr="00A40DDE">
        <w:rPr>
          <w:rFonts w:ascii="Calibri" w:eastAsia="Calibri" w:hAnsi="Calibri" w:cs="Calibri"/>
          <w:sz w:val="28"/>
          <w:szCs w:val="32"/>
        </w:rPr>
        <w:t xml:space="preserve">’ </w:t>
      </w:r>
      <w:r w:rsidRPr="00A40DDE">
        <w:rPr>
          <w:sz w:val="28"/>
          <w:szCs w:val="32"/>
        </w:rPr>
        <w:t xml:space="preserve">use of realized gains and losses on AFS securities to smooth earnings and manage regulatory capital depend on their opportunity, i.e., the extent to which the banks have accumulated unrealized AFS securities gains and losses to realize? Do banks with negative earnings use realized AFS securities losses and gains to engage in big bath earnings management or to avoid losses? Is big bath earnings management less evident for banks with low regulatory capital? Does accumulated unrealized AFS securities losses (gains) reveal the opportunity that banks with positive (negative) earnings have to engage in earnings smoothing or the opportunity that banks with negative earnings have to take a big bath? </w:t>
      </w:r>
      <w:proofErr w:type="gramStart"/>
      <w:r w:rsidRPr="00A40DDE">
        <w:rPr>
          <w:sz w:val="28"/>
          <w:szCs w:val="32"/>
        </w:rPr>
        <w:t>And</w:t>
      </w:r>
      <w:proofErr w:type="gramEnd"/>
      <w:r w:rsidRPr="00A40DDE">
        <w:rPr>
          <w:sz w:val="28"/>
          <w:szCs w:val="32"/>
        </w:rPr>
        <w:t xml:space="preserve"> do all of these findings apply to listed and non-listed banks? We find evidence consistent with the answer to each question being </w:t>
      </w:r>
      <w:r w:rsidRPr="00A40DDE">
        <w:rPr>
          <w:rFonts w:ascii="Calibri" w:eastAsia="Calibri" w:hAnsi="Calibri" w:cs="Calibri"/>
          <w:sz w:val="28"/>
          <w:szCs w:val="32"/>
        </w:rPr>
        <w:t>B</w:t>
      </w:r>
      <w:r w:rsidRPr="00A40DDE">
        <w:rPr>
          <w:sz w:val="28"/>
          <w:szCs w:val="32"/>
        </w:rPr>
        <w:t>yes</w:t>
      </w:r>
      <w:proofErr w:type="gramStart"/>
      <w:r w:rsidRPr="00A40DDE">
        <w:rPr>
          <w:sz w:val="28"/>
          <w:szCs w:val="32"/>
        </w:rPr>
        <w:t>.</w:t>
      </w:r>
      <w:r w:rsidRPr="00A40DDE">
        <w:rPr>
          <w:rFonts w:ascii="Calibri" w:eastAsia="Calibri" w:hAnsi="Calibri" w:cs="Calibri"/>
          <w:sz w:val="28"/>
          <w:szCs w:val="32"/>
        </w:rPr>
        <w:t>^</w:t>
      </w:r>
      <w:proofErr w:type="gramEnd"/>
    </w:p>
    <w:p w:rsidR="007A7C36" w:rsidRPr="00A40DDE" w:rsidRDefault="007A7C36" w:rsidP="007A7C36">
      <w:pPr>
        <w:pStyle w:val="Heading1"/>
        <w:spacing w:after="235"/>
        <w:ind w:left="158" w:hanging="173"/>
        <w:rPr>
          <w:sz w:val="32"/>
          <w:szCs w:val="32"/>
        </w:rPr>
      </w:pPr>
      <w:r w:rsidRPr="00A40DDE">
        <w:rPr>
          <w:sz w:val="32"/>
          <w:szCs w:val="32"/>
        </w:rPr>
        <w:t>Research design</w:t>
      </w:r>
    </w:p>
    <w:p w:rsidR="007A7C36" w:rsidRPr="00A40DDE" w:rsidRDefault="007A7C36" w:rsidP="007A7C36">
      <w:pPr>
        <w:spacing w:after="256" w:line="265" w:lineRule="auto"/>
        <w:ind w:left="-5" w:right="0" w:hanging="10"/>
        <w:jc w:val="left"/>
        <w:rPr>
          <w:sz w:val="28"/>
          <w:szCs w:val="32"/>
        </w:rPr>
      </w:pPr>
      <w:r w:rsidRPr="00A40DDE">
        <w:rPr>
          <w:sz w:val="28"/>
          <w:szCs w:val="32"/>
        </w:rPr>
        <w:t>3.1 Earnings smoothing and increasing regulatory capital</w:t>
      </w:r>
    </w:p>
    <w:p w:rsidR="007A7C36" w:rsidRPr="00A40DDE" w:rsidRDefault="007A7C36" w:rsidP="0039444A">
      <w:pPr>
        <w:spacing w:after="433"/>
        <w:ind w:left="-15" w:right="-13" w:firstLine="0"/>
        <w:jc w:val="left"/>
        <w:rPr>
          <w:sz w:val="28"/>
          <w:szCs w:val="32"/>
        </w:rPr>
      </w:pPr>
      <w:r w:rsidRPr="00A40DDE">
        <w:rPr>
          <w:sz w:val="28"/>
          <w:szCs w:val="32"/>
        </w:rPr>
        <w:lastRenderedPageBreak/>
        <w:t>We begin by estimating Eq. (</w:t>
      </w:r>
      <w:r w:rsidRPr="00A40DDE">
        <w:rPr>
          <w:color w:val="392A97"/>
          <w:sz w:val="28"/>
          <w:szCs w:val="32"/>
        </w:rPr>
        <w:t>1</w:t>
      </w:r>
      <w:r w:rsidRPr="00A40DDE">
        <w:rPr>
          <w:sz w:val="28"/>
          <w:szCs w:val="32"/>
        </w:rPr>
        <w:t>) to determine whether banks use realized gains and losses on AFS securities to smooth earnings and whether banks with low regulatory capital realize more gains. We also test whether these incentives interact.</w:t>
      </w:r>
      <w:r w:rsidRPr="00A40DDE">
        <w:rPr>
          <w:sz w:val="28"/>
          <w:szCs w:val="32"/>
          <w:vertAlign w:val="superscript"/>
        </w:rPr>
        <w:footnoteReference w:id="12"/>
      </w:r>
    </w:p>
    <w:p w:rsidR="00953FF4" w:rsidRPr="00A40DDE" w:rsidRDefault="00953FF4" w:rsidP="007A7C36">
      <w:pPr>
        <w:rPr>
          <w:rFonts w:ascii="Calibri" w:eastAsia="Calibri" w:hAnsi="Calibri" w:cs="Calibri"/>
          <w:sz w:val="28"/>
          <w:szCs w:val="32"/>
        </w:rPr>
      </w:pPr>
      <w:r w:rsidRPr="00A40DDE">
        <w:rPr>
          <w:noProof/>
          <w:sz w:val="24"/>
          <w:szCs w:val="28"/>
        </w:rPr>
        <w:drawing>
          <wp:inline distT="0" distB="0" distL="0" distR="0" wp14:anchorId="013ABE38" wp14:editId="2B8AC89E">
            <wp:extent cx="4419600" cy="628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19600" cy="628650"/>
                    </a:xfrm>
                    <a:prstGeom prst="rect">
                      <a:avLst/>
                    </a:prstGeom>
                  </pic:spPr>
                </pic:pic>
              </a:graphicData>
            </a:graphic>
          </wp:inline>
        </w:drawing>
      </w:r>
    </w:p>
    <w:p w:rsidR="007A7C36" w:rsidRPr="00A40DDE" w:rsidRDefault="007A7C36" w:rsidP="007A7C36">
      <w:pPr>
        <w:rPr>
          <w:sz w:val="28"/>
          <w:szCs w:val="32"/>
          <w:rtl/>
        </w:rPr>
      </w:pPr>
      <w:r w:rsidRPr="00A40DDE">
        <w:rPr>
          <w:rFonts w:ascii="Calibri" w:eastAsia="Calibri" w:hAnsi="Calibri" w:cs="Calibri"/>
          <w:sz w:val="28"/>
          <w:szCs w:val="32"/>
        </w:rPr>
        <w:t xml:space="preserve">RGL </w:t>
      </w:r>
      <w:r w:rsidRPr="00A40DDE">
        <w:rPr>
          <w:sz w:val="28"/>
          <w:szCs w:val="32"/>
        </w:rPr>
        <w:t xml:space="preserve">is realized gains and losses on AFS securities and </w:t>
      </w:r>
      <w:r w:rsidRPr="00A40DDE">
        <w:rPr>
          <w:rFonts w:ascii="Calibri" w:eastAsia="Calibri" w:hAnsi="Calibri" w:cs="Calibri"/>
          <w:sz w:val="28"/>
          <w:szCs w:val="32"/>
        </w:rPr>
        <w:t xml:space="preserve">NI </w:t>
      </w:r>
      <w:r w:rsidRPr="00A40DDE">
        <w:rPr>
          <w:sz w:val="28"/>
          <w:szCs w:val="32"/>
        </w:rPr>
        <w:t xml:space="preserve">is net income before taxes and </w:t>
      </w:r>
      <w:r w:rsidRPr="00A40DDE">
        <w:rPr>
          <w:rFonts w:ascii="Calibri" w:eastAsia="Calibri" w:hAnsi="Calibri" w:cs="Calibri"/>
          <w:sz w:val="28"/>
          <w:szCs w:val="32"/>
        </w:rPr>
        <w:t>RGL</w:t>
      </w:r>
      <w:r w:rsidRPr="00A40DDE">
        <w:rPr>
          <w:sz w:val="28"/>
          <w:szCs w:val="32"/>
        </w:rPr>
        <w:t xml:space="preserve">, both deflated by beginning-of-quarter total assets. </w:t>
      </w:r>
      <w:proofErr w:type="spellStart"/>
      <w:r w:rsidRPr="00A40DDE">
        <w:rPr>
          <w:rFonts w:ascii="Calibri" w:eastAsia="Calibri" w:hAnsi="Calibri" w:cs="Calibri"/>
          <w:sz w:val="28"/>
          <w:szCs w:val="32"/>
        </w:rPr>
        <w:t>RegCapLow</w:t>
      </w:r>
      <w:proofErr w:type="spellEnd"/>
      <w:r w:rsidRPr="00A40DDE">
        <w:rPr>
          <w:rFonts w:ascii="Calibri" w:eastAsia="Calibri" w:hAnsi="Calibri" w:cs="Calibri"/>
          <w:sz w:val="28"/>
          <w:szCs w:val="32"/>
        </w:rPr>
        <w:t xml:space="preserve"> </w:t>
      </w:r>
      <w:r w:rsidRPr="00A40DDE">
        <w:rPr>
          <w:sz w:val="28"/>
          <w:szCs w:val="32"/>
        </w:rPr>
        <w:t xml:space="preserve">is an indicator variable that equals one if the </w:t>
      </w:r>
      <w:proofErr w:type="gramStart"/>
      <w:r w:rsidRPr="00A40DDE">
        <w:rPr>
          <w:sz w:val="28"/>
          <w:szCs w:val="32"/>
        </w:rPr>
        <w:t>bank</w:t>
      </w:r>
      <w:r w:rsidRPr="00A40DDE">
        <w:rPr>
          <w:rFonts w:ascii="Calibri" w:eastAsia="Calibri" w:hAnsi="Calibri" w:cs="Calibri"/>
          <w:sz w:val="28"/>
          <w:szCs w:val="32"/>
        </w:rPr>
        <w:t>’</w:t>
      </w:r>
      <w:r w:rsidRPr="00A40DDE">
        <w:rPr>
          <w:sz w:val="28"/>
          <w:szCs w:val="32"/>
        </w:rPr>
        <w:t>s</w:t>
      </w:r>
      <w:proofErr w:type="gramEnd"/>
      <w:r w:rsidRPr="00A40DDE">
        <w:rPr>
          <w:sz w:val="28"/>
          <w:szCs w:val="32"/>
        </w:rPr>
        <w:t xml:space="preserve"> regulatory capital ratio</w:t>
      </w:r>
      <w:r w:rsidRPr="00A40DDE">
        <w:rPr>
          <w:rFonts w:ascii="Calibri" w:eastAsia="Calibri" w:hAnsi="Calibri" w:cs="Calibri"/>
          <w:sz w:val="28"/>
          <w:szCs w:val="32"/>
        </w:rPr>
        <w:t>—</w:t>
      </w:r>
      <w:r w:rsidRPr="00A40DDE">
        <w:rPr>
          <w:sz w:val="28"/>
          <w:szCs w:val="32"/>
        </w:rPr>
        <w:t>which bank</w:t>
      </w:r>
      <w:r w:rsidRPr="00A40DDE">
        <w:rPr>
          <w:rFonts w:hint="cs"/>
          <w:sz w:val="28"/>
          <w:szCs w:val="32"/>
          <w:rtl/>
        </w:rPr>
        <w:t>.</w:t>
      </w:r>
    </w:p>
    <w:p w:rsidR="007A7C36" w:rsidRPr="00A40DDE" w:rsidRDefault="007A7C36" w:rsidP="007A7C36">
      <w:pPr>
        <w:ind w:left="-15" w:right="-13"/>
        <w:rPr>
          <w:sz w:val="28"/>
          <w:szCs w:val="32"/>
        </w:rPr>
      </w:pPr>
      <w:proofErr w:type="gramStart"/>
      <w:r w:rsidRPr="00A40DDE">
        <w:rPr>
          <w:sz w:val="28"/>
          <w:szCs w:val="32"/>
        </w:rPr>
        <w:t>regulators</w:t>
      </w:r>
      <w:proofErr w:type="gramEnd"/>
      <w:r w:rsidRPr="00A40DDE">
        <w:rPr>
          <w:sz w:val="28"/>
          <w:szCs w:val="32"/>
        </w:rPr>
        <w:t xml:space="preserve"> define as allowable Tier 1 plus allowable Tier 2 regulatory capital, deflated by </w:t>
      </w:r>
      <w:proofErr w:type="spellStart"/>
      <w:r w:rsidRPr="00A40DDE">
        <w:rPr>
          <w:sz w:val="28"/>
          <w:szCs w:val="32"/>
        </w:rPr>
        <w:t>riskweighted</w:t>
      </w:r>
      <w:proofErr w:type="spellEnd"/>
      <w:r w:rsidRPr="00A40DDE">
        <w:rPr>
          <w:sz w:val="28"/>
          <w:szCs w:val="32"/>
        </w:rPr>
        <w:t xml:space="preserve"> assets</w:t>
      </w:r>
      <w:r w:rsidRPr="00A40DDE">
        <w:rPr>
          <w:rFonts w:ascii="Calibri" w:eastAsia="Calibri" w:hAnsi="Calibri" w:cs="Calibri"/>
          <w:sz w:val="28"/>
          <w:szCs w:val="32"/>
        </w:rPr>
        <w:t>—</w:t>
      </w:r>
      <w:r w:rsidRPr="00A40DDE">
        <w:rPr>
          <w:sz w:val="28"/>
          <w:szCs w:val="32"/>
        </w:rPr>
        <w:t xml:space="preserve">before </w:t>
      </w:r>
      <w:r w:rsidRPr="00A40DDE">
        <w:rPr>
          <w:rFonts w:ascii="Calibri" w:eastAsia="Calibri" w:hAnsi="Calibri" w:cs="Calibri"/>
          <w:sz w:val="28"/>
          <w:szCs w:val="32"/>
        </w:rPr>
        <w:t xml:space="preserve">RGL </w:t>
      </w:r>
      <w:r w:rsidRPr="00A40DDE">
        <w:rPr>
          <w:sz w:val="28"/>
          <w:szCs w:val="32"/>
        </w:rPr>
        <w:t>and after taxes, is in the lowest decile for the quarter, and zero otherwise.</w:t>
      </w:r>
      <w:r w:rsidRPr="00A40DDE">
        <w:rPr>
          <w:sz w:val="28"/>
          <w:szCs w:val="32"/>
          <w:vertAlign w:val="superscript"/>
        </w:rPr>
        <w:t xml:space="preserve">13 </w:t>
      </w:r>
      <w:proofErr w:type="spellStart"/>
      <w:r w:rsidRPr="00A40DDE">
        <w:rPr>
          <w:rFonts w:ascii="Calibri" w:eastAsia="Calibri" w:hAnsi="Calibri" w:cs="Calibri"/>
          <w:sz w:val="28"/>
          <w:szCs w:val="32"/>
        </w:rPr>
        <w:t>i</w:t>
      </w:r>
      <w:proofErr w:type="spellEnd"/>
      <w:r w:rsidRPr="00A40DDE">
        <w:rPr>
          <w:rFonts w:ascii="Calibri" w:eastAsia="Calibri" w:hAnsi="Calibri" w:cs="Calibri"/>
          <w:sz w:val="28"/>
          <w:szCs w:val="32"/>
        </w:rPr>
        <w:t xml:space="preserve"> </w:t>
      </w:r>
      <w:r w:rsidRPr="00A40DDE">
        <w:rPr>
          <w:sz w:val="28"/>
          <w:szCs w:val="32"/>
        </w:rPr>
        <w:t xml:space="preserve">and </w:t>
      </w:r>
      <w:r w:rsidRPr="00A40DDE">
        <w:rPr>
          <w:rFonts w:ascii="Calibri" w:eastAsia="Calibri" w:hAnsi="Calibri" w:cs="Calibri"/>
          <w:sz w:val="28"/>
          <w:szCs w:val="32"/>
        </w:rPr>
        <w:t xml:space="preserve">t </w:t>
      </w:r>
      <w:r w:rsidRPr="00A40DDE">
        <w:rPr>
          <w:sz w:val="28"/>
          <w:szCs w:val="32"/>
        </w:rPr>
        <w:t>denote bank and quarter. Equation (</w:t>
      </w:r>
      <w:r w:rsidRPr="00A40DDE">
        <w:rPr>
          <w:color w:val="392A97"/>
          <w:sz w:val="28"/>
          <w:szCs w:val="32"/>
        </w:rPr>
        <w:t>1</w:t>
      </w:r>
      <w:r w:rsidRPr="00A40DDE">
        <w:rPr>
          <w:sz w:val="28"/>
          <w:szCs w:val="32"/>
        </w:rPr>
        <w:t xml:space="preserve">), and all equations that follow unless otherwise stated, include bank fixed effects and employ residual standard errors clustered by bank and year-quarter to construct t-statistics (Petersen </w:t>
      </w:r>
      <w:r w:rsidRPr="00A40DDE">
        <w:rPr>
          <w:color w:val="392A97"/>
          <w:sz w:val="28"/>
          <w:szCs w:val="32"/>
        </w:rPr>
        <w:t>2009</w:t>
      </w:r>
      <w:r w:rsidRPr="00A40DDE">
        <w:rPr>
          <w:sz w:val="28"/>
          <w:szCs w:val="32"/>
        </w:rPr>
        <w:t xml:space="preserve">; </w:t>
      </w:r>
      <w:proofErr w:type="spellStart"/>
      <w:r w:rsidRPr="00A40DDE">
        <w:rPr>
          <w:sz w:val="28"/>
          <w:szCs w:val="32"/>
        </w:rPr>
        <w:t>Gow</w:t>
      </w:r>
      <w:proofErr w:type="spellEnd"/>
      <w:r w:rsidRPr="00A40DDE">
        <w:rPr>
          <w:sz w:val="28"/>
          <w:szCs w:val="32"/>
        </w:rPr>
        <w:t xml:space="preserve"> et al. </w:t>
      </w:r>
      <w:r w:rsidRPr="00A40DDE">
        <w:rPr>
          <w:color w:val="392A97"/>
          <w:sz w:val="28"/>
          <w:szCs w:val="32"/>
        </w:rPr>
        <w:t>2010</w:t>
      </w:r>
      <w:r w:rsidRPr="00A40DDE">
        <w:rPr>
          <w:sz w:val="28"/>
          <w:szCs w:val="32"/>
        </w:rPr>
        <w:t>).</w:t>
      </w:r>
    </w:p>
    <w:p w:rsidR="007A7C36" w:rsidRPr="00A40DDE" w:rsidRDefault="007A7C36" w:rsidP="007A7C36">
      <w:pPr>
        <w:ind w:left="-15" w:right="-13"/>
        <w:rPr>
          <w:sz w:val="28"/>
          <w:szCs w:val="32"/>
        </w:rPr>
      </w:pPr>
      <w:r w:rsidRPr="00A40DDE">
        <w:rPr>
          <w:sz w:val="28"/>
          <w:szCs w:val="32"/>
        </w:rPr>
        <w:t xml:space="preserve">If banks use AFS securities to smooth earnings, we predict that the </w:t>
      </w:r>
      <w:r w:rsidRPr="00A40DDE">
        <w:rPr>
          <w:rFonts w:ascii="Calibri" w:eastAsia="Calibri" w:hAnsi="Calibri" w:cs="Calibri"/>
          <w:sz w:val="28"/>
          <w:szCs w:val="32"/>
        </w:rPr>
        <w:t xml:space="preserve">NI </w:t>
      </w:r>
      <w:r w:rsidRPr="00A40DDE">
        <w:rPr>
          <w:sz w:val="28"/>
          <w:szCs w:val="32"/>
        </w:rPr>
        <w:t xml:space="preserve">coefficient, </w:t>
      </w:r>
      <w:r w:rsidRPr="00A40DDE">
        <w:rPr>
          <w:rFonts w:ascii="Calibri" w:eastAsia="Calibri" w:hAnsi="Calibri" w:cs="Calibri"/>
          <w:sz w:val="28"/>
          <w:szCs w:val="32"/>
        </w:rPr>
        <w:t>β</w:t>
      </w:r>
      <w:r w:rsidRPr="00A40DDE">
        <w:rPr>
          <w:sz w:val="28"/>
          <w:szCs w:val="32"/>
          <w:vertAlign w:val="subscript"/>
        </w:rPr>
        <w:t>1</w:t>
      </w:r>
      <w:r w:rsidRPr="00A40DDE">
        <w:rPr>
          <w:sz w:val="28"/>
          <w:szCs w:val="32"/>
        </w:rPr>
        <w:t xml:space="preserve">, is negative, and if banks with low regulatory capital realize more gains, we predict that the </w:t>
      </w:r>
      <w:proofErr w:type="spellStart"/>
      <w:r w:rsidRPr="00A40DDE">
        <w:rPr>
          <w:rFonts w:ascii="Calibri" w:eastAsia="Calibri" w:hAnsi="Calibri" w:cs="Calibri"/>
          <w:sz w:val="28"/>
          <w:szCs w:val="32"/>
        </w:rPr>
        <w:t>RegCapLow</w:t>
      </w:r>
      <w:proofErr w:type="spellEnd"/>
      <w:r w:rsidRPr="00A40DDE">
        <w:rPr>
          <w:rFonts w:ascii="Calibri" w:eastAsia="Calibri" w:hAnsi="Calibri" w:cs="Calibri"/>
          <w:sz w:val="28"/>
          <w:szCs w:val="32"/>
        </w:rPr>
        <w:t xml:space="preserve"> </w:t>
      </w:r>
      <w:r w:rsidRPr="00A40DDE">
        <w:rPr>
          <w:sz w:val="28"/>
          <w:szCs w:val="32"/>
        </w:rPr>
        <w:t xml:space="preserve">coefficient, </w:t>
      </w:r>
      <w:r w:rsidRPr="00A40DDE">
        <w:rPr>
          <w:rFonts w:ascii="Calibri" w:eastAsia="Calibri" w:hAnsi="Calibri" w:cs="Calibri"/>
          <w:sz w:val="28"/>
          <w:szCs w:val="32"/>
        </w:rPr>
        <w:t>β</w:t>
      </w:r>
      <w:r w:rsidRPr="00A40DDE">
        <w:rPr>
          <w:sz w:val="28"/>
          <w:szCs w:val="32"/>
          <w:vertAlign w:val="subscript"/>
        </w:rPr>
        <w:t>2</w:t>
      </w:r>
      <w:r w:rsidRPr="00A40DDE">
        <w:rPr>
          <w:sz w:val="28"/>
          <w:szCs w:val="32"/>
        </w:rPr>
        <w:t xml:space="preserve">, is positive. The predicted sign for the </w:t>
      </w:r>
      <w:r w:rsidRPr="00A40DDE">
        <w:rPr>
          <w:rFonts w:ascii="Calibri" w:eastAsia="Calibri" w:hAnsi="Calibri" w:cs="Calibri"/>
          <w:sz w:val="28"/>
          <w:szCs w:val="32"/>
        </w:rPr>
        <w:t xml:space="preserve">NI × </w:t>
      </w:r>
      <w:proofErr w:type="spellStart"/>
      <w:r w:rsidRPr="00A40DDE">
        <w:rPr>
          <w:rFonts w:ascii="Calibri" w:eastAsia="Calibri" w:hAnsi="Calibri" w:cs="Calibri"/>
          <w:sz w:val="28"/>
          <w:szCs w:val="32"/>
        </w:rPr>
        <w:t>RegCapLow</w:t>
      </w:r>
      <w:proofErr w:type="spellEnd"/>
      <w:r w:rsidRPr="00A40DDE">
        <w:rPr>
          <w:rFonts w:ascii="Calibri" w:eastAsia="Calibri" w:hAnsi="Calibri" w:cs="Calibri"/>
          <w:sz w:val="28"/>
          <w:szCs w:val="32"/>
        </w:rPr>
        <w:t xml:space="preserve"> </w:t>
      </w:r>
      <w:r w:rsidRPr="00A40DDE">
        <w:rPr>
          <w:sz w:val="28"/>
          <w:szCs w:val="32"/>
        </w:rPr>
        <w:t xml:space="preserve">coefficient, </w:t>
      </w:r>
      <w:r w:rsidRPr="00A40DDE">
        <w:rPr>
          <w:rFonts w:ascii="Calibri" w:eastAsia="Calibri" w:hAnsi="Calibri" w:cs="Calibri"/>
          <w:sz w:val="28"/>
          <w:szCs w:val="32"/>
        </w:rPr>
        <w:t>β</w:t>
      </w:r>
      <w:r w:rsidRPr="00A40DDE">
        <w:rPr>
          <w:sz w:val="28"/>
          <w:szCs w:val="32"/>
          <w:vertAlign w:val="subscript"/>
        </w:rPr>
        <w:t>3</w:t>
      </w:r>
      <w:r w:rsidRPr="00A40DDE">
        <w:rPr>
          <w:sz w:val="28"/>
          <w:szCs w:val="32"/>
        </w:rPr>
        <w:t xml:space="preserve">, depends on whether earnings smoothing </w:t>
      </w:r>
      <w:proofErr w:type="gramStart"/>
      <w:r w:rsidRPr="00A40DDE">
        <w:rPr>
          <w:sz w:val="28"/>
          <w:szCs w:val="32"/>
        </w:rPr>
        <w:t>is dominated</w:t>
      </w:r>
      <w:proofErr w:type="gramEnd"/>
      <w:r w:rsidRPr="00A40DDE">
        <w:rPr>
          <w:sz w:val="28"/>
          <w:szCs w:val="32"/>
        </w:rPr>
        <w:t xml:space="preserve"> by positive or negative </w:t>
      </w:r>
      <w:r w:rsidRPr="00A40DDE">
        <w:rPr>
          <w:rFonts w:ascii="Calibri" w:eastAsia="Calibri" w:hAnsi="Calibri" w:cs="Calibri"/>
          <w:sz w:val="28"/>
          <w:szCs w:val="32"/>
        </w:rPr>
        <w:t xml:space="preserve">NI </w:t>
      </w:r>
      <w:r w:rsidRPr="00A40DDE">
        <w:rPr>
          <w:sz w:val="28"/>
          <w:szCs w:val="32"/>
        </w:rPr>
        <w:t xml:space="preserve">banks. If earnings smoothing is dominated by positive (negative) </w:t>
      </w:r>
      <w:r w:rsidRPr="00A40DDE">
        <w:rPr>
          <w:rFonts w:ascii="Calibri" w:eastAsia="Calibri" w:hAnsi="Calibri" w:cs="Calibri"/>
          <w:sz w:val="28"/>
          <w:szCs w:val="32"/>
        </w:rPr>
        <w:t xml:space="preserve">NI </w:t>
      </w:r>
      <w:r w:rsidRPr="00A40DDE">
        <w:rPr>
          <w:sz w:val="28"/>
          <w:szCs w:val="32"/>
        </w:rPr>
        <w:t xml:space="preserve">banks recognizing more (fewer) losses or fewer (more) gains, then we predict that </w:t>
      </w:r>
      <w:r w:rsidRPr="00A40DDE">
        <w:rPr>
          <w:rFonts w:ascii="Calibri" w:eastAsia="Calibri" w:hAnsi="Calibri" w:cs="Calibri"/>
          <w:sz w:val="28"/>
          <w:szCs w:val="32"/>
        </w:rPr>
        <w:t>β</w:t>
      </w:r>
      <w:r w:rsidRPr="00A40DDE">
        <w:rPr>
          <w:sz w:val="28"/>
          <w:szCs w:val="32"/>
          <w:vertAlign w:val="subscript"/>
        </w:rPr>
        <w:t xml:space="preserve">3 </w:t>
      </w:r>
      <w:r w:rsidRPr="00A40DDE">
        <w:rPr>
          <w:sz w:val="28"/>
          <w:szCs w:val="32"/>
        </w:rPr>
        <w:t xml:space="preserve">is positive (negative). Banks with low regulatory capital have incentives to realize more gains, regardless of </w:t>
      </w:r>
      <w:r w:rsidRPr="00A40DDE">
        <w:rPr>
          <w:rFonts w:ascii="Calibri" w:eastAsia="Calibri" w:hAnsi="Calibri" w:cs="Calibri"/>
          <w:sz w:val="28"/>
          <w:szCs w:val="32"/>
        </w:rPr>
        <w:t>NI’</w:t>
      </w:r>
      <w:r w:rsidRPr="00A40DDE">
        <w:rPr>
          <w:sz w:val="28"/>
          <w:szCs w:val="32"/>
        </w:rPr>
        <w:t xml:space="preserve">s sign, which mitigates (reinforces) incentives for banks with positive (negative) </w:t>
      </w:r>
      <w:r w:rsidRPr="00A40DDE">
        <w:rPr>
          <w:rFonts w:ascii="Calibri" w:eastAsia="Calibri" w:hAnsi="Calibri" w:cs="Calibri"/>
          <w:sz w:val="28"/>
          <w:szCs w:val="32"/>
        </w:rPr>
        <w:t xml:space="preserve">NI </w:t>
      </w:r>
      <w:r w:rsidRPr="00A40DDE">
        <w:rPr>
          <w:sz w:val="28"/>
          <w:szCs w:val="32"/>
        </w:rPr>
        <w:t>to realize more (fewer) losses and fewer (more) gains.</w:t>
      </w:r>
    </w:p>
    <w:p w:rsidR="007A7C36" w:rsidRPr="00A40DDE" w:rsidRDefault="007A7C36" w:rsidP="007A7C36">
      <w:pPr>
        <w:spacing w:after="309"/>
        <w:ind w:left="-15" w:right="-13"/>
        <w:rPr>
          <w:sz w:val="28"/>
          <w:szCs w:val="32"/>
        </w:rPr>
      </w:pPr>
      <w:r w:rsidRPr="00A40DDE">
        <w:rPr>
          <w:sz w:val="28"/>
          <w:szCs w:val="32"/>
        </w:rPr>
        <w:t>Equation (</w:t>
      </w:r>
      <w:r w:rsidRPr="00A40DDE">
        <w:rPr>
          <w:color w:val="392A97"/>
          <w:sz w:val="28"/>
          <w:szCs w:val="32"/>
        </w:rPr>
        <w:t>1</w:t>
      </w:r>
      <w:r w:rsidRPr="00A40DDE">
        <w:rPr>
          <w:sz w:val="28"/>
          <w:szCs w:val="32"/>
        </w:rPr>
        <w:t xml:space="preserve">) includes four variables as controls for bank characteristics likely associated with realized gains and losses on AFS securities. </w:t>
      </w:r>
      <w:r w:rsidRPr="00A40DDE">
        <w:rPr>
          <w:rFonts w:ascii="Calibri" w:eastAsia="Calibri" w:hAnsi="Calibri" w:cs="Calibri"/>
          <w:sz w:val="28"/>
          <w:szCs w:val="32"/>
        </w:rPr>
        <w:t>UL</w:t>
      </w:r>
      <w:r w:rsidRPr="00A40DDE">
        <w:rPr>
          <w:rFonts w:ascii="Calibri" w:eastAsia="Calibri" w:hAnsi="Calibri" w:cs="Calibri"/>
          <w:sz w:val="28"/>
          <w:szCs w:val="32"/>
          <w:vertAlign w:val="subscript"/>
        </w:rPr>
        <w:t>t−</w:t>
      </w:r>
      <w:r w:rsidRPr="00A40DDE">
        <w:rPr>
          <w:sz w:val="28"/>
          <w:szCs w:val="32"/>
          <w:vertAlign w:val="subscript"/>
        </w:rPr>
        <w:t xml:space="preserve">1 </w:t>
      </w:r>
      <w:r w:rsidRPr="00A40DDE">
        <w:rPr>
          <w:sz w:val="28"/>
          <w:szCs w:val="32"/>
        </w:rPr>
        <w:t>(</w:t>
      </w:r>
      <w:r w:rsidRPr="00A40DDE">
        <w:rPr>
          <w:rFonts w:ascii="Calibri" w:eastAsia="Calibri" w:hAnsi="Calibri" w:cs="Calibri"/>
          <w:sz w:val="28"/>
          <w:szCs w:val="32"/>
        </w:rPr>
        <w:t>UG</w:t>
      </w:r>
      <w:r w:rsidRPr="00A40DDE">
        <w:rPr>
          <w:rFonts w:ascii="Calibri" w:eastAsia="Calibri" w:hAnsi="Calibri" w:cs="Calibri"/>
          <w:sz w:val="28"/>
          <w:szCs w:val="32"/>
          <w:vertAlign w:val="subscript"/>
        </w:rPr>
        <w:t>t−</w:t>
      </w:r>
      <w:r w:rsidRPr="00A40DDE">
        <w:rPr>
          <w:sz w:val="28"/>
          <w:szCs w:val="32"/>
          <w:vertAlign w:val="subscript"/>
        </w:rPr>
        <w:t>1</w:t>
      </w:r>
      <w:r w:rsidRPr="00A40DDE">
        <w:rPr>
          <w:sz w:val="28"/>
          <w:szCs w:val="32"/>
        </w:rPr>
        <w:t xml:space="preserve">) is accumulated unrealized AFS securities losses (gains) at the beginning of the quarter. We expect that banks with more beginning-of-quarter accumulated unrealized losses </w:t>
      </w:r>
      <w:r w:rsidRPr="00A40DDE">
        <w:rPr>
          <w:sz w:val="28"/>
          <w:szCs w:val="32"/>
        </w:rPr>
        <w:lastRenderedPageBreak/>
        <w:t xml:space="preserve">(gains) are more likely to realize losses (gains) during the quarter (Scholes et al. </w:t>
      </w:r>
      <w:r w:rsidRPr="00A40DDE">
        <w:rPr>
          <w:color w:val="392A97"/>
          <w:sz w:val="28"/>
          <w:szCs w:val="32"/>
        </w:rPr>
        <w:t>1990</w:t>
      </w:r>
      <w:r w:rsidRPr="00A40DDE">
        <w:rPr>
          <w:sz w:val="28"/>
          <w:szCs w:val="32"/>
        </w:rPr>
        <w:t xml:space="preserve">; Beatty and Harris </w:t>
      </w:r>
      <w:r w:rsidRPr="00A40DDE">
        <w:rPr>
          <w:color w:val="392A97"/>
          <w:sz w:val="28"/>
          <w:szCs w:val="32"/>
        </w:rPr>
        <w:t>1998</w:t>
      </w:r>
      <w:r w:rsidRPr="00A40DDE">
        <w:rPr>
          <w:sz w:val="28"/>
          <w:szCs w:val="32"/>
        </w:rPr>
        <w:t xml:space="preserve">). </w:t>
      </w:r>
      <w:r w:rsidRPr="00A40DDE">
        <w:rPr>
          <w:rFonts w:ascii="Calibri" w:eastAsia="Calibri" w:hAnsi="Calibri" w:cs="Calibri"/>
          <w:sz w:val="28"/>
          <w:szCs w:val="32"/>
        </w:rPr>
        <w:t xml:space="preserve">Size </w:t>
      </w:r>
      <w:r w:rsidRPr="00A40DDE">
        <w:rPr>
          <w:sz w:val="28"/>
          <w:szCs w:val="32"/>
        </w:rPr>
        <w:t xml:space="preserve">is the natural logarithm of beginning-of-quarter total assets. </w:t>
      </w:r>
      <w:r w:rsidRPr="00A40DDE">
        <w:rPr>
          <w:rFonts w:ascii="Calibri" w:eastAsia="Calibri" w:hAnsi="Calibri" w:cs="Calibri"/>
          <w:sz w:val="28"/>
          <w:szCs w:val="32"/>
        </w:rPr>
        <w:t xml:space="preserve">Liquid </w:t>
      </w:r>
      <w:r w:rsidRPr="00A40DDE">
        <w:rPr>
          <w:sz w:val="28"/>
          <w:szCs w:val="32"/>
        </w:rPr>
        <w:t xml:space="preserve">is liquid assets (Beatty et al. </w:t>
      </w:r>
      <w:r w:rsidRPr="00A40DDE">
        <w:rPr>
          <w:color w:val="392A97"/>
          <w:sz w:val="28"/>
          <w:szCs w:val="32"/>
        </w:rPr>
        <w:t>1995</w:t>
      </w:r>
      <w:r w:rsidRPr="00A40DDE">
        <w:rPr>
          <w:sz w:val="28"/>
          <w:szCs w:val="32"/>
        </w:rPr>
        <w:t xml:space="preserve">), which is the sum of cash items in process of collections, balances due from banks in foreign countries and foreign central banks, currency and coin, balances due from depository institutions in the US, and balances due from Federal Reserve Banks. </w:t>
      </w:r>
      <w:r w:rsidRPr="00A40DDE">
        <w:rPr>
          <w:rFonts w:ascii="Calibri" w:eastAsia="Calibri" w:hAnsi="Calibri" w:cs="Calibri"/>
          <w:sz w:val="28"/>
          <w:szCs w:val="32"/>
        </w:rPr>
        <w:t xml:space="preserve">Sec </w:t>
      </w:r>
      <w:r w:rsidRPr="00A40DDE">
        <w:rPr>
          <w:sz w:val="28"/>
          <w:szCs w:val="32"/>
        </w:rPr>
        <w:t xml:space="preserve">is the sum of held-to-maturity, available-for-sale, and trading securities. </w:t>
      </w:r>
      <w:proofErr w:type="gramStart"/>
      <w:r w:rsidRPr="00A40DDE">
        <w:rPr>
          <w:rFonts w:ascii="Calibri" w:eastAsia="Calibri" w:hAnsi="Calibri" w:cs="Calibri"/>
          <w:sz w:val="28"/>
          <w:szCs w:val="32"/>
        </w:rPr>
        <w:t>UL</w:t>
      </w:r>
      <w:r w:rsidRPr="00A40DDE">
        <w:rPr>
          <w:sz w:val="28"/>
          <w:szCs w:val="32"/>
        </w:rPr>
        <w:t xml:space="preserve">, </w:t>
      </w:r>
      <w:r w:rsidRPr="00A40DDE">
        <w:rPr>
          <w:rFonts w:ascii="Calibri" w:eastAsia="Calibri" w:hAnsi="Calibri" w:cs="Calibri"/>
          <w:sz w:val="28"/>
          <w:szCs w:val="32"/>
        </w:rPr>
        <w:t>UG</w:t>
      </w:r>
      <w:r w:rsidRPr="00A40DDE">
        <w:rPr>
          <w:sz w:val="28"/>
          <w:szCs w:val="32"/>
        </w:rPr>
        <w:t xml:space="preserve">, </w:t>
      </w:r>
      <w:r w:rsidRPr="00A40DDE">
        <w:rPr>
          <w:rFonts w:ascii="Calibri" w:eastAsia="Calibri" w:hAnsi="Calibri" w:cs="Calibri"/>
          <w:sz w:val="28"/>
          <w:szCs w:val="32"/>
        </w:rPr>
        <w:t>Liquid</w:t>
      </w:r>
      <w:r w:rsidRPr="00A40DDE">
        <w:rPr>
          <w:sz w:val="28"/>
          <w:szCs w:val="32"/>
        </w:rPr>
        <w:t xml:space="preserve">, and </w:t>
      </w:r>
      <w:r w:rsidRPr="00A40DDE">
        <w:rPr>
          <w:rFonts w:ascii="Calibri" w:eastAsia="Calibri" w:hAnsi="Calibri" w:cs="Calibri"/>
          <w:sz w:val="28"/>
          <w:szCs w:val="32"/>
        </w:rPr>
        <w:t xml:space="preserve">Sec </w:t>
      </w:r>
      <w:r w:rsidRPr="00A40DDE">
        <w:rPr>
          <w:sz w:val="28"/>
          <w:szCs w:val="32"/>
        </w:rPr>
        <w:t>are deflated by beginning-of-quarter total assets</w:t>
      </w:r>
      <w:proofErr w:type="gramEnd"/>
      <w:r w:rsidRPr="00A40DDE">
        <w:rPr>
          <w:sz w:val="28"/>
          <w:szCs w:val="32"/>
        </w:rPr>
        <w:t>. Because securities gains and losses likely depend on economic conditions, Eq. (</w:t>
      </w:r>
      <w:r w:rsidRPr="00A40DDE">
        <w:rPr>
          <w:color w:val="392A97"/>
          <w:sz w:val="28"/>
          <w:szCs w:val="32"/>
        </w:rPr>
        <w:t>1</w:t>
      </w:r>
      <w:r w:rsidRPr="00A40DDE">
        <w:rPr>
          <w:sz w:val="28"/>
          <w:szCs w:val="32"/>
        </w:rPr>
        <w:t xml:space="preserve">) includes macroeconomic control variables: </w:t>
      </w:r>
      <w:r w:rsidRPr="00A40DDE">
        <w:rPr>
          <w:rFonts w:ascii="Calibri" w:eastAsia="Calibri" w:hAnsi="Calibri" w:cs="Calibri"/>
          <w:sz w:val="28"/>
          <w:szCs w:val="32"/>
        </w:rPr>
        <w:t>VIX</w:t>
      </w:r>
      <w:r w:rsidRPr="00A40DDE">
        <w:rPr>
          <w:sz w:val="28"/>
          <w:szCs w:val="32"/>
        </w:rPr>
        <w:t xml:space="preserve">, S&amp;P 500 Index options implied volatility; </w:t>
      </w:r>
      <w:proofErr w:type="spellStart"/>
      <w:r w:rsidRPr="00A40DDE">
        <w:rPr>
          <w:rFonts w:ascii="Calibri" w:eastAsia="Calibri" w:hAnsi="Calibri" w:cs="Calibri"/>
          <w:sz w:val="28"/>
          <w:szCs w:val="32"/>
        </w:rPr>
        <w:t>Unemp</w:t>
      </w:r>
      <w:proofErr w:type="spellEnd"/>
      <w:r w:rsidRPr="00A40DDE">
        <w:rPr>
          <w:sz w:val="28"/>
          <w:szCs w:val="32"/>
        </w:rPr>
        <w:t xml:space="preserve">, the one-year-ahead consensus forecast of the US unemployment rate; and </w:t>
      </w:r>
      <w:r w:rsidRPr="00A40DDE">
        <w:rPr>
          <w:rFonts w:ascii="Calibri" w:eastAsia="Calibri" w:hAnsi="Calibri" w:cs="Calibri"/>
          <w:sz w:val="28"/>
          <w:szCs w:val="32"/>
        </w:rPr>
        <w:t>LIBOR</w:t>
      </w:r>
      <w:r w:rsidRPr="00A40DDE">
        <w:rPr>
          <w:sz w:val="28"/>
          <w:szCs w:val="32"/>
        </w:rPr>
        <w:t>, the difference between the London Interbank Offer Rate and overnight indexed swap rates. These variables are quarterly, which eliminates the need to include quarter fixed effects.</w:t>
      </w:r>
      <w:r w:rsidRPr="00A40DDE">
        <w:rPr>
          <w:sz w:val="28"/>
          <w:szCs w:val="32"/>
          <w:vertAlign w:val="superscript"/>
        </w:rPr>
        <w:footnoteReference w:id="13"/>
      </w:r>
    </w:p>
    <w:p w:rsidR="007A7C36" w:rsidRPr="00A40DDE" w:rsidRDefault="007A7C36" w:rsidP="007A7C36">
      <w:pPr>
        <w:spacing w:after="256" w:line="265" w:lineRule="auto"/>
        <w:ind w:left="-5" w:right="0" w:hanging="10"/>
        <w:jc w:val="left"/>
        <w:rPr>
          <w:sz w:val="28"/>
          <w:szCs w:val="32"/>
        </w:rPr>
      </w:pPr>
      <w:r w:rsidRPr="00A40DDE">
        <w:rPr>
          <w:sz w:val="28"/>
          <w:szCs w:val="32"/>
        </w:rPr>
        <w:t>3.2 Big baths and the opportunity for managing earnings and regulatory capital</w:t>
      </w:r>
    </w:p>
    <w:p w:rsidR="007A7C36" w:rsidRPr="00A40DDE" w:rsidRDefault="007A7C36" w:rsidP="007A7C36">
      <w:pPr>
        <w:spacing w:after="254"/>
        <w:ind w:left="-15" w:right="-13" w:firstLine="0"/>
        <w:rPr>
          <w:sz w:val="28"/>
          <w:szCs w:val="32"/>
        </w:rPr>
      </w:pPr>
      <w:r w:rsidRPr="00A40DDE">
        <w:rPr>
          <w:sz w:val="28"/>
          <w:szCs w:val="32"/>
        </w:rPr>
        <w:t>We next estimate Eq. (</w:t>
      </w:r>
      <w:r w:rsidRPr="00A40DDE">
        <w:rPr>
          <w:color w:val="392A97"/>
          <w:sz w:val="28"/>
          <w:szCs w:val="32"/>
        </w:rPr>
        <w:t>2</w:t>
      </w:r>
      <w:r w:rsidRPr="00A40DDE">
        <w:rPr>
          <w:sz w:val="28"/>
          <w:szCs w:val="32"/>
        </w:rPr>
        <w:t>), which expands Eq. (</w:t>
      </w:r>
      <w:r w:rsidRPr="00A40DDE">
        <w:rPr>
          <w:color w:val="392A97"/>
          <w:sz w:val="28"/>
          <w:szCs w:val="32"/>
        </w:rPr>
        <w:t>1</w:t>
      </w:r>
      <w:r w:rsidRPr="00A40DDE">
        <w:rPr>
          <w:sz w:val="28"/>
          <w:szCs w:val="32"/>
        </w:rPr>
        <w:t xml:space="preserve">) by separating negative and positive </w:t>
      </w:r>
      <w:r w:rsidRPr="00A40DDE">
        <w:rPr>
          <w:rFonts w:ascii="Calibri" w:eastAsia="Calibri" w:hAnsi="Calibri" w:cs="Calibri"/>
          <w:sz w:val="28"/>
          <w:szCs w:val="32"/>
        </w:rPr>
        <w:t xml:space="preserve">NI </w:t>
      </w:r>
      <w:r w:rsidRPr="00A40DDE">
        <w:rPr>
          <w:sz w:val="28"/>
          <w:szCs w:val="32"/>
        </w:rPr>
        <w:t xml:space="preserve">banks. This separation permits us to test whether banks with negative </w:t>
      </w:r>
      <w:r w:rsidRPr="00A40DDE">
        <w:rPr>
          <w:rFonts w:ascii="Calibri" w:eastAsia="Calibri" w:hAnsi="Calibri" w:cs="Calibri"/>
          <w:sz w:val="28"/>
          <w:szCs w:val="32"/>
        </w:rPr>
        <w:t xml:space="preserve">NI </w:t>
      </w:r>
      <w:r w:rsidRPr="00A40DDE">
        <w:rPr>
          <w:sz w:val="28"/>
          <w:szCs w:val="32"/>
        </w:rPr>
        <w:t xml:space="preserve">take a big bath and banks with positive </w:t>
      </w:r>
      <w:r w:rsidRPr="00A40DDE">
        <w:rPr>
          <w:rFonts w:ascii="Calibri" w:eastAsia="Calibri" w:hAnsi="Calibri" w:cs="Calibri"/>
          <w:sz w:val="28"/>
          <w:szCs w:val="32"/>
        </w:rPr>
        <w:t xml:space="preserve">NI </w:t>
      </w:r>
      <w:r w:rsidRPr="00A40DDE">
        <w:rPr>
          <w:sz w:val="28"/>
          <w:szCs w:val="32"/>
        </w:rPr>
        <w:t>smooth earnings.</w:t>
      </w:r>
      <w:r w:rsidRPr="00A40DDE">
        <w:rPr>
          <w:sz w:val="28"/>
          <w:szCs w:val="32"/>
          <w:vertAlign w:val="superscript"/>
        </w:rPr>
        <w:footnoteReference w:id="14"/>
      </w:r>
      <w:r w:rsidRPr="00A40DDE">
        <w:rPr>
          <w:sz w:val="28"/>
          <w:szCs w:val="32"/>
          <w:vertAlign w:val="superscript"/>
        </w:rPr>
        <w:t xml:space="preserve"> </w:t>
      </w:r>
      <w:r w:rsidRPr="00A40DDE">
        <w:rPr>
          <w:sz w:val="28"/>
          <w:szCs w:val="32"/>
        </w:rPr>
        <w:t>As in Eq. (</w:t>
      </w:r>
      <w:r w:rsidRPr="00A40DDE">
        <w:rPr>
          <w:color w:val="392A97"/>
          <w:sz w:val="28"/>
          <w:szCs w:val="32"/>
        </w:rPr>
        <w:t>1</w:t>
      </w:r>
      <w:r w:rsidRPr="00A40DDE">
        <w:rPr>
          <w:sz w:val="28"/>
          <w:szCs w:val="32"/>
        </w:rPr>
        <w:t>), we expect banks with low regulatory capital to realize more gains. Equation (</w:t>
      </w:r>
      <w:r w:rsidRPr="00A40DDE">
        <w:rPr>
          <w:color w:val="392A97"/>
          <w:sz w:val="28"/>
          <w:szCs w:val="32"/>
        </w:rPr>
        <w:t>2</w:t>
      </w:r>
      <w:r w:rsidRPr="00A40DDE">
        <w:rPr>
          <w:sz w:val="28"/>
          <w:szCs w:val="32"/>
        </w:rPr>
        <w:t>) also permits us to test whether these relations are more pronounced when banks have more opportunity to respond to these incentives, i.e., when they have more accumulated unrealized gains or unrealized losses on AFS securities, depending on the incentive. We also test whether the incentives to manage earnings and regulatory capital interact, particularly whether the incentive for banks with low regulatory capital to recognize gains mitigates the incentive for banks to take a big bath.</w:t>
      </w:r>
    </w:p>
    <w:p w:rsidR="00953FF4" w:rsidRPr="00A40DDE" w:rsidRDefault="00953FF4" w:rsidP="007A7C36">
      <w:pPr>
        <w:spacing w:after="34"/>
        <w:ind w:left="-15" w:right="-13"/>
        <w:rPr>
          <w:rFonts w:ascii="Calibri" w:eastAsia="Calibri" w:hAnsi="Calibri" w:cs="Calibri"/>
          <w:sz w:val="28"/>
          <w:szCs w:val="32"/>
        </w:rPr>
      </w:pPr>
      <w:r w:rsidRPr="00A40DDE">
        <w:rPr>
          <w:noProof/>
          <w:sz w:val="24"/>
          <w:szCs w:val="28"/>
        </w:rPr>
        <w:drawing>
          <wp:inline distT="0" distB="0" distL="0" distR="0" wp14:anchorId="17CA9FF6" wp14:editId="49575CF4">
            <wp:extent cx="4248150" cy="904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48150" cy="904875"/>
                    </a:xfrm>
                    <a:prstGeom prst="rect">
                      <a:avLst/>
                    </a:prstGeom>
                  </pic:spPr>
                </pic:pic>
              </a:graphicData>
            </a:graphic>
          </wp:inline>
        </w:drawing>
      </w:r>
    </w:p>
    <w:p w:rsidR="007A7C36" w:rsidRPr="00A40DDE" w:rsidRDefault="007A7C36" w:rsidP="007A7C36">
      <w:pPr>
        <w:spacing w:after="34"/>
        <w:ind w:left="-15" w:right="-13"/>
        <w:rPr>
          <w:sz w:val="28"/>
          <w:szCs w:val="32"/>
        </w:rPr>
      </w:pPr>
      <w:proofErr w:type="spellStart"/>
      <w:r w:rsidRPr="00A40DDE">
        <w:rPr>
          <w:rFonts w:ascii="Calibri" w:eastAsia="Calibri" w:hAnsi="Calibri" w:cs="Calibri"/>
          <w:sz w:val="28"/>
          <w:szCs w:val="32"/>
        </w:rPr>
        <w:lastRenderedPageBreak/>
        <w:t>NIneg</w:t>
      </w:r>
      <w:proofErr w:type="spellEnd"/>
      <w:r w:rsidRPr="00A40DDE">
        <w:rPr>
          <w:rFonts w:ascii="Calibri" w:eastAsia="Calibri" w:hAnsi="Calibri" w:cs="Calibri"/>
          <w:sz w:val="28"/>
          <w:szCs w:val="32"/>
        </w:rPr>
        <w:t xml:space="preserve"> </w:t>
      </w:r>
      <w:r w:rsidRPr="00A40DDE">
        <w:rPr>
          <w:sz w:val="28"/>
          <w:szCs w:val="32"/>
        </w:rPr>
        <w:t>(</w:t>
      </w:r>
      <w:proofErr w:type="spellStart"/>
      <w:r w:rsidRPr="00A40DDE">
        <w:rPr>
          <w:rFonts w:ascii="Calibri" w:eastAsia="Calibri" w:hAnsi="Calibri" w:cs="Calibri"/>
          <w:sz w:val="28"/>
          <w:szCs w:val="32"/>
        </w:rPr>
        <w:t>NIpos</w:t>
      </w:r>
      <w:proofErr w:type="spellEnd"/>
      <w:r w:rsidRPr="00A40DDE">
        <w:rPr>
          <w:sz w:val="28"/>
          <w:szCs w:val="32"/>
        </w:rPr>
        <w:t xml:space="preserve">) is </w:t>
      </w:r>
      <w:r w:rsidRPr="00A40DDE">
        <w:rPr>
          <w:rFonts w:ascii="Calibri" w:eastAsia="Calibri" w:hAnsi="Calibri" w:cs="Calibri"/>
          <w:sz w:val="28"/>
          <w:szCs w:val="32"/>
        </w:rPr>
        <w:t xml:space="preserve">NI </w:t>
      </w:r>
      <w:r w:rsidRPr="00A40DDE">
        <w:rPr>
          <w:sz w:val="28"/>
          <w:szCs w:val="32"/>
        </w:rPr>
        <w:t xml:space="preserve">if </w:t>
      </w:r>
      <w:r w:rsidRPr="00A40DDE">
        <w:rPr>
          <w:rFonts w:ascii="Calibri" w:eastAsia="Calibri" w:hAnsi="Calibri" w:cs="Calibri"/>
          <w:sz w:val="28"/>
          <w:szCs w:val="32"/>
        </w:rPr>
        <w:t xml:space="preserve">NI </w:t>
      </w:r>
      <w:r w:rsidRPr="00A40DDE">
        <w:rPr>
          <w:sz w:val="28"/>
          <w:szCs w:val="32"/>
        </w:rPr>
        <w:t>is less than (greater than or equal to) zero, and zero otherwise.</w:t>
      </w:r>
    </w:p>
    <w:p w:rsidR="007A7C36" w:rsidRPr="00A40DDE" w:rsidRDefault="007A7C36" w:rsidP="007A7C36">
      <w:pPr>
        <w:spacing w:after="256"/>
        <w:ind w:left="-15" w:right="-13"/>
        <w:rPr>
          <w:sz w:val="28"/>
          <w:szCs w:val="32"/>
        </w:rPr>
      </w:pPr>
      <w:r w:rsidRPr="00A40DDE">
        <w:rPr>
          <w:sz w:val="28"/>
          <w:szCs w:val="32"/>
        </w:rPr>
        <w:t xml:space="preserve">If banks with negative </w:t>
      </w:r>
      <w:r w:rsidRPr="00A40DDE">
        <w:rPr>
          <w:rFonts w:ascii="Calibri" w:eastAsia="Calibri" w:hAnsi="Calibri" w:cs="Calibri"/>
          <w:sz w:val="28"/>
          <w:szCs w:val="32"/>
        </w:rPr>
        <w:t xml:space="preserve">NI </w:t>
      </w:r>
      <w:r w:rsidRPr="00A40DDE">
        <w:rPr>
          <w:sz w:val="28"/>
          <w:szCs w:val="32"/>
        </w:rPr>
        <w:t xml:space="preserve">take a big bath (smooth earnings), we predict that </w:t>
      </w:r>
      <w:r w:rsidRPr="00A40DDE">
        <w:rPr>
          <w:rFonts w:ascii="Calibri" w:eastAsia="Calibri" w:hAnsi="Calibri" w:cs="Calibri"/>
          <w:sz w:val="28"/>
          <w:szCs w:val="32"/>
        </w:rPr>
        <w:t>β</w:t>
      </w:r>
      <w:r w:rsidRPr="00A40DDE">
        <w:rPr>
          <w:sz w:val="28"/>
          <w:szCs w:val="32"/>
          <w:vertAlign w:val="subscript"/>
        </w:rPr>
        <w:t xml:space="preserve">1 </w:t>
      </w:r>
      <w:r w:rsidRPr="00A40DDE">
        <w:rPr>
          <w:sz w:val="28"/>
          <w:szCs w:val="32"/>
        </w:rPr>
        <w:t xml:space="preserve">is positive (negative). Low regulatory capital provides incentives to realize more gains, which mitigates the incentive for negative </w:t>
      </w:r>
      <w:r w:rsidRPr="00A40DDE">
        <w:rPr>
          <w:rFonts w:ascii="Calibri" w:eastAsia="Calibri" w:hAnsi="Calibri" w:cs="Calibri"/>
          <w:sz w:val="28"/>
          <w:szCs w:val="32"/>
        </w:rPr>
        <w:t xml:space="preserve">NI </w:t>
      </w:r>
      <w:r w:rsidRPr="00A40DDE">
        <w:rPr>
          <w:sz w:val="28"/>
          <w:szCs w:val="32"/>
        </w:rPr>
        <w:t>banks to take big baths. Thus, Eq. (</w:t>
      </w:r>
      <w:r w:rsidRPr="00A40DDE">
        <w:rPr>
          <w:color w:val="392A97"/>
          <w:sz w:val="28"/>
          <w:szCs w:val="32"/>
        </w:rPr>
        <w:t>2</w:t>
      </w:r>
      <w:r w:rsidRPr="00A40DDE">
        <w:rPr>
          <w:sz w:val="28"/>
          <w:szCs w:val="32"/>
        </w:rPr>
        <w:t xml:space="preserve">) includes </w:t>
      </w:r>
      <w:proofErr w:type="spellStart"/>
      <w:r w:rsidRPr="00A40DDE">
        <w:rPr>
          <w:rFonts w:ascii="Calibri" w:eastAsia="Calibri" w:hAnsi="Calibri" w:cs="Calibri"/>
          <w:sz w:val="28"/>
          <w:szCs w:val="32"/>
        </w:rPr>
        <w:t>NIneg</w:t>
      </w:r>
      <w:proofErr w:type="spellEnd"/>
      <w:r w:rsidRPr="00A40DDE">
        <w:rPr>
          <w:rFonts w:ascii="Calibri" w:eastAsia="Calibri" w:hAnsi="Calibri" w:cs="Calibri"/>
          <w:sz w:val="28"/>
          <w:szCs w:val="32"/>
        </w:rPr>
        <w:t xml:space="preserve"> × </w:t>
      </w:r>
      <w:proofErr w:type="spellStart"/>
      <w:r w:rsidRPr="00A40DDE">
        <w:rPr>
          <w:rFonts w:ascii="Calibri" w:eastAsia="Calibri" w:hAnsi="Calibri" w:cs="Calibri"/>
          <w:sz w:val="28"/>
          <w:szCs w:val="32"/>
        </w:rPr>
        <w:t>RegCapLow</w:t>
      </w:r>
      <w:proofErr w:type="spellEnd"/>
      <w:r w:rsidRPr="00A40DDE">
        <w:rPr>
          <w:sz w:val="28"/>
          <w:szCs w:val="32"/>
        </w:rPr>
        <w:t xml:space="preserve">, and we predict that </w:t>
      </w:r>
      <w:r w:rsidRPr="00A40DDE">
        <w:rPr>
          <w:rFonts w:ascii="Calibri" w:eastAsia="Calibri" w:hAnsi="Calibri" w:cs="Calibri"/>
          <w:sz w:val="28"/>
          <w:szCs w:val="32"/>
        </w:rPr>
        <w:t>β</w:t>
      </w:r>
      <w:r w:rsidRPr="00A40DDE">
        <w:rPr>
          <w:sz w:val="28"/>
          <w:szCs w:val="32"/>
          <w:vertAlign w:val="subscript"/>
        </w:rPr>
        <w:t xml:space="preserve">2 </w:t>
      </w:r>
      <w:r w:rsidRPr="00A40DDE">
        <w:rPr>
          <w:sz w:val="28"/>
          <w:szCs w:val="32"/>
        </w:rPr>
        <w:t xml:space="preserve">is negative. Because there is more opportunity for big bath </w:t>
      </w:r>
      <w:proofErr w:type="gramStart"/>
      <w:r w:rsidRPr="00A40DDE">
        <w:rPr>
          <w:sz w:val="28"/>
          <w:szCs w:val="32"/>
        </w:rPr>
        <w:t>earnings</w:t>
      </w:r>
      <w:proofErr w:type="gramEnd"/>
      <w:r w:rsidRPr="00A40DDE">
        <w:rPr>
          <w:sz w:val="28"/>
          <w:szCs w:val="32"/>
        </w:rPr>
        <w:t xml:space="preserve"> management when negative </w:t>
      </w:r>
      <w:r w:rsidRPr="00A40DDE">
        <w:rPr>
          <w:rFonts w:ascii="Calibri" w:eastAsia="Calibri" w:hAnsi="Calibri" w:cs="Calibri"/>
          <w:sz w:val="28"/>
          <w:szCs w:val="32"/>
        </w:rPr>
        <w:t xml:space="preserve">NI </w:t>
      </w:r>
      <w:r w:rsidRPr="00A40DDE">
        <w:rPr>
          <w:sz w:val="28"/>
          <w:szCs w:val="32"/>
        </w:rPr>
        <w:t>banks have more accumulated unrealized losses, Eq. (</w:t>
      </w:r>
      <w:r w:rsidRPr="00A40DDE">
        <w:rPr>
          <w:color w:val="392A97"/>
          <w:sz w:val="28"/>
          <w:szCs w:val="32"/>
        </w:rPr>
        <w:t>2</w:t>
      </w:r>
      <w:r w:rsidRPr="00A40DDE">
        <w:rPr>
          <w:sz w:val="28"/>
          <w:szCs w:val="32"/>
        </w:rPr>
        <w:t xml:space="preserve">) includes </w:t>
      </w:r>
      <w:proofErr w:type="spellStart"/>
      <w:r w:rsidRPr="00A40DDE">
        <w:rPr>
          <w:rFonts w:ascii="Calibri" w:eastAsia="Calibri" w:hAnsi="Calibri" w:cs="Calibri"/>
          <w:sz w:val="28"/>
          <w:szCs w:val="32"/>
        </w:rPr>
        <w:t>NIneg</w:t>
      </w:r>
      <w:proofErr w:type="spellEnd"/>
      <w:r w:rsidRPr="00A40DDE">
        <w:rPr>
          <w:rFonts w:ascii="Calibri" w:eastAsia="Calibri" w:hAnsi="Calibri" w:cs="Calibri"/>
          <w:sz w:val="28"/>
          <w:szCs w:val="32"/>
        </w:rPr>
        <w:t xml:space="preserve"> × UL</w:t>
      </w:r>
      <w:r w:rsidRPr="00A40DDE">
        <w:rPr>
          <w:rFonts w:ascii="Calibri" w:eastAsia="Calibri" w:hAnsi="Calibri" w:cs="Calibri"/>
          <w:sz w:val="28"/>
          <w:szCs w:val="32"/>
          <w:vertAlign w:val="subscript"/>
        </w:rPr>
        <w:t>t−</w:t>
      </w:r>
      <w:r w:rsidRPr="00A40DDE">
        <w:rPr>
          <w:sz w:val="28"/>
          <w:szCs w:val="32"/>
          <w:vertAlign w:val="subscript"/>
        </w:rPr>
        <w:t>1</w:t>
      </w:r>
      <w:r w:rsidRPr="00A40DDE">
        <w:rPr>
          <w:sz w:val="28"/>
          <w:szCs w:val="32"/>
        </w:rPr>
        <w:t xml:space="preserve">, and we predict that </w:t>
      </w:r>
      <w:r w:rsidRPr="00A40DDE">
        <w:rPr>
          <w:rFonts w:ascii="Calibri" w:eastAsia="Calibri" w:hAnsi="Calibri" w:cs="Calibri"/>
          <w:sz w:val="28"/>
          <w:szCs w:val="32"/>
        </w:rPr>
        <w:t>β</w:t>
      </w:r>
      <w:r w:rsidRPr="00A40DDE">
        <w:rPr>
          <w:sz w:val="28"/>
          <w:szCs w:val="32"/>
          <w:vertAlign w:val="subscript"/>
        </w:rPr>
        <w:t xml:space="preserve">3 </w:t>
      </w:r>
      <w:r w:rsidRPr="00A40DDE">
        <w:rPr>
          <w:sz w:val="28"/>
          <w:szCs w:val="32"/>
        </w:rPr>
        <w:t xml:space="preserve">is negative. Because there is more opportunity for earnings smoothing when negative (positive) </w:t>
      </w:r>
      <w:r w:rsidRPr="00A40DDE">
        <w:rPr>
          <w:rFonts w:ascii="Calibri" w:eastAsia="Calibri" w:hAnsi="Calibri" w:cs="Calibri"/>
          <w:sz w:val="28"/>
          <w:szCs w:val="32"/>
        </w:rPr>
        <w:t xml:space="preserve">NI </w:t>
      </w:r>
      <w:r w:rsidRPr="00A40DDE">
        <w:rPr>
          <w:sz w:val="28"/>
          <w:szCs w:val="32"/>
        </w:rPr>
        <w:t>banks have more accumulated unrealized gains (losses), Eq. (</w:t>
      </w:r>
      <w:r w:rsidRPr="00A40DDE">
        <w:rPr>
          <w:color w:val="392A97"/>
          <w:sz w:val="28"/>
          <w:szCs w:val="32"/>
        </w:rPr>
        <w:t>2</w:t>
      </w:r>
      <w:r w:rsidRPr="00A40DDE">
        <w:rPr>
          <w:sz w:val="28"/>
          <w:szCs w:val="32"/>
        </w:rPr>
        <w:t xml:space="preserve">) includes </w:t>
      </w:r>
      <w:proofErr w:type="spellStart"/>
      <w:r w:rsidRPr="00A40DDE">
        <w:rPr>
          <w:rFonts w:ascii="Calibri" w:eastAsia="Calibri" w:hAnsi="Calibri" w:cs="Calibri"/>
          <w:sz w:val="28"/>
          <w:szCs w:val="32"/>
        </w:rPr>
        <w:t>NIneg</w:t>
      </w:r>
      <w:proofErr w:type="spellEnd"/>
      <w:r w:rsidRPr="00A40DDE">
        <w:rPr>
          <w:rFonts w:ascii="Calibri" w:eastAsia="Calibri" w:hAnsi="Calibri" w:cs="Calibri"/>
          <w:sz w:val="28"/>
          <w:szCs w:val="32"/>
        </w:rPr>
        <w:t xml:space="preserve"> × UG</w:t>
      </w:r>
      <w:r w:rsidRPr="00A40DDE">
        <w:rPr>
          <w:rFonts w:ascii="Calibri" w:eastAsia="Calibri" w:hAnsi="Calibri" w:cs="Calibri"/>
          <w:sz w:val="28"/>
          <w:szCs w:val="32"/>
          <w:vertAlign w:val="subscript"/>
        </w:rPr>
        <w:t>t−</w:t>
      </w:r>
      <w:r w:rsidRPr="00A40DDE">
        <w:rPr>
          <w:sz w:val="28"/>
          <w:szCs w:val="32"/>
          <w:vertAlign w:val="subscript"/>
        </w:rPr>
        <w:t xml:space="preserve">1 </w:t>
      </w:r>
      <w:r w:rsidRPr="00A40DDE">
        <w:rPr>
          <w:sz w:val="28"/>
          <w:szCs w:val="32"/>
        </w:rPr>
        <w:t xml:space="preserve">and </w:t>
      </w:r>
      <w:proofErr w:type="spellStart"/>
      <w:r w:rsidRPr="00A40DDE">
        <w:rPr>
          <w:rFonts w:ascii="Calibri" w:eastAsia="Calibri" w:hAnsi="Calibri" w:cs="Calibri"/>
          <w:sz w:val="28"/>
          <w:szCs w:val="32"/>
        </w:rPr>
        <w:t>NIpos</w:t>
      </w:r>
      <w:proofErr w:type="spellEnd"/>
      <w:r w:rsidRPr="00A40DDE">
        <w:rPr>
          <w:rFonts w:ascii="Calibri" w:eastAsia="Calibri" w:hAnsi="Calibri" w:cs="Calibri"/>
          <w:sz w:val="28"/>
          <w:szCs w:val="32"/>
        </w:rPr>
        <w:t xml:space="preserve"> × UL</w:t>
      </w:r>
      <w:r w:rsidRPr="00A40DDE">
        <w:rPr>
          <w:rFonts w:ascii="Calibri" w:eastAsia="Calibri" w:hAnsi="Calibri" w:cs="Calibri"/>
          <w:sz w:val="28"/>
          <w:szCs w:val="32"/>
          <w:vertAlign w:val="subscript"/>
        </w:rPr>
        <w:t>t−</w:t>
      </w:r>
      <w:r w:rsidRPr="00A40DDE">
        <w:rPr>
          <w:sz w:val="28"/>
          <w:szCs w:val="32"/>
          <w:vertAlign w:val="subscript"/>
        </w:rPr>
        <w:t>1</w:t>
      </w:r>
      <w:r w:rsidRPr="00A40DDE">
        <w:rPr>
          <w:sz w:val="28"/>
          <w:szCs w:val="32"/>
        </w:rPr>
        <w:t xml:space="preserve">, and we predict that </w:t>
      </w:r>
      <w:r w:rsidRPr="00A40DDE">
        <w:rPr>
          <w:rFonts w:ascii="Calibri" w:eastAsia="Calibri" w:hAnsi="Calibri" w:cs="Calibri"/>
          <w:sz w:val="28"/>
          <w:szCs w:val="32"/>
        </w:rPr>
        <w:t>β</w:t>
      </w:r>
      <w:r w:rsidRPr="00A40DDE">
        <w:rPr>
          <w:sz w:val="28"/>
          <w:szCs w:val="32"/>
          <w:vertAlign w:val="subscript"/>
        </w:rPr>
        <w:t xml:space="preserve">4 </w:t>
      </w:r>
      <w:r w:rsidRPr="00A40DDE">
        <w:rPr>
          <w:sz w:val="28"/>
          <w:szCs w:val="32"/>
        </w:rPr>
        <w:t>(</w:t>
      </w:r>
      <w:r w:rsidRPr="00A40DDE">
        <w:rPr>
          <w:rFonts w:ascii="Calibri" w:eastAsia="Calibri" w:hAnsi="Calibri" w:cs="Calibri"/>
          <w:sz w:val="28"/>
          <w:szCs w:val="32"/>
        </w:rPr>
        <w:t>β</w:t>
      </w:r>
      <w:r w:rsidRPr="00A40DDE">
        <w:rPr>
          <w:sz w:val="28"/>
          <w:szCs w:val="32"/>
          <w:vertAlign w:val="subscript"/>
        </w:rPr>
        <w:t>6</w:t>
      </w:r>
      <w:r w:rsidRPr="00A40DDE">
        <w:rPr>
          <w:sz w:val="28"/>
          <w:szCs w:val="32"/>
        </w:rPr>
        <w:t>) is negative (positive).</w:t>
      </w:r>
      <w:r w:rsidRPr="00A40DDE">
        <w:rPr>
          <w:sz w:val="28"/>
          <w:szCs w:val="32"/>
          <w:vertAlign w:val="superscript"/>
        </w:rPr>
        <w:footnoteReference w:id="15"/>
      </w:r>
      <w:r w:rsidRPr="00A40DDE">
        <w:rPr>
          <w:sz w:val="28"/>
          <w:szCs w:val="32"/>
          <w:vertAlign w:val="superscript"/>
        </w:rPr>
        <w:t xml:space="preserve"> </w:t>
      </w:r>
      <w:r w:rsidRPr="00A40DDE">
        <w:rPr>
          <w:sz w:val="28"/>
          <w:szCs w:val="32"/>
        </w:rPr>
        <w:t>Because there is more opportunity to realize gains to increase regulatory capital when the bank has more accumulated unrealized gains, Eq. (</w:t>
      </w:r>
      <w:r w:rsidRPr="00A40DDE">
        <w:rPr>
          <w:color w:val="392A97"/>
          <w:sz w:val="28"/>
          <w:szCs w:val="32"/>
        </w:rPr>
        <w:t>2</w:t>
      </w:r>
      <w:r w:rsidRPr="00A40DDE">
        <w:rPr>
          <w:sz w:val="28"/>
          <w:szCs w:val="32"/>
        </w:rPr>
        <w:t xml:space="preserve">) includes </w:t>
      </w:r>
      <w:proofErr w:type="spellStart"/>
      <w:r w:rsidRPr="00A40DDE">
        <w:rPr>
          <w:rFonts w:ascii="Calibri" w:eastAsia="Calibri" w:hAnsi="Calibri" w:cs="Calibri"/>
          <w:sz w:val="28"/>
          <w:szCs w:val="32"/>
        </w:rPr>
        <w:t>RegCapLow</w:t>
      </w:r>
      <w:proofErr w:type="spellEnd"/>
      <w:r w:rsidRPr="00A40DDE">
        <w:rPr>
          <w:rFonts w:ascii="Calibri" w:eastAsia="Calibri" w:hAnsi="Calibri" w:cs="Calibri"/>
          <w:sz w:val="28"/>
          <w:szCs w:val="32"/>
        </w:rPr>
        <w:t xml:space="preserve"> × UG</w:t>
      </w:r>
      <w:r w:rsidRPr="00A40DDE">
        <w:rPr>
          <w:rFonts w:ascii="Calibri" w:eastAsia="Calibri" w:hAnsi="Calibri" w:cs="Calibri"/>
          <w:sz w:val="28"/>
          <w:szCs w:val="32"/>
          <w:vertAlign w:val="subscript"/>
        </w:rPr>
        <w:t>t−</w:t>
      </w:r>
      <w:r w:rsidRPr="00A40DDE">
        <w:rPr>
          <w:sz w:val="28"/>
          <w:szCs w:val="32"/>
          <w:vertAlign w:val="subscript"/>
        </w:rPr>
        <w:t>1</w:t>
      </w:r>
      <w:r w:rsidRPr="00A40DDE">
        <w:rPr>
          <w:sz w:val="28"/>
          <w:szCs w:val="32"/>
        </w:rPr>
        <w:t xml:space="preserve">, and we predict </w:t>
      </w:r>
      <w:r w:rsidRPr="00A40DDE">
        <w:rPr>
          <w:rFonts w:ascii="Calibri" w:eastAsia="Calibri" w:hAnsi="Calibri" w:cs="Calibri"/>
          <w:sz w:val="28"/>
          <w:szCs w:val="32"/>
        </w:rPr>
        <w:t>β</w:t>
      </w:r>
      <w:r w:rsidRPr="00A40DDE">
        <w:rPr>
          <w:sz w:val="28"/>
          <w:szCs w:val="32"/>
          <w:vertAlign w:val="subscript"/>
        </w:rPr>
        <w:t xml:space="preserve">8 </w:t>
      </w:r>
      <w:r w:rsidRPr="00A40DDE">
        <w:rPr>
          <w:sz w:val="28"/>
          <w:szCs w:val="32"/>
        </w:rPr>
        <w:t>is positive. All other predictions are as in Eq. (</w:t>
      </w:r>
      <w:r w:rsidRPr="00A40DDE">
        <w:rPr>
          <w:color w:val="392A97"/>
          <w:sz w:val="28"/>
          <w:szCs w:val="32"/>
        </w:rPr>
        <w:t>1</w:t>
      </w:r>
      <w:r w:rsidRPr="00A40DDE">
        <w:rPr>
          <w:sz w:val="28"/>
          <w:szCs w:val="32"/>
        </w:rPr>
        <w:t>).</w:t>
      </w:r>
    </w:p>
    <w:p w:rsidR="007A7C36" w:rsidRPr="00A40DDE" w:rsidRDefault="007A7C36" w:rsidP="007A7C36">
      <w:pPr>
        <w:spacing w:after="230" w:line="265" w:lineRule="auto"/>
        <w:ind w:left="-5" w:right="0" w:hanging="10"/>
        <w:jc w:val="left"/>
        <w:rPr>
          <w:sz w:val="28"/>
          <w:szCs w:val="32"/>
        </w:rPr>
      </w:pPr>
      <w:r w:rsidRPr="00A40DDE">
        <w:rPr>
          <w:sz w:val="28"/>
          <w:szCs w:val="32"/>
        </w:rPr>
        <w:t>3.3 Avoiding losses</w:t>
      </w:r>
    </w:p>
    <w:p w:rsidR="007A7C36" w:rsidRPr="00A40DDE" w:rsidRDefault="007A7C36" w:rsidP="007A7C36">
      <w:pPr>
        <w:ind w:left="-15" w:right="-13" w:firstLine="0"/>
        <w:rPr>
          <w:sz w:val="28"/>
          <w:szCs w:val="32"/>
        </w:rPr>
      </w:pPr>
      <w:r w:rsidRPr="00A40DDE">
        <w:rPr>
          <w:sz w:val="28"/>
          <w:szCs w:val="32"/>
        </w:rPr>
        <w:t xml:space="preserve">We next test whether banks realize securities gains to avoid losses, because loss avoidance is a prominent earnings management objective (e.g., </w:t>
      </w:r>
      <w:proofErr w:type="spellStart"/>
      <w:r w:rsidRPr="00A40DDE">
        <w:rPr>
          <w:sz w:val="28"/>
          <w:szCs w:val="32"/>
        </w:rPr>
        <w:t>Burgstahler</w:t>
      </w:r>
      <w:proofErr w:type="spellEnd"/>
      <w:r w:rsidRPr="00A40DDE">
        <w:rPr>
          <w:sz w:val="28"/>
          <w:szCs w:val="32"/>
        </w:rPr>
        <w:t xml:space="preserve"> and </w:t>
      </w:r>
      <w:proofErr w:type="spellStart"/>
      <w:r w:rsidRPr="00A40DDE">
        <w:rPr>
          <w:sz w:val="28"/>
          <w:szCs w:val="32"/>
        </w:rPr>
        <w:t>Dichev</w:t>
      </w:r>
      <w:proofErr w:type="spellEnd"/>
      <w:r w:rsidRPr="00A40DDE">
        <w:rPr>
          <w:sz w:val="28"/>
          <w:szCs w:val="32"/>
        </w:rPr>
        <w:t xml:space="preserve"> </w:t>
      </w:r>
      <w:r w:rsidRPr="00A40DDE">
        <w:rPr>
          <w:color w:val="392A97"/>
          <w:sz w:val="28"/>
          <w:szCs w:val="32"/>
        </w:rPr>
        <w:t>1997</w:t>
      </w:r>
      <w:r w:rsidRPr="00A40DDE">
        <w:rPr>
          <w:sz w:val="28"/>
          <w:szCs w:val="32"/>
        </w:rPr>
        <w:t xml:space="preserve">; Beatty et al. </w:t>
      </w:r>
      <w:r w:rsidRPr="00A40DDE">
        <w:rPr>
          <w:color w:val="392A97"/>
          <w:sz w:val="28"/>
          <w:szCs w:val="32"/>
        </w:rPr>
        <w:t>2002</w:t>
      </w:r>
      <w:r w:rsidRPr="00A40DDE">
        <w:rPr>
          <w:sz w:val="28"/>
          <w:szCs w:val="32"/>
        </w:rPr>
        <w:t xml:space="preserve">; </w:t>
      </w:r>
      <w:proofErr w:type="spellStart"/>
      <w:r w:rsidRPr="00A40DDE">
        <w:rPr>
          <w:sz w:val="28"/>
          <w:szCs w:val="32"/>
        </w:rPr>
        <w:t>Dechow</w:t>
      </w:r>
      <w:proofErr w:type="spellEnd"/>
      <w:r w:rsidRPr="00A40DDE">
        <w:rPr>
          <w:sz w:val="28"/>
          <w:szCs w:val="32"/>
        </w:rPr>
        <w:t xml:space="preserve"> et al. </w:t>
      </w:r>
      <w:r w:rsidRPr="00A40DDE">
        <w:rPr>
          <w:color w:val="392A97"/>
          <w:sz w:val="28"/>
          <w:szCs w:val="32"/>
        </w:rPr>
        <w:t>2010a</w:t>
      </w:r>
      <w:r w:rsidRPr="00A40DDE">
        <w:rPr>
          <w:sz w:val="28"/>
          <w:szCs w:val="32"/>
        </w:rPr>
        <w:t>) and is a benchmark available for both listed and non-listed banks. In particular, we estimate Eq. (</w:t>
      </w:r>
      <w:r w:rsidRPr="00A40DDE">
        <w:rPr>
          <w:color w:val="392A97"/>
          <w:sz w:val="28"/>
          <w:szCs w:val="32"/>
        </w:rPr>
        <w:t>1</w:t>
      </w:r>
      <w:r w:rsidRPr="00A40DDE">
        <w:rPr>
          <w:sz w:val="28"/>
          <w:szCs w:val="32"/>
        </w:rPr>
        <w:t>) without the interaction terms separately for observations with (</w:t>
      </w:r>
      <w:proofErr w:type="spellStart"/>
      <w:r w:rsidRPr="00A40DDE">
        <w:rPr>
          <w:sz w:val="28"/>
          <w:szCs w:val="32"/>
        </w:rPr>
        <w:t>i</w:t>
      </w:r>
      <w:proofErr w:type="spellEnd"/>
      <w:r w:rsidRPr="00A40DDE">
        <w:rPr>
          <w:sz w:val="28"/>
          <w:szCs w:val="32"/>
        </w:rPr>
        <w:t xml:space="preserve">) </w:t>
      </w:r>
      <w:r w:rsidRPr="00A40DDE">
        <w:rPr>
          <w:rFonts w:ascii="Calibri" w:eastAsia="Calibri" w:hAnsi="Calibri" w:cs="Calibri"/>
          <w:sz w:val="28"/>
          <w:szCs w:val="32"/>
        </w:rPr>
        <w:t xml:space="preserve">NI </w:t>
      </w:r>
      <w:r w:rsidRPr="00A40DDE">
        <w:rPr>
          <w:sz w:val="28"/>
          <w:szCs w:val="32"/>
        </w:rPr>
        <w:t>&gt; = 0, (ii)</w:t>
      </w:r>
    </w:p>
    <w:p w:rsidR="007A7C36" w:rsidRPr="00A40DDE" w:rsidRDefault="007A7C36" w:rsidP="007A7C36">
      <w:pPr>
        <w:ind w:left="-15" w:right="-13" w:firstLine="0"/>
        <w:rPr>
          <w:sz w:val="28"/>
          <w:szCs w:val="32"/>
        </w:rPr>
      </w:pPr>
      <w:r w:rsidRPr="00A40DDE">
        <w:rPr>
          <w:rFonts w:ascii="Calibri" w:eastAsia="Calibri" w:hAnsi="Calibri" w:cs="Calibri"/>
          <w:sz w:val="28"/>
          <w:szCs w:val="32"/>
        </w:rPr>
        <w:t xml:space="preserve">NI </w:t>
      </w:r>
      <w:r w:rsidRPr="00A40DDE">
        <w:rPr>
          <w:sz w:val="28"/>
          <w:szCs w:val="32"/>
        </w:rPr>
        <w:t xml:space="preserve">&lt; 0 and </w:t>
      </w:r>
      <w:r w:rsidRPr="00A40DDE">
        <w:rPr>
          <w:rFonts w:ascii="Calibri" w:eastAsia="Calibri" w:hAnsi="Calibri" w:cs="Calibri"/>
          <w:sz w:val="28"/>
          <w:szCs w:val="32"/>
        </w:rPr>
        <w:t xml:space="preserve">NI </w:t>
      </w:r>
      <w:r w:rsidRPr="00A40DDE">
        <w:rPr>
          <w:sz w:val="28"/>
          <w:szCs w:val="32"/>
        </w:rPr>
        <w:t xml:space="preserve">+ </w:t>
      </w:r>
      <w:r w:rsidRPr="00A40DDE">
        <w:rPr>
          <w:rFonts w:ascii="Calibri" w:eastAsia="Calibri" w:hAnsi="Calibri" w:cs="Calibri"/>
          <w:sz w:val="28"/>
          <w:szCs w:val="32"/>
        </w:rPr>
        <w:t xml:space="preserve">UG </w:t>
      </w:r>
      <w:r w:rsidRPr="00A40DDE">
        <w:rPr>
          <w:sz w:val="28"/>
          <w:szCs w:val="32"/>
        </w:rPr>
        <w:t xml:space="preserve">&lt; 0, and (iii) </w:t>
      </w:r>
      <w:r w:rsidRPr="00A40DDE">
        <w:rPr>
          <w:rFonts w:ascii="Calibri" w:eastAsia="Calibri" w:hAnsi="Calibri" w:cs="Calibri"/>
          <w:sz w:val="28"/>
          <w:szCs w:val="32"/>
        </w:rPr>
        <w:t xml:space="preserve">NI </w:t>
      </w:r>
      <w:r w:rsidRPr="00A40DDE">
        <w:rPr>
          <w:sz w:val="28"/>
          <w:szCs w:val="32"/>
        </w:rPr>
        <w:t xml:space="preserve">&lt; 0 and </w:t>
      </w:r>
      <w:r w:rsidRPr="00A40DDE">
        <w:rPr>
          <w:rFonts w:ascii="Calibri" w:eastAsia="Calibri" w:hAnsi="Calibri" w:cs="Calibri"/>
          <w:sz w:val="28"/>
          <w:szCs w:val="32"/>
        </w:rPr>
        <w:t xml:space="preserve">NI </w:t>
      </w:r>
      <w:r w:rsidRPr="00A40DDE">
        <w:rPr>
          <w:sz w:val="28"/>
          <w:szCs w:val="32"/>
        </w:rPr>
        <w:t xml:space="preserve">+ </w:t>
      </w:r>
      <w:r w:rsidRPr="00A40DDE">
        <w:rPr>
          <w:rFonts w:ascii="Calibri" w:eastAsia="Calibri" w:hAnsi="Calibri" w:cs="Calibri"/>
          <w:sz w:val="28"/>
          <w:szCs w:val="32"/>
        </w:rPr>
        <w:t xml:space="preserve">UG </w:t>
      </w:r>
      <w:r w:rsidRPr="00A40DDE">
        <w:rPr>
          <w:sz w:val="28"/>
          <w:szCs w:val="32"/>
        </w:rPr>
        <w:t xml:space="preserve">&gt; = </w:t>
      </w:r>
      <w:proofErr w:type="gramStart"/>
      <w:r w:rsidRPr="00A40DDE">
        <w:rPr>
          <w:sz w:val="28"/>
          <w:szCs w:val="32"/>
        </w:rPr>
        <w:t>0</w:t>
      </w:r>
      <w:proofErr w:type="gramEnd"/>
      <w:r w:rsidRPr="00A40DDE">
        <w:rPr>
          <w:sz w:val="28"/>
          <w:szCs w:val="32"/>
        </w:rPr>
        <w:t xml:space="preserve">. We omit the interaction terms because we estimate the equation separately for positive and negative </w:t>
      </w:r>
      <w:r w:rsidRPr="00A40DDE">
        <w:rPr>
          <w:rFonts w:ascii="Calibri" w:eastAsia="Calibri" w:hAnsi="Calibri" w:cs="Calibri"/>
          <w:sz w:val="28"/>
          <w:szCs w:val="32"/>
        </w:rPr>
        <w:t xml:space="preserve">NI </w:t>
      </w:r>
      <w:r w:rsidRPr="00A40DDE">
        <w:rPr>
          <w:sz w:val="28"/>
          <w:szCs w:val="32"/>
        </w:rPr>
        <w:t xml:space="preserve">and use </w:t>
      </w:r>
      <w:r w:rsidRPr="00A40DDE">
        <w:rPr>
          <w:rFonts w:ascii="Calibri" w:eastAsia="Calibri" w:hAnsi="Calibri" w:cs="Calibri"/>
          <w:sz w:val="28"/>
          <w:szCs w:val="32"/>
        </w:rPr>
        <w:t xml:space="preserve">UG </w:t>
      </w:r>
      <w:r w:rsidRPr="00A40DDE">
        <w:rPr>
          <w:sz w:val="28"/>
          <w:szCs w:val="32"/>
        </w:rPr>
        <w:t xml:space="preserve">in our partitioning criteria. Because banks in the first group have positive </w:t>
      </w:r>
      <w:r w:rsidRPr="00A40DDE">
        <w:rPr>
          <w:rFonts w:ascii="Calibri" w:eastAsia="Calibri" w:hAnsi="Calibri" w:cs="Calibri"/>
          <w:sz w:val="28"/>
          <w:szCs w:val="32"/>
        </w:rPr>
        <w:t>NI</w:t>
      </w:r>
      <w:r w:rsidRPr="00A40DDE">
        <w:rPr>
          <w:sz w:val="28"/>
          <w:szCs w:val="32"/>
        </w:rPr>
        <w:t xml:space="preserve">, we predict that they smooth earnings, i.e., we predict that </w:t>
      </w:r>
      <w:r w:rsidRPr="00A40DDE">
        <w:rPr>
          <w:rFonts w:ascii="Calibri" w:eastAsia="Calibri" w:hAnsi="Calibri" w:cs="Calibri"/>
          <w:sz w:val="28"/>
          <w:szCs w:val="32"/>
        </w:rPr>
        <w:t>β</w:t>
      </w:r>
      <w:r w:rsidRPr="00A40DDE">
        <w:rPr>
          <w:sz w:val="28"/>
          <w:szCs w:val="32"/>
          <w:vertAlign w:val="subscript"/>
        </w:rPr>
        <w:t>1</w:t>
      </w:r>
      <w:r w:rsidRPr="00A40DDE">
        <w:rPr>
          <w:sz w:val="28"/>
          <w:szCs w:val="32"/>
        </w:rPr>
        <w:t xml:space="preserve">, the </w:t>
      </w:r>
      <w:r w:rsidRPr="00A40DDE">
        <w:rPr>
          <w:rFonts w:ascii="Calibri" w:eastAsia="Calibri" w:hAnsi="Calibri" w:cs="Calibri"/>
          <w:sz w:val="28"/>
          <w:szCs w:val="32"/>
        </w:rPr>
        <w:t xml:space="preserve">NI </w:t>
      </w:r>
      <w:r w:rsidRPr="00A40DDE">
        <w:rPr>
          <w:sz w:val="28"/>
          <w:szCs w:val="32"/>
        </w:rPr>
        <w:t xml:space="preserve">coefficient, is negative. Banks in the second group have negative </w:t>
      </w:r>
      <w:r w:rsidRPr="00A40DDE">
        <w:rPr>
          <w:rFonts w:ascii="Calibri" w:eastAsia="Calibri" w:hAnsi="Calibri" w:cs="Calibri"/>
          <w:sz w:val="28"/>
          <w:szCs w:val="32"/>
        </w:rPr>
        <w:t>NI</w:t>
      </w:r>
      <w:r w:rsidRPr="00A40DDE">
        <w:rPr>
          <w:sz w:val="28"/>
          <w:szCs w:val="32"/>
        </w:rPr>
        <w:t xml:space="preserve">, but have insufficient beginning-of-quarter </w:t>
      </w:r>
      <w:r w:rsidRPr="00A40DDE">
        <w:rPr>
          <w:rFonts w:ascii="Calibri" w:eastAsia="Calibri" w:hAnsi="Calibri" w:cs="Calibri"/>
          <w:sz w:val="28"/>
          <w:szCs w:val="32"/>
        </w:rPr>
        <w:t xml:space="preserve">UG </w:t>
      </w:r>
      <w:r w:rsidRPr="00A40DDE">
        <w:rPr>
          <w:sz w:val="28"/>
          <w:szCs w:val="32"/>
        </w:rPr>
        <w:t xml:space="preserve">to enable them to attain positive net income after realizing securities gains. Thus, we predict that they take a big bath, i.e., that </w:t>
      </w:r>
      <w:r w:rsidRPr="00A40DDE">
        <w:rPr>
          <w:rFonts w:ascii="Calibri" w:eastAsia="Calibri" w:hAnsi="Calibri" w:cs="Calibri"/>
          <w:sz w:val="28"/>
          <w:szCs w:val="32"/>
        </w:rPr>
        <w:t>β</w:t>
      </w:r>
      <w:r w:rsidRPr="00A40DDE">
        <w:rPr>
          <w:sz w:val="28"/>
          <w:szCs w:val="32"/>
          <w:vertAlign w:val="subscript"/>
        </w:rPr>
        <w:t xml:space="preserve">1 </w:t>
      </w:r>
      <w:r w:rsidRPr="00A40DDE">
        <w:rPr>
          <w:sz w:val="28"/>
          <w:szCs w:val="32"/>
        </w:rPr>
        <w:t xml:space="preserve">is positive. Banks in the third group also have negative </w:t>
      </w:r>
      <w:r w:rsidRPr="00A40DDE">
        <w:rPr>
          <w:rFonts w:ascii="Calibri" w:eastAsia="Calibri" w:hAnsi="Calibri" w:cs="Calibri"/>
          <w:sz w:val="28"/>
          <w:szCs w:val="32"/>
        </w:rPr>
        <w:t>NI</w:t>
      </w:r>
      <w:r w:rsidRPr="00A40DDE">
        <w:rPr>
          <w:sz w:val="28"/>
          <w:szCs w:val="32"/>
        </w:rPr>
        <w:t xml:space="preserve">, but have sufficient </w:t>
      </w:r>
      <w:r w:rsidRPr="00A40DDE">
        <w:rPr>
          <w:rFonts w:ascii="Calibri" w:eastAsia="Calibri" w:hAnsi="Calibri" w:cs="Calibri"/>
          <w:sz w:val="28"/>
          <w:szCs w:val="32"/>
        </w:rPr>
        <w:t xml:space="preserve">UG </w:t>
      </w:r>
      <w:r w:rsidRPr="00A40DDE">
        <w:rPr>
          <w:sz w:val="28"/>
          <w:szCs w:val="32"/>
        </w:rPr>
        <w:t xml:space="preserve">to enable them to attain positive net income after realizing securities gains. Thus, we predict that they smooth earnings, i.e., that </w:t>
      </w:r>
      <w:r w:rsidRPr="00A40DDE">
        <w:rPr>
          <w:rFonts w:ascii="Calibri" w:eastAsia="Calibri" w:hAnsi="Calibri" w:cs="Calibri"/>
          <w:sz w:val="28"/>
          <w:szCs w:val="32"/>
        </w:rPr>
        <w:t>β</w:t>
      </w:r>
      <w:r w:rsidRPr="00A40DDE">
        <w:rPr>
          <w:sz w:val="28"/>
          <w:szCs w:val="32"/>
          <w:vertAlign w:val="subscript"/>
        </w:rPr>
        <w:t xml:space="preserve">1 </w:t>
      </w:r>
      <w:r w:rsidRPr="00A40DDE">
        <w:rPr>
          <w:sz w:val="28"/>
          <w:szCs w:val="32"/>
        </w:rPr>
        <w:t>is negative.</w:t>
      </w:r>
    </w:p>
    <w:p w:rsidR="007A7C36" w:rsidRPr="00A40DDE" w:rsidRDefault="007A7C36" w:rsidP="007A7C36">
      <w:pPr>
        <w:ind w:left="-15" w:right="-13"/>
        <w:rPr>
          <w:sz w:val="28"/>
          <w:szCs w:val="32"/>
        </w:rPr>
      </w:pPr>
      <w:r w:rsidRPr="00A40DDE">
        <w:rPr>
          <w:sz w:val="28"/>
          <w:szCs w:val="32"/>
        </w:rPr>
        <w:lastRenderedPageBreak/>
        <w:t>Second, we estimate Eq. (</w:t>
      </w:r>
      <w:r w:rsidRPr="00A40DDE">
        <w:rPr>
          <w:color w:val="392A97"/>
          <w:sz w:val="28"/>
          <w:szCs w:val="32"/>
        </w:rPr>
        <w:t>1</w:t>
      </w:r>
      <w:r w:rsidRPr="00A40DDE">
        <w:rPr>
          <w:sz w:val="28"/>
          <w:szCs w:val="32"/>
        </w:rPr>
        <w:t xml:space="preserve">) without the interaction terms and firm fixed effects, using banks with negative </w:t>
      </w:r>
      <w:r w:rsidRPr="00A40DDE">
        <w:rPr>
          <w:rFonts w:ascii="Calibri" w:eastAsia="Calibri" w:hAnsi="Calibri" w:cs="Calibri"/>
          <w:sz w:val="28"/>
          <w:szCs w:val="32"/>
        </w:rPr>
        <w:t xml:space="preserve">NI </w:t>
      </w:r>
      <w:r w:rsidRPr="00A40DDE">
        <w:rPr>
          <w:sz w:val="28"/>
          <w:szCs w:val="32"/>
        </w:rPr>
        <w:t xml:space="preserve">but positive net income after realized gains on AFS securities, i.e., </w:t>
      </w:r>
      <w:r w:rsidRPr="00A40DDE">
        <w:rPr>
          <w:rFonts w:ascii="Calibri" w:eastAsia="Calibri" w:hAnsi="Calibri" w:cs="Calibri"/>
          <w:sz w:val="28"/>
          <w:szCs w:val="32"/>
        </w:rPr>
        <w:t xml:space="preserve">NI </w:t>
      </w:r>
      <w:r w:rsidRPr="00A40DDE">
        <w:rPr>
          <w:sz w:val="28"/>
          <w:szCs w:val="32"/>
        </w:rPr>
        <w:t xml:space="preserve">&lt; 0 and </w:t>
      </w:r>
      <w:r w:rsidRPr="00A40DDE">
        <w:rPr>
          <w:rFonts w:ascii="Calibri" w:eastAsia="Calibri" w:hAnsi="Calibri" w:cs="Calibri"/>
          <w:sz w:val="28"/>
          <w:szCs w:val="32"/>
        </w:rPr>
        <w:t xml:space="preserve">NI </w:t>
      </w:r>
      <w:r w:rsidRPr="00A40DDE">
        <w:rPr>
          <w:sz w:val="28"/>
          <w:szCs w:val="32"/>
        </w:rPr>
        <w:t xml:space="preserve">+ </w:t>
      </w:r>
      <w:r w:rsidRPr="00A40DDE">
        <w:rPr>
          <w:rFonts w:ascii="Calibri" w:eastAsia="Calibri" w:hAnsi="Calibri" w:cs="Calibri"/>
          <w:sz w:val="28"/>
          <w:szCs w:val="32"/>
        </w:rPr>
        <w:t xml:space="preserve">RGL </w:t>
      </w:r>
      <w:r w:rsidRPr="00A40DDE">
        <w:rPr>
          <w:sz w:val="28"/>
          <w:szCs w:val="32"/>
        </w:rPr>
        <w:t xml:space="preserve">&gt; = 0. We exclude firm fixed effects because there are few banks in this subsample with more than one observation. Because these banks avoided a loss by realizing securities gains, </w:t>
      </w:r>
      <w:r w:rsidRPr="00A40DDE">
        <w:rPr>
          <w:rFonts w:ascii="Calibri" w:eastAsia="Calibri" w:hAnsi="Calibri" w:cs="Calibri"/>
          <w:sz w:val="28"/>
          <w:szCs w:val="32"/>
        </w:rPr>
        <w:t>β</w:t>
      </w:r>
      <w:r w:rsidRPr="00A40DDE">
        <w:rPr>
          <w:sz w:val="28"/>
          <w:szCs w:val="32"/>
          <w:vertAlign w:val="subscript"/>
        </w:rPr>
        <w:t>1</w:t>
      </w:r>
      <w:r w:rsidRPr="00A40DDE">
        <w:rPr>
          <w:sz w:val="28"/>
          <w:szCs w:val="32"/>
        </w:rPr>
        <w:t xml:space="preserve">, the </w:t>
      </w:r>
      <w:r w:rsidRPr="00A40DDE">
        <w:rPr>
          <w:rFonts w:ascii="Calibri" w:eastAsia="Calibri" w:hAnsi="Calibri" w:cs="Calibri"/>
          <w:sz w:val="28"/>
          <w:szCs w:val="32"/>
        </w:rPr>
        <w:t xml:space="preserve">NI </w:t>
      </w:r>
      <w:r w:rsidRPr="00A40DDE">
        <w:rPr>
          <w:sz w:val="28"/>
          <w:szCs w:val="32"/>
        </w:rPr>
        <w:t xml:space="preserve">coefficient, is negative by construction. However, the coefficient magnitude </w:t>
      </w:r>
      <w:proofErr w:type="gramStart"/>
      <w:r w:rsidRPr="00A40DDE">
        <w:rPr>
          <w:sz w:val="28"/>
          <w:szCs w:val="32"/>
        </w:rPr>
        <w:t>is not determined</w:t>
      </w:r>
      <w:proofErr w:type="gramEnd"/>
      <w:r w:rsidRPr="00A40DDE">
        <w:rPr>
          <w:sz w:val="28"/>
          <w:szCs w:val="32"/>
        </w:rPr>
        <w:t xml:space="preserve"> by construction. Thus, we test whether </w:t>
      </w:r>
      <w:r w:rsidRPr="00A40DDE">
        <w:rPr>
          <w:rFonts w:ascii="Calibri" w:eastAsia="Calibri" w:hAnsi="Calibri" w:cs="Calibri"/>
          <w:sz w:val="28"/>
          <w:szCs w:val="32"/>
        </w:rPr>
        <w:t>β</w:t>
      </w:r>
      <w:r w:rsidRPr="00A40DDE">
        <w:rPr>
          <w:sz w:val="28"/>
          <w:szCs w:val="32"/>
          <w:vertAlign w:val="subscript"/>
        </w:rPr>
        <w:t xml:space="preserve">1 </w:t>
      </w:r>
      <w:r w:rsidRPr="00A40DDE">
        <w:rPr>
          <w:sz w:val="28"/>
          <w:szCs w:val="32"/>
        </w:rPr>
        <w:t xml:space="preserve">equals </w:t>
      </w:r>
      <w:r w:rsidRPr="00A40DDE">
        <w:rPr>
          <w:rFonts w:ascii="Calibri" w:eastAsia="Calibri" w:hAnsi="Calibri" w:cs="Calibri"/>
          <w:sz w:val="28"/>
          <w:szCs w:val="32"/>
        </w:rPr>
        <w:t>−</w:t>
      </w:r>
      <w:r w:rsidRPr="00A40DDE">
        <w:rPr>
          <w:sz w:val="28"/>
          <w:szCs w:val="32"/>
        </w:rPr>
        <w:t xml:space="preserve">100, i.e., </w:t>
      </w:r>
      <w:r w:rsidRPr="00A40DDE">
        <w:rPr>
          <w:rFonts w:ascii="Calibri" w:eastAsia="Calibri" w:hAnsi="Calibri" w:cs="Calibri"/>
          <w:sz w:val="28"/>
          <w:szCs w:val="32"/>
        </w:rPr>
        <w:t>−</w:t>
      </w:r>
      <w:proofErr w:type="gramStart"/>
      <w:r w:rsidRPr="00A40DDE">
        <w:rPr>
          <w:sz w:val="28"/>
          <w:szCs w:val="32"/>
        </w:rPr>
        <w:t>100%</w:t>
      </w:r>
      <w:proofErr w:type="gramEnd"/>
      <w:r w:rsidRPr="00A40DDE">
        <w:rPr>
          <w:sz w:val="28"/>
          <w:szCs w:val="32"/>
        </w:rPr>
        <w:t xml:space="preserve">, to gauge the extent to which these banks offset negative </w:t>
      </w:r>
      <w:r w:rsidRPr="00A40DDE">
        <w:rPr>
          <w:rFonts w:ascii="Calibri" w:eastAsia="Calibri" w:hAnsi="Calibri" w:cs="Calibri"/>
          <w:sz w:val="28"/>
          <w:szCs w:val="32"/>
        </w:rPr>
        <w:t xml:space="preserve">NI </w:t>
      </w:r>
      <w:r w:rsidRPr="00A40DDE">
        <w:rPr>
          <w:sz w:val="28"/>
          <w:szCs w:val="32"/>
        </w:rPr>
        <w:t xml:space="preserve">with realized gains on AFS securities. We include </w:t>
      </w:r>
      <w:proofErr w:type="spellStart"/>
      <w:r w:rsidRPr="00A40DDE">
        <w:rPr>
          <w:rFonts w:ascii="Calibri" w:eastAsia="Calibri" w:hAnsi="Calibri" w:cs="Calibri"/>
          <w:sz w:val="28"/>
          <w:szCs w:val="32"/>
        </w:rPr>
        <w:t>RegCapLow</w:t>
      </w:r>
      <w:proofErr w:type="spellEnd"/>
      <w:r w:rsidRPr="00A40DDE">
        <w:rPr>
          <w:rFonts w:ascii="Calibri" w:eastAsia="Calibri" w:hAnsi="Calibri" w:cs="Calibri"/>
          <w:sz w:val="28"/>
          <w:szCs w:val="32"/>
        </w:rPr>
        <w:t xml:space="preserve"> </w:t>
      </w:r>
      <w:r w:rsidRPr="00A40DDE">
        <w:rPr>
          <w:sz w:val="28"/>
          <w:szCs w:val="32"/>
        </w:rPr>
        <w:t xml:space="preserve">with the control variables because the observations all have </w:t>
      </w:r>
      <w:r w:rsidRPr="00A40DDE">
        <w:rPr>
          <w:rFonts w:ascii="Calibri" w:eastAsia="Calibri" w:hAnsi="Calibri" w:cs="Calibri"/>
          <w:sz w:val="28"/>
          <w:szCs w:val="32"/>
        </w:rPr>
        <w:t xml:space="preserve">NI </w:t>
      </w:r>
      <w:r w:rsidRPr="00A40DDE">
        <w:rPr>
          <w:sz w:val="28"/>
          <w:szCs w:val="32"/>
        </w:rPr>
        <w:t>&lt; 0 and, thus, we have no prediction for its coefficient.</w:t>
      </w:r>
    </w:p>
    <w:p w:rsidR="007A7C36" w:rsidRPr="00A40DDE" w:rsidRDefault="007A7C36" w:rsidP="007A7C36">
      <w:pPr>
        <w:pStyle w:val="Heading1"/>
        <w:ind w:left="158" w:hanging="173"/>
        <w:rPr>
          <w:sz w:val="32"/>
          <w:szCs w:val="32"/>
        </w:rPr>
      </w:pPr>
      <w:r w:rsidRPr="00A40DDE">
        <w:rPr>
          <w:sz w:val="32"/>
          <w:szCs w:val="32"/>
        </w:rPr>
        <w:t>Sample, data, and descriptive statistics</w:t>
      </w:r>
    </w:p>
    <w:p w:rsidR="007A7C36" w:rsidRPr="00A40DDE" w:rsidRDefault="007A7C36" w:rsidP="007A7C36">
      <w:pPr>
        <w:rPr>
          <w:sz w:val="28"/>
          <w:szCs w:val="32"/>
          <w:rtl/>
        </w:rPr>
      </w:pPr>
      <w:r w:rsidRPr="00A40DDE">
        <w:rPr>
          <w:sz w:val="28"/>
          <w:szCs w:val="32"/>
        </w:rPr>
        <w:t>We base our sample on commercial banks and bank holding companies in the US Federal Reserve Bank of Chicago Database, which contains quarterly accounting information from forms filed by regulated depository financial institutions. Our sample comprises all top holder banks with data required for our tests from 1996 to 2011.</w:t>
      </w:r>
      <w:r w:rsidRPr="00A40DDE">
        <w:rPr>
          <w:sz w:val="28"/>
          <w:szCs w:val="32"/>
          <w:vertAlign w:val="superscript"/>
        </w:rPr>
        <w:footnoteReference w:id="16"/>
      </w:r>
      <w:r w:rsidRPr="00A40DDE">
        <w:rPr>
          <w:sz w:val="28"/>
          <w:szCs w:val="32"/>
          <w:vertAlign w:val="superscript"/>
        </w:rPr>
        <w:t xml:space="preserve"> </w:t>
      </w:r>
      <w:r w:rsidRPr="00A40DDE">
        <w:rPr>
          <w:sz w:val="28"/>
          <w:szCs w:val="32"/>
        </w:rPr>
        <w:t>We exclude observations from Q1 2008 through Q2 2009 to avoid the potential for the financial crisis to affect our inferences; NBER business cycle dates</w:t>
      </w:r>
      <w:r w:rsidRPr="00A40DDE">
        <w:rPr>
          <w:rFonts w:hint="cs"/>
          <w:sz w:val="28"/>
          <w:szCs w:val="32"/>
          <w:rtl/>
        </w:rPr>
        <w:t>.</w:t>
      </w:r>
    </w:p>
    <w:p w:rsidR="007A7C36" w:rsidRPr="00A40DDE" w:rsidRDefault="007A7C36" w:rsidP="007A7C36">
      <w:pPr>
        <w:spacing w:after="42"/>
        <w:ind w:left="-15" w:right="-13" w:firstLine="0"/>
        <w:rPr>
          <w:sz w:val="28"/>
          <w:szCs w:val="32"/>
        </w:rPr>
      </w:pPr>
      <w:proofErr w:type="gramStart"/>
      <w:r w:rsidRPr="00A40DDE">
        <w:rPr>
          <w:sz w:val="28"/>
          <w:szCs w:val="32"/>
        </w:rPr>
        <w:t>indicate</w:t>
      </w:r>
      <w:proofErr w:type="gramEnd"/>
      <w:r w:rsidRPr="00A40DDE">
        <w:rPr>
          <w:sz w:val="28"/>
          <w:szCs w:val="32"/>
        </w:rPr>
        <w:t xml:space="preserve"> that a recession started in December 2007 and ended in June 2009. The sample begins in 1996 when regulatory capital ratios became publicly available.</w:t>
      </w:r>
      <w:r w:rsidRPr="00A40DDE">
        <w:rPr>
          <w:sz w:val="28"/>
          <w:szCs w:val="32"/>
          <w:vertAlign w:val="superscript"/>
        </w:rPr>
        <w:t xml:space="preserve">18 </w:t>
      </w:r>
      <w:proofErr w:type="gramStart"/>
      <w:r w:rsidRPr="00A40DDE">
        <w:rPr>
          <w:sz w:val="28"/>
          <w:szCs w:val="32"/>
        </w:rPr>
        <w:t>We</w:t>
      </w:r>
      <w:proofErr w:type="gramEnd"/>
      <w:r w:rsidRPr="00A40DDE">
        <w:rPr>
          <w:sz w:val="28"/>
          <w:szCs w:val="32"/>
        </w:rPr>
        <w:t xml:space="preserve"> obtain </w:t>
      </w:r>
      <w:r w:rsidRPr="00A40DDE">
        <w:rPr>
          <w:rFonts w:ascii="Calibri" w:eastAsia="Calibri" w:hAnsi="Calibri" w:cs="Calibri"/>
          <w:sz w:val="28"/>
          <w:szCs w:val="32"/>
        </w:rPr>
        <w:t xml:space="preserve">VIX </w:t>
      </w:r>
      <w:r w:rsidRPr="00A40DDE">
        <w:rPr>
          <w:sz w:val="28"/>
          <w:szCs w:val="32"/>
        </w:rPr>
        <w:t xml:space="preserve">from the Federal Reserve Bank of St. Louis, </w:t>
      </w:r>
      <w:proofErr w:type="spellStart"/>
      <w:r w:rsidRPr="00A40DDE">
        <w:rPr>
          <w:rFonts w:ascii="Calibri" w:eastAsia="Calibri" w:hAnsi="Calibri" w:cs="Calibri"/>
          <w:sz w:val="28"/>
          <w:szCs w:val="32"/>
        </w:rPr>
        <w:t>Unemp</w:t>
      </w:r>
      <w:proofErr w:type="spellEnd"/>
      <w:r w:rsidRPr="00A40DDE">
        <w:rPr>
          <w:rFonts w:ascii="Calibri" w:eastAsia="Calibri" w:hAnsi="Calibri" w:cs="Calibri"/>
          <w:sz w:val="28"/>
          <w:szCs w:val="32"/>
        </w:rPr>
        <w:t xml:space="preserve"> </w:t>
      </w:r>
      <w:r w:rsidRPr="00A40DDE">
        <w:rPr>
          <w:sz w:val="28"/>
          <w:szCs w:val="32"/>
        </w:rPr>
        <w:t>from Consensus Economics</w:t>
      </w:r>
      <w:r w:rsidRPr="00A40DDE">
        <w:rPr>
          <w:rFonts w:ascii="Calibri" w:eastAsia="Calibri" w:hAnsi="Calibri" w:cs="Calibri"/>
          <w:sz w:val="28"/>
          <w:szCs w:val="32"/>
        </w:rPr>
        <w:t xml:space="preserve">’ </w:t>
      </w:r>
      <w:r w:rsidRPr="00A40DDE">
        <w:rPr>
          <w:sz w:val="28"/>
          <w:szCs w:val="32"/>
        </w:rPr>
        <w:t xml:space="preserve">Consensus Forecasts database, and </w:t>
      </w:r>
      <w:r w:rsidRPr="00A40DDE">
        <w:rPr>
          <w:rFonts w:ascii="Calibri" w:eastAsia="Calibri" w:hAnsi="Calibri" w:cs="Calibri"/>
          <w:sz w:val="28"/>
          <w:szCs w:val="32"/>
        </w:rPr>
        <w:t xml:space="preserve">LIBOR </w:t>
      </w:r>
      <w:r w:rsidRPr="00A40DDE">
        <w:rPr>
          <w:sz w:val="28"/>
          <w:szCs w:val="32"/>
        </w:rPr>
        <w:t>from the International Monetary Fund. The resulting sample comprises 136,879 bank-quarter observations for 6300 banks, with 15,204 (121,675) observations for 728 (5862) publicly listed (non-listed) banks.</w:t>
      </w:r>
      <w:r w:rsidRPr="00A40DDE">
        <w:rPr>
          <w:sz w:val="28"/>
          <w:szCs w:val="32"/>
          <w:vertAlign w:val="superscript"/>
        </w:rPr>
        <w:footnoteReference w:id="17"/>
      </w:r>
    </w:p>
    <w:p w:rsidR="007A7C36" w:rsidRPr="00A40DDE" w:rsidRDefault="007A7C36" w:rsidP="007A7C36">
      <w:pPr>
        <w:ind w:left="-15" w:right="-13"/>
        <w:rPr>
          <w:sz w:val="28"/>
          <w:szCs w:val="32"/>
        </w:rPr>
      </w:pPr>
      <w:proofErr w:type="gramStart"/>
      <w:r w:rsidRPr="00A40DDE">
        <w:rPr>
          <w:sz w:val="28"/>
          <w:szCs w:val="32"/>
        </w:rPr>
        <w:t xml:space="preserve">Realized gains and losses on AFS securities, </w:t>
      </w:r>
      <w:r w:rsidRPr="00A40DDE">
        <w:rPr>
          <w:rFonts w:ascii="Calibri" w:eastAsia="Calibri" w:hAnsi="Calibri" w:cs="Calibri"/>
          <w:sz w:val="28"/>
          <w:szCs w:val="32"/>
        </w:rPr>
        <w:t>RGL</w:t>
      </w:r>
      <w:r w:rsidRPr="00A40DDE">
        <w:rPr>
          <w:sz w:val="28"/>
          <w:szCs w:val="32"/>
        </w:rPr>
        <w:t>, is reported in line 6b of Schedule HI (RI) Income Statement for bank holding companies (other commercial banks).</w:t>
      </w:r>
      <w:r w:rsidRPr="00A40DDE">
        <w:rPr>
          <w:sz w:val="28"/>
          <w:szCs w:val="32"/>
          <w:vertAlign w:val="superscript"/>
        </w:rPr>
        <w:t xml:space="preserve">20 </w:t>
      </w:r>
      <w:r w:rsidRPr="00A40DDE">
        <w:rPr>
          <w:sz w:val="28"/>
          <w:szCs w:val="32"/>
        </w:rPr>
        <w:t>Accumulated unrealized gains and losses on AFS securities is the difference between total fair value and amortized cost for these securities as reported in Schedule HC-B (RC-B) Securities for bank holding companies (other commercial banks).</w:t>
      </w:r>
      <w:proofErr w:type="gramEnd"/>
      <w:r w:rsidRPr="00A40DDE">
        <w:rPr>
          <w:sz w:val="28"/>
          <w:szCs w:val="32"/>
        </w:rPr>
        <w:t xml:space="preserve"> Unrealized gains and unrealized losses </w:t>
      </w:r>
      <w:proofErr w:type="gramStart"/>
      <w:r w:rsidRPr="00A40DDE">
        <w:rPr>
          <w:sz w:val="28"/>
          <w:szCs w:val="32"/>
        </w:rPr>
        <w:t>are reported</w:t>
      </w:r>
      <w:proofErr w:type="gramEnd"/>
      <w:r w:rsidRPr="00A40DDE">
        <w:rPr>
          <w:sz w:val="28"/>
          <w:szCs w:val="32"/>
        </w:rPr>
        <w:t xml:space="preserve"> separately for twenty-one categories of </w:t>
      </w:r>
      <w:r w:rsidRPr="00A40DDE">
        <w:rPr>
          <w:sz w:val="28"/>
          <w:szCs w:val="32"/>
        </w:rPr>
        <w:lastRenderedPageBreak/>
        <w:t xml:space="preserve">securities. We use the by-category information to construct </w:t>
      </w:r>
      <w:r w:rsidRPr="00A40DDE">
        <w:rPr>
          <w:rFonts w:ascii="Calibri" w:eastAsia="Calibri" w:hAnsi="Calibri" w:cs="Calibri"/>
          <w:sz w:val="28"/>
          <w:szCs w:val="32"/>
        </w:rPr>
        <w:t xml:space="preserve">UG </w:t>
      </w:r>
      <w:r w:rsidRPr="00A40DDE">
        <w:rPr>
          <w:sz w:val="28"/>
          <w:szCs w:val="32"/>
        </w:rPr>
        <w:t>(</w:t>
      </w:r>
      <w:r w:rsidRPr="00A40DDE">
        <w:rPr>
          <w:rFonts w:ascii="Calibri" w:eastAsia="Calibri" w:hAnsi="Calibri" w:cs="Calibri"/>
          <w:sz w:val="28"/>
          <w:szCs w:val="32"/>
        </w:rPr>
        <w:t>UL</w:t>
      </w:r>
      <w:r w:rsidRPr="00A40DDE">
        <w:rPr>
          <w:sz w:val="28"/>
          <w:szCs w:val="32"/>
        </w:rPr>
        <w:t xml:space="preserve">), accumulated unrealized gains (losses) on AFS securities. Specifically, if the difference between fair value and amortized cost for a particular category of securities is positive (negative), we include that difference in </w:t>
      </w:r>
      <w:r w:rsidRPr="00A40DDE">
        <w:rPr>
          <w:rFonts w:ascii="Calibri" w:eastAsia="Calibri" w:hAnsi="Calibri" w:cs="Calibri"/>
          <w:sz w:val="28"/>
          <w:szCs w:val="32"/>
        </w:rPr>
        <w:t xml:space="preserve">UG </w:t>
      </w:r>
      <w:r w:rsidRPr="00A40DDE">
        <w:rPr>
          <w:sz w:val="28"/>
          <w:szCs w:val="32"/>
        </w:rPr>
        <w:t>(</w:t>
      </w:r>
      <w:r w:rsidRPr="00A40DDE">
        <w:rPr>
          <w:rFonts w:ascii="Calibri" w:eastAsia="Calibri" w:hAnsi="Calibri" w:cs="Calibri"/>
          <w:sz w:val="28"/>
          <w:szCs w:val="32"/>
        </w:rPr>
        <w:t>UL</w:t>
      </w:r>
      <w:r w:rsidRPr="00A40DDE">
        <w:rPr>
          <w:sz w:val="28"/>
          <w:szCs w:val="32"/>
        </w:rPr>
        <w:t>).</w:t>
      </w:r>
      <w:r w:rsidRPr="00A40DDE">
        <w:rPr>
          <w:sz w:val="28"/>
          <w:szCs w:val="32"/>
          <w:vertAlign w:val="superscript"/>
        </w:rPr>
        <w:footnoteReference w:id="18"/>
      </w:r>
    </w:p>
    <w:p w:rsidR="007A7C36" w:rsidRPr="00A40DDE" w:rsidRDefault="007A7C36" w:rsidP="007A7C36">
      <w:pPr>
        <w:rPr>
          <w:sz w:val="28"/>
          <w:szCs w:val="32"/>
          <w:rtl/>
        </w:rPr>
      </w:pPr>
      <w:r w:rsidRPr="00A40DDE">
        <w:rPr>
          <w:sz w:val="28"/>
          <w:szCs w:val="32"/>
        </w:rPr>
        <w:t xml:space="preserve">Table </w:t>
      </w:r>
      <w:proofErr w:type="gramStart"/>
      <w:r w:rsidRPr="00A40DDE">
        <w:rPr>
          <w:color w:val="392A97"/>
          <w:sz w:val="28"/>
          <w:szCs w:val="32"/>
        </w:rPr>
        <w:t>1</w:t>
      </w:r>
      <w:proofErr w:type="gramEnd"/>
      <w:r w:rsidRPr="00A40DDE">
        <w:rPr>
          <w:sz w:val="28"/>
          <w:szCs w:val="32"/>
        </w:rPr>
        <w:t xml:space="preserve">, panel A, presents distributional statistics for variables we use in our estimating equations. Panel A reveals that, on average, banks realize gains on AFS securities (mean </w:t>
      </w:r>
      <w:r w:rsidRPr="00A40DDE">
        <w:rPr>
          <w:rFonts w:ascii="Calibri" w:eastAsia="Calibri" w:hAnsi="Calibri" w:cs="Calibri"/>
          <w:sz w:val="28"/>
          <w:szCs w:val="32"/>
        </w:rPr>
        <w:t xml:space="preserve">RGL </w:t>
      </w:r>
      <w:r w:rsidRPr="00A40DDE">
        <w:rPr>
          <w:sz w:val="28"/>
          <w:szCs w:val="32"/>
        </w:rPr>
        <w:t xml:space="preserve">= 0.01); the median is zero. On average, net income before realized gains and losses on AFS securities, </w:t>
      </w:r>
      <w:r w:rsidRPr="00A40DDE">
        <w:rPr>
          <w:rFonts w:ascii="Calibri" w:eastAsia="Calibri" w:hAnsi="Calibri" w:cs="Calibri"/>
          <w:sz w:val="28"/>
          <w:szCs w:val="32"/>
        </w:rPr>
        <w:t>NI</w:t>
      </w:r>
      <w:r w:rsidRPr="00A40DDE">
        <w:rPr>
          <w:sz w:val="28"/>
          <w:szCs w:val="32"/>
        </w:rPr>
        <w:t xml:space="preserve">, also is positive (mean = 0.27; median = 0.31). Means (medians) of negative and positive </w:t>
      </w:r>
      <w:r w:rsidRPr="00A40DDE">
        <w:rPr>
          <w:rFonts w:ascii="Calibri" w:eastAsia="Calibri" w:hAnsi="Calibri" w:cs="Calibri"/>
          <w:sz w:val="28"/>
          <w:szCs w:val="32"/>
        </w:rPr>
        <w:t>NI</w:t>
      </w:r>
      <w:r w:rsidRPr="00A40DDE">
        <w:rPr>
          <w:sz w:val="28"/>
          <w:szCs w:val="32"/>
        </w:rPr>
        <w:t xml:space="preserve">, </w:t>
      </w:r>
      <w:proofErr w:type="spellStart"/>
      <w:r w:rsidRPr="00A40DDE">
        <w:rPr>
          <w:rFonts w:ascii="Calibri" w:eastAsia="Calibri" w:hAnsi="Calibri" w:cs="Calibri"/>
          <w:sz w:val="28"/>
          <w:szCs w:val="32"/>
        </w:rPr>
        <w:t>NIneg</w:t>
      </w:r>
      <w:proofErr w:type="spellEnd"/>
      <w:r w:rsidRPr="00A40DDE">
        <w:rPr>
          <w:rFonts w:ascii="Calibri" w:eastAsia="Calibri" w:hAnsi="Calibri" w:cs="Calibri"/>
          <w:sz w:val="28"/>
          <w:szCs w:val="32"/>
        </w:rPr>
        <w:t xml:space="preserve"> </w:t>
      </w:r>
      <w:r w:rsidRPr="00A40DDE">
        <w:rPr>
          <w:sz w:val="28"/>
          <w:szCs w:val="32"/>
        </w:rPr>
        <w:t xml:space="preserve">and </w:t>
      </w:r>
      <w:proofErr w:type="spellStart"/>
      <w:r w:rsidRPr="00A40DDE">
        <w:rPr>
          <w:rFonts w:ascii="Calibri" w:eastAsia="Calibri" w:hAnsi="Calibri" w:cs="Calibri"/>
          <w:sz w:val="28"/>
          <w:szCs w:val="32"/>
        </w:rPr>
        <w:t>NIpos</w:t>
      </w:r>
      <w:proofErr w:type="spellEnd"/>
      <w:r w:rsidRPr="00A40DDE">
        <w:rPr>
          <w:sz w:val="28"/>
          <w:szCs w:val="32"/>
        </w:rPr>
        <w:t xml:space="preserve">, are </w:t>
      </w:r>
      <w:r w:rsidRPr="00A40DDE">
        <w:rPr>
          <w:rFonts w:ascii="Calibri" w:eastAsia="Calibri" w:hAnsi="Calibri" w:cs="Calibri"/>
          <w:sz w:val="28"/>
          <w:szCs w:val="32"/>
        </w:rPr>
        <w:t>−</w:t>
      </w:r>
      <w:r w:rsidRPr="00A40DDE">
        <w:rPr>
          <w:sz w:val="28"/>
          <w:szCs w:val="32"/>
        </w:rPr>
        <w:t xml:space="preserve">0.05 and 0.32 (0.00 and 0.31), which indicate that, although average negative </w:t>
      </w:r>
      <w:r w:rsidRPr="00A40DDE">
        <w:rPr>
          <w:rFonts w:ascii="Calibri" w:eastAsia="Calibri" w:hAnsi="Calibri" w:cs="Calibri"/>
          <w:sz w:val="28"/>
          <w:szCs w:val="32"/>
        </w:rPr>
        <w:t xml:space="preserve">NI </w:t>
      </w:r>
      <w:r w:rsidRPr="00A40DDE">
        <w:rPr>
          <w:sz w:val="28"/>
          <w:szCs w:val="32"/>
        </w:rPr>
        <w:t xml:space="preserve">is </w:t>
      </w:r>
      <w:r w:rsidRPr="00A40DDE">
        <w:rPr>
          <w:rFonts w:ascii="Calibri" w:eastAsia="Calibri" w:hAnsi="Calibri" w:cs="Calibri"/>
          <w:sz w:val="28"/>
          <w:szCs w:val="32"/>
        </w:rPr>
        <w:t>−</w:t>
      </w:r>
      <w:r w:rsidRPr="00A40DDE">
        <w:rPr>
          <w:sz w:val="28"/>
          <w:szCs w:val="32"/>
        </w:rPr>
        <w:t xml:space="preserve">0.05% of total assets, average positive </w:t>
      </w:r>
      <w:r w:rsidRPr="00A40DDE">
        <w:rPr>
          <w:rFonts w:ascii="Calibri" w:eastAsia="Calibri" w:hAnsi="Calibri" w:cs="Calibri"/>
          <w:sz w:val="28"/>
          <w:szCs w:val="32"/>
        </w:rPr>
        <w:t xml:space="preserve">NI </w:t>
      </w:r>
      <w:r w:rsidRPr="00A40DDE">
        <w:rPr>
          <w:sz w:val="28"/>
          <w:szCs w:val="32"/>
        </w:rPr>
        <w:t xml:space="preserve">is considerably larger in magnitude, 0.32%. </w:t>
      </w:r>
      <w:proofErr w:type="spellStart"/>
      <w:r w:rsidRPr="00A40DDE">
        <w:rPr>
          <w:sz w:val="28"/>
          <w:szCs w:val="32"/>
        </w:rPr>
        <w:t>Untabulated</w:t>
      </w:r>
      <w:proofErr w:type="spellEnd"/>
      <w:r w:rsidRPr="00A40DDE">
        <w:rPr>
          <w:sz w:val="28"/>
          <w:szCs w:val="32"/>
        </w:rPr>
        <w:t xml:space="preserve"> statistics reveal that </w:t>
      </w:r>
      <w:r w:rsidRPr="00A40DDE">
        <w:rPr>
          <w:rFonts w:ascii="Calibri" w:eastAsia="Calibri" w:hAnsi="Calibri" w:cs="Calibri"/>
          <w:sz w:val="28"/>
          <w:szCs w:val="32"/>
        </w:rPr>
        <w:t xml:space="preserve">NI </w:t>
      </w:r>
      <w:r w:rsidRPr="00A40DDE">
        <w:rPr>
          <w:sz w:val="28"/>
          <w:szCs w:val="32"/>
        </w:rPr>
        <w:t xml:space="preserve">is positive, negative, and zero for 121,234, 15,534, and 111 observations (6120, 3341, and 100 banks). Mean (median) </w:t>
      </w:r>
      <w:proofErr w:type="spellStart"/>
      <w:r w:rsidRPr="00A40DDE">
        <w:rPr>
          <w:rFonts w:ascii="Calibri" w:eastAsia="Calibri" w:hAnsi="Calibri" w:cs="Calibri"/>
          <w:sz w:val="28"/>
          <w:szCs w:val="32"/>
        </w:rPr>
        <w:t>RegCap</w:t>
      </w:r>
      <w:proofErr w:type="spellEnd"/>
      <w:r w:rsidRPr="00A40DDE">
        <w:rPr>
          <w:sz w:val="28"/>
          <w:szCs w:val="32"/>
        </w:rPr>
        <w:t xml:space="preserve">, regulatory capital ratio before realized gains and losses on AFS securities, which we use to construct </w:t>
      </w:r>
      <w:proofErr w:type="spellStart"/>
      <w:r w:rsidRPr="00A40DDE">
        <w:rPr>
          <w:rFonts w:ascii="Calibri" w:eastAsia="Calibri" w:hAnsi="Calibri" w:cs="Calibri"/>
          <w:sz w:val="28"/>
          <w:szCs w:val="32"/>
        </w:rPr>
        <w:t>RegCapLow</w:t>
      </w:r>
      <w:proofErr w:type="spellEnd"/>
      <w:r w:rsidRPr="00A40DDE">
        <w:rPr>
          <w:sz w:val="28"/>
          <w:szCs w:val="32"/>
        </w:rPr>
        <w:t>, is 0.19 (0.16). Panel A also reveals that, on average,</w:t>
      </w:r>
    </w:p>
    <w:p w:rsidR="007A7C36" w:rsidRPr="00A40DDE" w:rsidRDefault="007A7C36" w:rsidP="007A7C36">
      <w:pPr>
        <w:rPr>
          <w:sz w:val="28"/>
          <w:szCs w:val="32"/>
          <w:rtl/>
        </w:rPr>
      </w:pPr>
    </w:p>
    <w:p w:rsidR="007A7C36" w:rsidRPr="00A40DDE" w:rsidRDefault="007A7C36" w:rsidP="007A7C36">
      <w:pPr>
        <w:ind w:left="-15" w:right="-13"/>
        <w:rPr>
          <w:sz w:val="28"/>
          <w:szCs w:val="32"/>
        </w:rPr>
      </w:pPr>
      <w:proofErr w:type="gramStart"/>
      <w:r w:rsidRPr="00A40DDE">
        <w:rPr>
          <w:sz w:val="28"/>
          <w:szCs w:val="32"/>
        </w:rPr>
        <w:t>banks</w:t>
      </w:r>
      <w:proofErr w:type="gramEnd"/>
      <w:r w:rsidRPr="00A40DDE">
        <w:rPr>
          <w:rFonts w:ascii="Calibri" w:eastAsia="Calibri" w:hAnsi="Calibri" w:cs="Calibri"/>
          <w:sz w:val="28"/>
          <w:szCs w:val="32"/>
        </w:rPr>
        <w:t xml:space="preserve">’ </w:t>
      </w:r>
      <w:r w:rsidRPr="00A40DDE">
        <w:rPr>
          <w:sz w:val="28"/>
          <w:szCs w:val="32"/>
        </w:rPr>
        <w:t xml:space="preserve">accumulated unrealized gains is 0.26% of total assets (mean </w:t>
      </w:r>
      <w:r w:rsidRPr="00A40DDE">
        <w:rPr>
          <w:rFonts w:ascii="Calibri" w:eastAsia="Calibri" w:hAnsi="Calibri" w:cs="Calibri"/>
          <w:sz w:val="28"/>
          <w:szCs w:val="32"/>
        </w:rPr>
        <w:t xml:space="preserve">UG </w:t>
      </w:r>
      <w:r w:rsidRPr="00A40DDE">
        <w:rPr>
          <w:sz w:val="28"/>
          <w:szCs w:val="32"/>
        </w:rPr>
        <w:t xml:space="preserve">= 0.26), and accumulated unrealized losses is 0.18% (mean </w:t>
      </w:r>
      <w:r w:rsidRPr="00A40DDE">
        <w:rPr>
          <w:rFonts w:ascii="Calibri" w:eastAsia="Calibri" w:hAnsi="Calibri" w:cs="Calibri"/>
          <w:sz w:val="28"/>
          <w:szCs w:val="32"/>
        </w:rPr>
        <w:t xml:space="preserve">UL </w:t>
      </w:r>
      <w:r w:rsidRPr="00A40DDE">
        <w:rPr>
          <w:sz w:val="28"/>
          <w:szCs w:val="32"/>
        </w:rPr>
        <w:t xml:space="preserve">= </w:t>
      </w:r>
      <w:r w:rsidRPr="00A40DDE">
        <w:rPr>
          <w:rFonts w:ascii="Calibri" w:eastAsia="Calibri" w:hAnsi="Calibri" w:cs="Calibri"/>
          <w:sz w:val="28"/>
          <w:szCs w:val="32"/>
        </w:rPr>
        <w:t>−</w:t>
      </w:r>
      <w:r w:rsidRPr="00A40DDE">
        <w:rPr>
          <w:sz w:val="28"/>
          <w:szCs w:val="32"/>
        </w:rPr>
        <w:t xml:space="preserve">0.18). </w:t>
      </w:r>
      <w:proofErr w:type="spellStart"/>
      <w:r w:rsidRPr="00A40DDE">
        <w:rPr>
          <w:sz w:val="28"/>
          <w:szCs w:val="32"/>
        </w:rPr>
        <w:t>Untabulated</w:t>
      </w:r>
      <w:proofErr w:type="spellEnd"/>
      <w:r w:rsidRPr="00A40DDE">
        <w:rPr>
          <w:sz w:val="28"/>
          <w:szCs w:val="32"/>
        </w:rPr>
        <w:t xml:space="preserve"> statistics reveal that 81% (70%) of the observations have positive (negative) </w:t>
      </w:r>
      <w:r w:rsidRPr="00A40DDE">
        <w:rPr>
          <w:rFonts w:ascii="Calibri" w:eastAsia="Calibri" w:hAnsi="Calibri" w:cs="Calibri"/>
          <w:sz w:val="28"/>
          <w:szCs w:val="32"/>
        </w:rPr>
        <w:t xml:space="preserve">UG </w:t>
      </w:r>
      <w:r w:rsidRPr="00A40DDE">
        <w:rPr>
          <w:sz w:val="28"/>
          <w:szCs w:val="32"/>
        </w:rPr>
        <w:t>(</w:t>
      </w:r>
      <w:r w:rsidRPr="00A40DDE">
        <w:rPr>
          <w:rFonts w:ascii="Calibri" w:eastAsia="Calibri" w:hAnsi="Calibri" w:cs="Calibri"/>
          <w:sz w:val="28"/>
          <w:szCs w:val="32"/>
        </w:rPr>
        <w:t>UL</w:t>
      </w:r>
      <w:r w:rsidRPr="00A40DDE">
        <w:rPr>
          <w:sz w:val="28"/>
          <w:szCs w:val="32"/>
        </w:rPr>
        <w:t>).</w:t>
      </w:r>
    </w:p>
    <w:p w:rsidR="007A7C36" w:rsidRPr="00A40DDE" w:rsidRDefault="007A7C36" w:rsidP="007A7C36">
      <w:pPr>
        <w:spacing w:after="500"/>
        <w:ind w:left="-15" w:right="-13"/>
        <w:rPr>
          <w:sz w:val="28"/>
          <w:szCs w:val="32"/>
        </w:rPr>
      </w:pPr>
      <w:r w:rsidRPr="00A40DDE">
        <w:rPr>
          <w:sz w:val="28"/>
          <w:szCs w:val="32"/>
        </w:rPr>
        <w:t xml:space="preserve">Table </w:t>
      </w:r>
      <w:proofErr w:type="gramStart"/>
      <w:r w:rsidRPr="00A40DDE">
        <w:rPr>
          <w:color w:val="392A97"/>
          <w:sz w:val="28"/>
          <w:szCs w:val="32"/>
        </w:rPr>
        <w:t>1</w:t>
      </w:r>
      <w:proofErr w:type="gramEnd"/>
      <w:r w:rsidRPr="00A40DDE">
        <w:rPr>
          <w:sz w:val="28"/>
          <w:szCs w:val="32"/>
        </w:rPr>
        <w:t xml:space="preserve">, panel B, presents Pearson (Spearman) correlations above (below) the diagonal. Consistent with our predictions, panel B reveals that </w:t>
      </w:r>
      <w:r w:rsidRPr="00A40DDE">
        <w:rPr>
          <w:rFonts w:ascii="Calibri" w:eastAsia="Calibri" w:hAnsi="Calibri" w:cs="Calibri"/>
          <w:sz w:val="28"/>
          <w:szCs w:val="32"/>
        </w:rPr>
        <w:t xml:space="preserve">RGL </w:t>
      </w:r>
      <w:r w:rsidRPr="00A40DDE">
        <w:rPr>
          <w:sz w:val="28"/>
          <w:szCs w:val="32"/>
        </w:rPr>
        <w:t xml:space="preserve">is significantly negatively related to </w:t>
      </w:r>
      <w:r w:rsidRPr="00A40DDE">
        <w:rPr>
          <w:rFonts w:ascii="Calibri" w:eastAsia="Calibri" w:hAnsi="Calibri" w:cs="Calibri"/>
          <w:sz w:val="28"/>
          <w:szCs w:val="32"/>
        </w:rPr>
        <w:t xml:space="preserve">NI </w:t>
      </w:r>
      <w:r w:rsidRPr="00A40DDE">
        <w:rPr>
          <w:sz w:val="28"/>
          <w:szCs w:val="32"/>
        </w:rPr>
        <w:t xml:space="preserve">(Pearson corr. = </w:t>
      </w:r>
      <w:r w:rsidRPr="00A40DDE">
        <w:rPr>
          <w:rFonts w:ascii="Calibri" w:eastAsia="Calibri" w:hAnsi="Calibri" w:cs="Calibri"/>
          <w:sz w:val="28"/>
          <w:szCs w:val="32"/>
        </w:rPr>
        <w:t>−</w:t>
      </w:r>
      <w:r w:rsidRPr="00A40DDE">
        <w:rPr>
          <w:sz w:val="28"/>
          <w:szCs w:val="32"/>
        </w:rPr>
        <w:t xml:space="preserve">0.07; Spearman corr. = </w:t>
      </w:r>
      <w:r w:rsidRPr="00A40DDE">
        <w:rPr>
          <w:rFonts w:ascii="Calibri" w:eastAsia="Calibri" w:hAnsi="Calibri" w:cs="Calibri"/>
          <w:sz w:val="28"/>
          <w:szCs w:val="32"/>
        </w:rPr>
        <w:t>−</w:t>
      </w:r>
      <w:r w:rsidRPr="00A40DDE">
        <w:rPr>
          <w:sz w:val="28"/>
          <w:szCs w:val="32"/>
        </w:rPr>
        <w:t>0.08).</w:t>
      </w:r>
      <w:r w:rsidRPr="00A40DDE">
        <w:rPr>
          <w:sz w:val="28"/>
          <w:szCs w:val="32"/>
          <w:vertAlign w:val="superscript"/>
        </w:rPr>
        <w:footnoteReference w:id="19"/>
      </w:r>
      <w:r w:rsidRPr="00A40DDE">
        <w:rPr>
          <w:sz w:val="28"/>
          <w:szCs w:val="32"/>
          <w:vertAlign w:val="superscript"/>
        </w:rPr>
        <w:t xml:space="preserve"> </w:t>
      </w:r>
      <w:r w:rsidRPr="00A40DDE">
        <w:rPr>
          <w:sz w:val="28"/>
          <w:szCs w:val="32"/>
        </w:rPr>
        <w:t xml:space="preserve">Although almost all correlations are significantly different from zero, most are less than 0.25. The notable exceptions are the correlations between </w:t>
      </w:r>
      <w:r w:rsidRPr="00A40DDE">
        <w:rPr>
          <w:rFonts w:ascii="Calibri" w:eastAsia="Calibri" w:hAnsi="Calibri" w:cs="Calibri"/>
          <w:sz w:val="28"/>
          <w:szCs w:val="32"/>
        </w:rPr>
        <w:t xml:space="preserve">NI </w:t>
      </w:r>
      <w:r w:rsidRPr="00A40DDE">
        <w:rPr>
          <w:sz w:val="28"/>
          <w:szCs w:val="32"/>
        </w:rPr>
        <w:t xml:space="preserve">and its partitions, </w:t>
      </w:r>
      <w:proofErr w:type="spellStart"/>
      <w:r w:rsidRPr="00A40DDE">
        <w:rPr>
          <w:rFonts w:ascii="Calibri" w:eastAsia="Calibri" w:hAnsi="Calibri" w:cs="Calibri"/>
          <w:sz w:val="28"/>
          <w:szCs w:val="32"/>
        </w:rPr>
        <w:t>NIneg</w:t>
      </w:r>
      <w:proofErr w:type="spellEnd"/>
      <w:r w:rsidRPr="00A40DDE">
        <w:rPr>
          <w:rFonts w:ascii="Calibri" w:eastAsia="Calibri" w:hAnsi="Calibri" w:cs="Calibri"/>
          <w:sz w:val="28"/>
          <w:szCs w:val="32"/>
        </w:rPr>
        <w:t xml:space="preserve"> </w:t>
      </w:r>
      <w:r w:rsidRPr="00A40DDE">
        <w:rPr>
          <w:sz w:val="28"/>
          <w:szCs w:val="32"/>
        </w:rPr>
        <w:t xml:space="preserve">and </w:t>
      </w:r>
      <w:proofErr w:type="spellStart"/>
      <w:r w:rsidRPr="00A40DDE">
        <w:rPr>
          <w:rFonts w:ascii="Calibri" w:eastAsia="Calibri" w:hAnsi="Calibri" w:cs="Calibri"/>
          <w:sz w:val="28"/>
          <w:szCs w:val="32"/>
        </w:rPr>
        <w:t>NIpos</w:t>
      </w:r>
      <w:proofErr w:type="spellEnd"/>
      <w:r w:rsidRPr="00A40DDE">
        <w:rPr>
          <w:sz w:val="28"/>
          <w:szCs w:val="32"/>
        </w:rPr>
        <w:t xml:space="preserve">, which is to </w:t>
      </w:r>
      <w:proofErr w:type="gramStart"/>
      <w:r w:rsidRPr="00A40DDE">
        <w:rPr>
          <w:sz w:val="28"/>
          <w:szCs w:val="32"/>
        </w:rPr>
        <w:t>be expected</w:t>
      </w:r>
      <w:proofErr w:type="gramEnd"/>
      <w:r w:rsidRPr="00A40DDE">
        <w:rPr>
          <w:sz w:val="28"/>
          <w:szCs w:val="32"/>
        </w:rPr>
        <w:t>. Regardless, we rely on multivariate regressions to test our predictions.</w:t>
      </w:r>
    </w:p>
    <w:p w:rsidR="007A7C36" w:rsidRPr="00A40DDE" w:rsidRDefault="007A7C36" w:rsidP="007A7C36">
      <w:pPr>
        <w:pStyle w:val="Heading1"/>
        <w:spacing w:after="235"/>
        <w:ind w:left="158" w:hanging="173"/>
        <w:rPr>
          <w:sz w:val="32"/>
          <w:szCs w:val="32"/>
        </w:rPr>
      </w:pPr>
      <w:r w:rsidRPr="00A40DDE">
        <w:rPr>
          <w:sz w:val="32"/>
          <w:szCs w:val="32"/>
        </w:rPr>
        <w:lastRenderedPageBreak/>
        <w:t>Findings</w:t>
      </w:r>
    </w:p>
    <w:p w:rsidR="007A7C36" w:rsidRPr="00A40DDE" w:rsidRDefault="007A7C36" w:rsidP="007A7C36">
      <w:pPr>
        <w:spacing w:after="256" w:line="265" w:lineRule="auto"/>
        <w:ind w:left="-5" w:right="0" w:hanging="10"/>
        <w:jc w:val="left"/>
        <w:rPr>
          <w:sz w:val="28"/>
          <w:szCs w:val="32"/>
        </w:rPr>
      </w:pPr>
      <w:r w:rsidRPr="00A40DDE">
        <w:rPr>
          <w:sz w:val="28"/>
          <w:szCs w:val="32"/>
        </w:rPr>
        <w:t>5.1 Earnings smoothing and increasing regulatory capital</w:t>
      </w:r>
    </w:p>
    <w:p w:rsidR="007A7C36" w:rsidRPr="00A40DDE" w:rsidRDefault="007A7C36" w:rsidP="007A7C36">
      <w:pPr>
        <w:ind w:left="-15" w:right="-13" w:firstLine="0"/>
        <w:rPr>
          <w:sz w:val="28"/>
          <w:szCs w:val="32"/>
        </w:rPr>
      </w:pPr>
      <w:r w:rsidRPr="00A40DDE">
        <w:rPr>
          <w:sz w:val="28"/>
          <w:szCs w:val="32"/>
        </w:rPr>
        <w:t xml:space="preserve">Table </w:t>
      </w:r>
      <w:r w:rsidRPr="00A40DDE">
        <w:rPr>
          <w:color w:val="392A97"/>
          <w:sz w:val="28"/>
          <w:szCs w:val="32"/>
        </w:rPr>
        <w:t xml:space="preserve">2 </w:t>
      </w:r>
      <w:r w:rsidRPr="00A40DDE">
        <w:rPr>
          <w:sz w:val="28"/>
          <w:szCs w:val="32"/>
        </w:rPr>
        <w:t>presents regression summary statistics from two versions of Eq. (</w:t>
      </w:r>
      <w:r w:rsidRPr="00A40DDE">
        <w:rPr>
          <w:color w:val="392A97"/>
          <w:sz w:val="28"/>
          <w:szCs w:val="32"/>
        </w:rPr>
        <w:t>1</w:t>
      </w:r>
      <w:r w:rsidRPr="00A40DDE">
        <w:rPr>
          <w:sz w:val="28"/>
          <w:szCs w:val="32"/>
        </w:rPr>
        <w:t>)</w:t>
      </w:r>
      <w:r w:rsidRPr="00A40DDE">
        <w:rPr>
          <w:rFonts w:ascii="Calibri" w:eastAsia="Calibri" w:hAnsi="Calibri" w:cs="Calibri"/>
          <w:sz w:val="28"/>
          <w:szCs w:val="32"/>
        </w:rPr>
        <w:t>—</w:t>
      </w:r>
      <w:r w:rsidRPr="00A40DDE">
        <w:rPr>
          <w:sz w:val="28"/>
          <w:szCs w:val="32"/>
        </w:rPr>
        <w:t xml:space="preserve">without and with the interaction variable. Consistent with predictions and inferences from prior research, both sets of findings reveal that realized gains and losses on AFS securities, </w:t>
      </w:r>
      <w:r w:rsidRPr="00A40DDE">
        <w:rPr>
          <w:rFonts w:ascii="Calibri" w:eastAsia="Calibri" w:hAnsi="Calibri" w:cs="Calibri"/>
          <w:sz w:val="28"/>
          <w:szCs w:val="32"/>
        </w:rPr>
        <w:t>RGL</w:t>
      </w:r>
      <w:r w:rsidRPr="00A40DDE">
        <w:rPr>
          <w:sz w:val="28"/>
          <w:szCs w:val="32"/>
        </w:rPr>
        <w:t xml:space="preserve">, is significantly negatively related to net income before the gains and losses, </w:t>
      </w:r>
      <w:r w:rsidRPr="00A40DDE">
        <w:rPr>
          <w:rFonts w:ascii="Calibri" w:eastAsia="Calibri" w:hAnsi="Calibri" w:cs="Calibri"/>
          <w:sz w:val="28"/>
          <w:szCs w:val="32"/>
        </w:rPr>
        <w:t xml:space="preserve">NI </w:t>
      </w:r>
      <w:r w:rsidRPr="00A40DDE">
        <w:rPr>
          <w:sz w:val="28"/>
          <w:szCs w:val="32"/>
        </w:rPr>
        <w:t>(</w:t>
      </w:r>
      <w:proofErr w:type="spellStart"/>
      <w:r w:rsidRPr="00A40DDE">
        <w:rPr>
          <w:sz w:val="28"/>
          <w:szCs w:val="32"/>
        </w:rPr>
        <w:t>tstats</w:t>
      </w:r>
      <w:proofErr w:type="spellEnd"/>
      <w:r w:rsidRPr="00A40DDE">
        <w:rPr>
          <w:sz w:val="28"/>
          <w:szCs w:val="32"/>
        </w:rPr>
        <w:t xml:space="preserve">. = </w:t>
      </w:r>
      <w:r w:rsidRPr="00A40DDE">
        <w:rPr>
          <w:rFonts w:ascii="Calibri" w:eastAsia="Calibri" w:hAnsi="Calibri" w:cs="Calibri"/>
          <w:sz w:val="28"/>
          <w:szCs w:val="32"/>
        </w:rPr>
        <w:t>−</w:t>
      </w:r>
      <w:r w:rsidRPr="00A40DDE">
        <w:rPr>
          <w:sz w:val="28"/>
          <w:szCs w:val="32"/>
        </w:rPr>
        <w:t xml:space="preserve">3.72 and </w:t>
      </w:r>
      <w:r w:rsidRPr="00A40DDE">
        <w:rPr>
          <w:rFonts w:ascii="Calibri" w:eastAsia="Calibri" w:hAnsi="Calibri" w:cs="Calibri"/>
          <w:sz w:val="28"/>
          <w:szCs w:val="32"/>
        </w:rPr>
        <w:t>−</w:t>
      </w:r>
      <w:r w:rsidRPr="00A40DDE">
        <w:rPr>
          <w:sz w:val="28"/>
          <w:szCs w:val="32"/>
        </w:rPr>
        <w:t xml:space="preserve">3.66), and significantly positively related to the indicator for low regulatory capital before the gains and losses, </w:t>
      </w:r>
      <w:proofErr w:type="spellStart"/>
      <w:r w:rsidRPr="00A40DDE">
        <w:rPr>
          <w:rFonts w:ascii="Calibri" w:eastAsia="Calibri" w:hAnsi="Calibri" w:cs="Calibri"/>
          <w:sz w:val="28"/>
          <w:szCs w:val="32"/>
        </w:rPr>
        <w:t>RegCapLow</w:t>
      </w:r>
      <w:proofErr w:type="spellEnd"/>
      <w:r w:rsidRPr="00A40DDE">
        <w:rPr>
          <w:rFonts w:ascii="Calibri" w:eastAsia="Calibri" w:hAnsi="Calibri" w:cs="Calibri"/>
          <w:sz w:val="28"/>
          <w:szCs w:val="32"/>
        </w:rPr>
        <w:t xml:space="preserve"> </w:t>
      </w:r>
      <w:r w:rsidRPr="00A40DDE">
        <w:rPr>
          <w:sz w:val="28"/>
          <w:szCs w:val="32"/>
        </w:rPr>
        <w:t xml:space="preserve">(t-stats. = 1.82 and 1.71). Table </w:t>
      </w:r>
      <w:r w:rsidRPr="00A40DDE">
        <w:rPr>
          <w:color w:val="392A97"/>
          <w:sz w:val="28"/>
          <w:szCs w:val="32"/>
        </w:rPr>
        <w:t xml:space="preserve">2 </w:t>
      </w:r>
      <w:r w:rsidRPr="00A40DDE">
        <w:rPr>
          <w:sz w:val="28"/>
          <w:szCs w:val="32"/>
        </w:rPr>
        <w:t xml:space="preserve">also reveals that the </w:t>
      </w:r>
      <w:r w:rsidRPr="00A40DDE">
        <w:rPr>
          <w:rFonts w:ascii="Calibri" w:eastAsia="Calibri" w:hAnsi="Calibri" w:cs="Calibri"/>
          <w:sz w:val="28"/>
          <w:szCs w:val="32"/>
        </w:rPr>
        <w:t xml:space="preserve">NI </w:t>
      </w:r>
      <w:r w:rsidRPr="00A40DDE">
        <w:rPr>
          <w:sz w:val="28"/>
          <w:szCs w:val="32"/>
        </w:rPr>
        <w:t xml:space="preserve">× </w:t>
      </w:r>
      <w:proofErr w:type="spellStart"/>
      <w:r w:rsidRPr="00A40DDE">
        <w:rPr>
          <w:rFonts w:ascii="Calibri" w:eastAsia="Calibri" w:hAnsi="Calibri" w:cs="Calibri"/>
          <w:sz w:val="28"/>
          <w:szCs w:val="32"/>
        </w:rPr>
        <w:t>RegCapLow</w:t>
      </w:r>
      <w:proofErr w:type="spellEnd"/>
      <w:r w:rsidRPr="00A40DDE">
        <w:rPr>
          <w:rFonts w:ascii="Calibri" w:eastAsia="Calibri" w:hAnsi="Calibri" w:cs="Calibri"/>
          <w:sz w:val="28"/>
          <w:szCs w:val="32"/>
        </w:rPr>
        <w:t xml:space="preserve"> </w:t>
      </w:r>
      <w:r w:rsidRPr="00A40DDE">
        <w:rPr>
          <w:sz w:val="28"/>
          <w:szCs w:val="32"/>
        </w:rPr>
        <w:t xml:space="preserve">coefficient is not significantly different from zero (t-stat. = </w:t>
      </w:r>
      <w:r w:rsidRPr="00A40DDE">
        <w:rPr>
          <w:rFonts w:ascii="Calibri" w:eastAsia="Calibri" w:hAnsi="Calibri" w:cs="Calibri"/>
          <w:sz w:val="28"/>
          <w:szCs w:val="32"/>
        </w:rPr>
        <w:t>−</w:t>
      </w:r>
      <w:r w:rsidRPr="00A40DDE">
        <w:rPr>
          <w:sz w:val="28"/>
          <w:szCs w:val="32"/>
        </w:rPr>
        <w:t xml:space="preserve">0.84). This finding indicates that there is no interaction between the incentives to smooth earnings and manage regulatory capital or that the interaction for positive and negative </w:t>
      </w:r>
      <w:r w:rsidRPr="00A40DDE">
        <w:rPr>
          <w:rFonts w:ascii="Calibri" w:eastAsia="Calibri" w:hAnsi="Calibri" w:cs="Calibri"/>
          <w:sz w:val="28"/>
          <w:szCs w:val="32"/>
        </w:rPr>
        <w:t xml:space="preserve">NI </w:t>
      </w:r>
      <w:r w:rsidRPr="00A40DDE">
        <w:rPr>
          <w:sz w:val="28"/>
          <w:szCs w:val="32"/>
        </w:rPr>
        <w:t>banks offset.</w:t>
      </w:r>
    </w:p>
    <w:p w:rsidR="007A7C36" w:rsidRPr="00A40DDE" w:rsidRDefault="007A7C36" w:rsidP="007A7C36">
      <w:pPr>
        <w:rPr>
          <w:sz w:val="28"/>
          <w:szCs w:val="32"/>
          <w:rtl/>
        </w:rPr>
      </w:pPr>
      <w:r w:rsidRPr="00A40DDE">
        <w:rPr>
          <w:sz w:val="28"/>
          <w:szCs w:val="32"/>
        </w:rPr>
        <w:t xml:space="preserve">Regarding the control variables, the coefficients on accumulated unrealized gains and losses on AFS securities, </w:t>
      </w:r>
      <w:r w:rsidRPr="00A40DDE">
        <w:rPr>
          <w:rFonts w:ascii="Calibri" w:eastAsia="Calibri" w:hAnsi="Calibri" w:cs="Calibri"/>
          <w:sz w:val="28"/>
          <w:szCs w:val="32"/>
        </w:rPr>
        <w:t>UL</w:t>
      </w:r>
      <w:r w:rsidRPr="00A40DDE">
        <w:rPr>
          <w:rFonts w:ascii="Calibri" w:eastAsia="Calibri" w:hAnsi="Calibri" w:cs="Calibri"/>
          <w:sz w:val="28"/>
          <w:szCs w:val="32"/>
          <w:vertAlign w:val="subscript"/>
        </w:rPr>
        <w:t>t−</w:t>
      </w:r>
      <w:r w:rsidRPr="00A40DDE">
        <w:rPr>
          <w:sz w:val="28"/>
          <w:szCs w:val="32"/>
          <w:vertAlign w:val="subscript"/>
        </w:rPr>
        <w:t xml:space="preserve">1 </w:t>
      </w:r>
      <w:r w:rsidRPr="00A40DDE">
        <w:rPr>
          <w:sz w:val="28"/>
          <w:szCs w:val="32"/>
        </w:rPr>
        <w:t xml:space="preserve">and </w:t>
      </w:r>
      <w:r w:rsidRPr="00A40DDE">
        <w:rPr>
          <w:rFonts w:ascii="Calibri" w:eastAsia="Calibri" w:hAnsi="Calibri" w:cs="Calibri"/>
          <w:sz w:val="28"/>
          <w:szCs w:val="32"/>
        </w:rPr>
        <w:t>UG</w:t>
      </w:r>
      <w:r w:rsidRPr="00A40DDE">
        <w:rPr>
          <w:rFonts w:ascii="Calibri" w:eastAsia="Calibri" w:hAnsi="Calibri" w:cs="Calibri"/>
          <w:sz w:val="28"/>
          <w:szCs w:val="32"/>
          <w:vertAlign w:val="subscript"/>
        </w:rPr>
        <w:t>t−</w:t>
      </w:r>
      <w:r w:rsidRPr="00A40DDE">
        <w:rPr>
          <w:sz w:val="28"/>
          <w:szCs w:val="32"/>
          <w:vertAlign w:val="subscript"/>
        </w:rPr>
        <w:t>1</w:t>
      </w:r>
      <w:r w:rsidRPr="00A40DDE">
        <w:rPr>
          <w:sz w:val="28"/>
          <w:szCs w:val="32"/>
        </w:rPr>
        <w:t xml:space="preserve">, are positive in both versions (t-stats. = 3.72 and 3.72 for </w:t>
      </w:r>
      <w:r w:rsidRPr="00A40DDE">
        <w:rPr>
          <w:rFonts w:ascii="Calibri" w:eastAsia="Calibri" w:hAnsi="Calibri" w:cs="Calibri"/>
          <w:sz w:val="28"/>
          <w:szCs w:val="32"/>
        </w:rPr>
        <w:t>UL</w:t>
      </w:r>
      <w:r w:rsidRPr="00A40DDE">
        <w:rPr>
          <w:rFonts w:ascii="Calibri" w:eastAsia="Calibri" w:hAnsi="Calibri" w:cs="Calibri"/>
          <w:sz w:val="28"/>
          <w:szCs w:val="32"/>
          <w:vertAlign w:val="subscript"/>
        </w:rPr>
        <w:t>t−</w:t>
      </w:r>
      <w:r w:rsidRPr="00A40DDE">
        <w:rPr>
          <w:sz w:val="28"/>
          <w:szCs w:val="32"/>
          <w:vertAlign w:val="subscript"/>
        </w:rPr>
        <w:t xml:space="preserve">1 </w:t>
      </w:r>
      <w:r w:rsidRPr="00A40DDE">
        <w:rPr>
          <w:sz w:val="28"/>
          <w:szCs w:val="32"/>
        </w:rPr>
        <w:t xml:space="preserve">and 11.23 and 11.24 for </w:t>
      </w:r>
      <w:r w:rsidRPr="00A40DDE">
        <w:rPr>
          <w:rFonts w:ascii="Calibri" w:eastAsia="Calibri" w:hAnsi="Calibri" w:cs="Calibri"/>
          <w:sz w:val="28"/>
          <w:szCs w:val="32"/>
        </w:rPr>
        <w:t>UG</w:t>
      </w:r>
      <w:r w:rsidRPr="00A40DDE">
        <w:rPr>
          <w:rFonts w:ascii="Calibri" w:eastAsia="Calibri" w:hAnsi="Calibri" w:cs="Calibri"/>
          <w:sz w:val="28"/>
          <w:szCs w:val="32"/>
          <w:vertAlign w:val="subscript"/>
        </w:rPr>
        <w:t>t−</w:t>
      </w:r>
      <w:r w:rsidRPr="00A40DDE">
        <w:rPr>
          <w:sz w:val="28"/>
          <w:szCs w:val="32"/>
          <w:vertAlign w:val="subscript"/>
        </w:rPr>
        <w:t>1</w:t>
      </w:r>
      <w:r w:rsidRPr="00A40DDE">
        <w:rPr>
          <w:sz w:val="28"/>
          <w:szCs w:val="32"/>
        </w:rPr>
        <w:t xml:space="preserve">), which indicates that banks realize more losses (gains) when they have more accumulated unrealized losses (gains). </w:t>
      </w:r>
      <w:proofErr w:type="spellStart"/>
      <w:r w:rsidRPr="00A40DDE">
        <w:rPr>
          <w:sz w:val="28"/>
          <w:szCs w:val="32"/>
        </w:rPr>
        <w:t>Untabulated</w:t>
      </w:r>
      <w:proofErr w:type="spellEnd"/>
      <w:r w:rsidRPr="00A40DDE">
        <w:rPr>
          <w:sz w:val="28"/>
          <w:szCs w:val="32"/>
        </w:rPr>
        <w:t xml:space="preserve"> coefficients on several other control variables differ from zero.</w:t>
      </w:r>
      <w:r w:rsidRPr="00A40DDE">
        <w:rPr>
          <w:sz w:val="28"/>
          <w:szCs w:val="32"/>
          <w:vertAlign w:val="superscript"/>
        </w:rPr>
        <w:footnoteReference w:id="20"/>
      </w:r>
    </w:p>
    <w:p w:rsidR="007A7C36" w:rsidRPr="00A40DDE" w:rsidRDefault="007A7C36" w:rsidP="0039444A">
      <w:pPr>
        <w:spacing w:line="262" w:lineRule="auto"/>
        <w:ind w:left="601" w:right="0" w:firstLine="0"/>
        <w:rPr>
          <w:sz w:val="22"/>
          <w:szCs w:val="32"/>
        </w:rPr>
      </w:pPr>
      <w:r w:rsidRPr="00A40DDE">
        <w:rPr>
          <w:sz w:val="22"/>
          <w:szCs w:val="32"/>
        </w:rPr>
        <w:t>Descriptive statistics</w:t>
      </w:r>
      <w:r w:rsidR="0039444A" w:rsidRPr="00A40DDE">
        <w:rPr>
          <w:sz w:val="22"/>
          <w:szCs w:val="32"/>
        </w:rPr>
        <w:t>.</w:t>
      </w: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39444A" w:rsidRPr="00A40DDE" w:rsidRDefault="0039444A" w:rsidP="0039444A">
      <w:pPr>
        <w:spacing w:line="262" w:lineRule="auto"/>
        <w:ind w:left="601" w:right="0" w:firstLine="0"/>
        <w:rPr>
          <w:sz w:val="22"/>
          <w:szCs w:val="32"/>
        </w:rPr>
      </w:pPr>
    </w:p>
    <w:p w:rsidR="00953FF4" w:rsidRPr="00A40DDE" w:rsidRDefault="00953FF4" w:rsidP="0039444A">
      <w:pPr>
        <w:spacing w:line="262" w:lineRule="auto"/>
        <w:ind w:left="601" w:right="0" w:firstLine="0"/>
        <w:rPr>
          <w:sz w:val="22"/>
          <w:szCs w:val="32"/>
        </w:rPr>
      </w:pPr>
    </w:p>
    <w:p w:rsidR="00953FF4" w:rsidRPr="00A40DDE" w:rsidRDefault="00953FF4" w:rsidP="0039444A">
      <w:pPr>
        <w:spacing w:line="262" w:lineRule="auto"/>
        <w:ind w:left="601" w:right="0" w:firstLine="0"/>
        <w:rPr>
          <w:sz w:val="22"/>
          <w:szCs w:val="32"/>
        </w:rPr>
      </w:pPr>
    </w:p>
    <w:p w:rsidR="00953FF4" w:rsidRPr="00A40DDE" w:rsidRDefault="00953FF4" w:rsidP="0039444A">
      <w:pPr>
        <w:spacing w:line="262" w:lineRule="auto"/>
        <w:ind w:left="601" w:right="0" w:firstLine="0"/>
        <w:rPr>
          <w:sz w:val="22"/>
          <w:szCs w:val="32"/>
        </w:rPr>
      </w:pPr>
    </w:p>
    <w:p w:rsidR="007A7C36" w:rsidRPr="00A40DDE" w:rsidRDefault="007A7C36" w:rsidP="0039444A">
      <w:pPr>
        <w:spacing w:line="262" w:lineRule="auto"/>
        <w:ind w:right="0" w:firstLine="0"/>
        <w:rPr>
          <w:sz w:val="22"/>
          <w:szCs w:val="32"/>
        </w:rPr>
      </w:pPr>
    </w:p>
    <w:p w:rsidR="0039444A" w:rsidRPr="00A40DDE" w:rsidRDefault="0039444A" w:rsidP="0039444A">
      <w:pPr>
        <w:spacing w:line="262" w:lineRule="auto"/>
        <w:ind w:right="0" w:firstLine="0"/>
        <w:rPr>
          <w:sz w:val="22"/>
          <w:szCs w:val="32"/>
        </w:rPr>
      </w:pPr>
    </w:p>
    <w:p w:rsidR="0039444A" w:rsidRPr="00A40DDE" w:rsidRDefault="0039444A" w:rsidP="0039444A">
      <w:pPr>
        <w:spacing w:line="262" w:lineRule="auto"/>
        <w:ind w:right="0" w:firstLine="0"/>
        <w:rPr>
          <w:sz w:val="22"/>
          <w:szCs w:val="32"/>
          <w:rtl/>
        </w:rPr>
      </w:pPr>
    </w:p>
    <w:p w:rsidR="007A7C36" w:rsidRPr="00A40DDE" w:rsidRDefault="007A7C36" w:rsidP="007A7C36">
      <w:pPr>
        <w:spacing w:after="0" w:line="259" w:lineRule="auto"/>
        <w:ind w:right="0" w:firstLine="0"/>
        <w:jc w:val="left"/>
        <w:rPr>
          <w:sz w:val="28"/>
          <w:szCs w:val="32"/>
          <w:rtl/>
        </w:rPr>
      </w:pPr>
      <w:r w:rsidRPr="00A40DDE">
        <w:rPr>
          <w:sz w:val="22"/>
          <w:szCs w:val="32"/>
        </w:rPr>
        <w:t xml:space="preserve">Table </w:t>
      </w:r>
      <w:r w:rsidRPr="00A40DDE">
        <w:rPr>
          <w:rFonts w:hint="cs"/>
          <w:sz w:val="28"/>
          <w:szCs w:val="32"/>
          <w:rtl/>
        </w:rPr>
        <w:t>1</w:t>
      </w:r>
    </w:p>
    <w:p w:rsidR="007A7C36" w:rsidRPr="00A40DDE" w:rsidRDefault="007A7C36" w:rsidP="007A7C36">
      <w:pPr>
        <w:spacing w:after="0" w:line="259" w:lineRule="auto"/>
        <w:ind w:right="0" w:firstLine="0"/>
        <w:jc w:val="left"/>
        <w:rPr>
          <w:sz w:val="28"/>
          <w:szCs w:val="32"/>
        </w:rPr>
      </w:pPr>
    </w:p>
    <w:p w:rsidR="007A7C36" w:rsidRPr="00A40DDE" w:rsidRDefault="007A7C36" w:rsidP="007A7C36">
      <w:pPr>
        <w:spacing w:after="114" w:line="259" w:lineRule="auto"/>
        <w:ind w:right="0" w:firstLine="0"/>
        <w:jc w:val="left"/>
        <w:rPr>
          <w:sz w:val="28"/>
          <w:szCs w:val="32"/>
        </w:rPr>
      </w:pPr>
      <w:r w:rsidRPr="00A40DDE">
        <w:rPr>
          <w:rFonts w:ascii="Calibri" w:eastAsia="Calibri" w:hAnsi="Calibri" w:cs="Calibri"/>
          <w:noProof/>
          <w:color w:val="000000"/>
          <w:sz w:val="32"/>
          <w:szCs w:val="32"/>
        </w:rPr>
        <mc:AlternateContent>
          <mc:Choice Requires="wpg">
            <w:drawing>
              <wp:inline distT="0" distB="0" distL="0" distR="0" wp14:anchorId="76ECF60C" wp14:editId="7BA818F3">
                <wp:extent cx="4284002" cy="6479"/>
                <wp:effectExtent l="0" t="0" r="0" b="0"/>
                <wp:docPr id="54457" name="Group 54457"/>
                <wp:cNvGraphicFramePr/>
                <a:graphic xmlns:a="http://schemas.openxmlformats.org/drawingml/2006/main">
                  <a:graphicData uri="http://schemas.microsoft.com/office/word/2010/wordprocessingGroup">
                    <wpg:wgp>
                      <wpg:cNvGrpSpPr/>
                      <wpg:grpSpPr>
                        <a:xfrm>
                          <a:off x="0" y="0"/>
                          <a:ext cx="4284002" cy="6479"/>
                          <a:chOff x="0" y="0"/>
                          <a:chExt cx="4284002" cy="6479"/>
                        </a:xfrm>
                      </wpg:grpSpPr>
                      <wps:wsp>
                        <wps:cNvPr id="69652" name="Shape 69652"/>
                        <wps:cNvSpPr/>
                        <wps:spPr>
                          <a:xfrm>
                            <a:off x="0" y="0"/>
                            <a:ext cx="4284002" cy="9144"/>
                          </a:xfrm>
                          <a:custGeom>
                            <a:avLst/>
                            <a:gdLst/>
                            <a:ahLst/>
                            <a:cxnLst/>
                            <a:rect l="0" t="0" r="0" b="0"/>
                            <a:pathLst>
                              <a:path w="4284002" h="9144">
                                <a:moveTo>
                                  <a:pt x="0" y="0"/>
                                </a:moveTo>
                                <a:lnTo>
                                  <a:pt x="4284002" y="0"/>
                                </a:lnTo>
                                <a:lnTo>
                                  <a:pt x="4284002" y="9144"/>
                                </a:lnTo>
                                <a:lnTo>
                                  <a:pt x="0" y="9144"/>
                                </a:lnTo>
                                <a:lnTo>
                                  <a:pt x="0" y="0"/>
                                </a:lnTo>
                              </a:path>
                            </a:pathLst>
                          </a:custGeom>
                          <a:ln w="0" cap="rnd">
                            <a:round/>
                          </a:ln>
                        </wps:spPr>
                        <wps:style>
                          <a:lnRef idx="1">
                            <a:srgbClr val="131313"/>
                          </a:lnRef>
                          <a:fillRef idx="1">
                            <a:srgbClr val="131313"/>
                          </a:fillRef>
                          <a:effectRef idx="0">
                            <a:scrgbClr r="0" g="0" b="0"/>
                          </a:effectRef>
                          <a:fontRef idx="none"/>
                        </wps:style>
                        <wps:bodyPr/>
                      </wps:wsp>
                    </wpg:wgp>
                  </a:graphicData>
                </a:graphic>
              </wp:inline>
            </w:drawing>
          </mc:Choice>
          <mc:Fallback>
            <w:pict>
              <v:group w14:anchorId="4712375E" id="Group 54457" o:spid="_x0000_s1026" style="width:337.3pt;height:.5pt;mso-position-horizontal-relative:char;mso-position-vertical-relative:line" coordsize="428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">
                <v:shape id="Shape 69652" o:spid="_x0000_s1027" style="position:absolute;width:42840;height:91;visibility:visible;mso-wrap-style:square;v-text-anchor:top" coordsize="42840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" path="m,l4284002,r,9144l,9144,,e" fillcolor="#131313" strokecolor="#131313" strokeweight="0">
                  <v:stroke endcap="round"/>
                  <v:path arrowok="t" textboxrect="0,0,4284002,9144"/>
                </v:shape>
                <w10:anchorlock/>
              </v:group>
            </w:pict>
          </mc:Fallback>
        </mc:AlternateContent>
      </w:r>
    </w:p>
    <w:p w:rsidR="007A7C36" w:rsidRPr="00A40DDE" w:rsidRDefault="007A7C36" w:rsidP="007A7C36">
      <w:pPr>
        <w:spacing w:after="0" w:line="259" w:lineRule="auto"/>
        <w:ind w:right="0" w:firstLine="0"/>
        <w:jc w:val="left"/>
        <w:rPr>
          <w:sz w:val="28"/>
          <w:szCs w:val="32"/>
        </w:rPr>
      </w:pPr>
      <w:r w:rsidRPr="00A40DDE">
        <w:rPr>
          <w:sz w:val="18"/>
          <w:szCs w:val="32"/>
        </w:rPr>
        <w:t>Panel A: Distributional statistics</w:t>
      </w:r>
    </w:p>
    <w:tbl>
      <w:tblPr>
        <w:tblStyle w:val="TableGrid"/>
        <w:tblW w:w="6422" w:type="dxa"/>
        <w:tblInd w:w="0" w:type="dxa"/>
        <w:tblLook w:val="04A0" w:firstRow="1" w:lastRow="0" w:firstColumn="1" w:lastColumn="0" w:noHBand="0" w:noVBand="1"/>
      </w:tblPr>
      <w:tblGrid>
        <w:gridCol w:w="1820"/>
        <w:gridCol w:w="664"/>
        <w:gridCol w:w="588"/>
        <w:gridCol w:w="637"/>
        <w:gridCol w:w="621"/>
        <w:gridCol w:w="519"/>
        <w:gridCol w:w="520"/>
        <w:gridCol w:w="610"/>
        <w:gridCol w:w="443"/>
      </w:tblGrid>
      <w:tr w:rsidR="007A7C36" w:rsidRPr="00A40DDE" w:rsidTr="007A7C36">
        <w:trPr>
          <w:trHeight w:val="155"/>
        </w:trPr>
        <w:tc>
          <w:tcPr>
            <w:tcW w:w="1896"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94"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sz w:val="18"/>
                <w:szCs w:val="32"/>
              </w:rPr>
              <w:t>Mean</w:t>
            </w:r>
          </w:p>
        </w:tc>
        <w:tc>
          <w:tcPr>
            <w:tcW w:w="618"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53"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542" w:type="dxa"/>
            <w:tcBorders>
              <w:top w:val="nil"/>
              <w:left w:val="nil"/>
              <w:bottom w:val="nil"/>
              <w:right w:val="nil"/>
            </w:tcBorders>
          </w:tcPr>
          <w:p w:rsidR="007A7C36" w:rsidRPr="00A40DDE" w:rsidRDefault="007A7C36" w:rsidP="00E702B6">
            <w:pPr>
              <w:spacing w:after="0" w:line="259" w:lineRule="auto"/>
              <w:ind w:left="71" w:right="0" w:firstLine="0"/>
              <w:jc w:val="left"/>
              <w:rPr>
                <w:sz w:val="28"/>
                <w:szCs w:val="32"/>
              </w:rPr>
            </w:pPr>
            <w:r w:rsidRPr="00A40DDE">
              <w:rPr>
                <w:sz w:val="18"/>
                <w:szCs w:val="32"/>
              </w:rPr>
              <w:t>Median</w:t>
            </w:r>
          </w:p>
        </w:tc>
        <w:tc>
          <w:tcPr>
            <w:tcW w:w="540"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541"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10"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proofErr w:type="spellStart"/>
            <w:r w:rsidRPr="00A40DDE">
              <w:rPr>
                <w:sz w:val="18"/>
                <w:szCs w:val="32"/>
              </w:rPr>
              <w:t>StdDev</w:t>
            </w:r>
            <w:proofErr w:type="spellEnd"/>
          </w:p>
        </w:tc>
        <w:tc>
          <w:tcPr>
            <w:tcW w:w="328"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r>
      <w:tr w:rsidR="007A7C36" w:rsidRPr="00A40DDE" w:rsidTr="007A7C36">
        <w:trPr>
          <w:trHeight w:val="200"/>
        </w:trPr>
        <w:tc>
          <w:tcPr>
            <w:tcW w:w="1896"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18"/>
                <w:szCs w:val="32"/>
              </w:rPr>
              <w:t>RGL</w:t>
            </w:r>
          </w:p>
        </w:tc>
        <w:tc>
          <w:tcPr>
            <w:tcW w:w="694"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sz w:val="18"/>
                <w:szCs w:val="32"/>
              </w:rPr>
              <w:t>0.01</w:t>
            </w:r>
          </w:p>
        </w:tc>
        <w:tc>
          <w:tcPr>
            <w:tcW w:w="618"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53"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542" w:type="dxa"/>
            <w:tcBorders>
              <w:top w:val="nil"/>
              <w:left w:val="nil"/>
              <w:bottom w:val="nil"/>
              <w:right w:val="nil"/>
            </w:tcBorders>
          </w:tcPr>
          <w:p w:rsidR="007A7C36" w:rsidRPr="00A40DDE" w:rsidRDefault="007A7C36" w:rsidP="00E702B6">
            <w:pPr>
              <w:spacing w:after="0" w:line="259" w:lineRule="auto"/>
              <w:ind w:left="71" w:right="0" w:firstLine="0"/>
              <w:jc w:val="left"/>
              <w:rPr>
                <w:sz w:val="28"/>
                <w:szCs w:val="32"/>
              </w:rPr>
            </w:pPr>
            <w:r w:rsidRPr="00A40DDE">
              <w:rPr>
                <w:sz w:val="18"/>
                <w:szCs w:val="32"/>
              </w:rPr>
              <w:t>0.00</w:t>
            </w:r>
          </w:p>
        </w:tc>
        <w:tc>
          <w:tcPr>
            <w:tcW w:w="540"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541"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10"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sz w:val="18"/>
                <w:szCs w:val="32"/>
              </w:rPr>
              <w:t>0.03</w:t>
            </w:r>
          </w:p>
        </w:tc>
        <w:tc>
          <w:tcPr>
            <w:tcW w:w="328"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r>
      <w:tr w:rsidR="007A7C36" w:rsidRPr="00A40DDE" w:rsidTr="007A7C36">
        <w:trPr>
          <w:trHeight w:val="178"/>
        </w:trPr>
        <w:tc>
          <w:tcPr>
            <w:tcW w:w="1896"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18"/>
                <w:szCs w:val="32"/>
              </w:rPr>
              <w:t>NI</w:t>
            </w:r>
          </w:p>
        </w:tc>
        <w:tc>
          <w:tcPr>
            <w:tcW w:w="694"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sz w:val="18"/>
                <w:szCs w:val="32"/>
              </w:rPr>
              <w:t>0.27</w:t>
            </w:r>
          </w:p>
        </w:tc>
        <w:tc>
          <w:tcPr>
            <w:tcW w:w="618"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53"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542" w:type="dxa"/>
            <w:tcBorders>
              <w:top w:val="nil"/>
              <w:left w:val="nil"/>
              <w:bottom w:val="nil"/>
              <w:right w:val="nil"/>
            </w:tcBorders>
          </w:tcPr>
          <w:p w:rsidR="007A7C36" w:rsidRPr="00A40DDE" w:rsidRDefault="007A7C36" w:rsidP="00E702B6">
            <w:pPr>
              <w:spacing w:after="0" w:line="259" w:lineRule="auto"/>
              <w:ind w:left="71" w:right="0" w:firstLine="0"/>
              <w:jc w:val="left"/>
              <w:rPr>
                <w:sz w:val="28"/>
                <w:szCs w:val="32"/>
              </w:rPr>
            </w:pPr>
            <w:r w:rsidRPr="00A40DDE">
              <w:rPr>
                <w:sz w:val="18"/>
                <w:szCs w:val="32"/>
              </w:rPr>
              <w:t>0.31</w:t>
            </w:r>
          </w:p>
        </w:tc>
        <w:tc>
          <w:tcPr>
            <w:tcW w:w="540"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541" w:type="dxa"/>
            <w:tcBorders>
              <w:top w:val="nil"/>
              <w:left w:val="nil"/>
              <w:bottom w:val="nil"/>
              <w:right w:val="nil"/>
            </w:tcBorders>
            <w:vAlign w:val="bottom"/>
          </w:tcPr>
          <w:p w:rsidR="007A7C36" w:rsidRPr="00A40DDE" w:rsidRDefault="007A7C36" w:rsidP="00E702B6">
            <w:pPr>
              <w:spacing w:after="160" w:line="259" w:lineRule="auto"/>
              <w:ind w:right="0" w:firstLine="0"/>
              <w:jc w:val="left"/>
              <w:rPr>
                <w:sz w:val="28"/>
                <w:szCs w:val="32"/>
              </w:rPr>
            </w:pPr>
          </w:p>
        </w:tc>
        <w:tc>
          <w:tcPr>
            <w:tcW w:w="610"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sz w:val="18"/>
                <w:szCs w:val="32"/>
              </w:rPr>
              <w:t>0.36</w:t>
            </w:r>
          </w:p>
        </w:tc>
        <w:tc>
          <w:tcPr>
            <w:tcW w:w="328"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r>
      <w:tr w:rsidR="007A7C36" w:rsidRPr="00A40DDE" w:rsidTr="007A7C36">
        <w:trPr>
          <w:trHeight w:val="224"/>
        </w:trPr>
        <w:tc>
          <w:tcPr>
            <w:tcW w:w="1896"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proofErr w:type="spellStart"/>
            <w:r w:rsidRPr="00A40DDE">
              <w:rPr>
                <w:rFonts w:ascii="Calibri" w:eastAsia="Calibri" w:hAnsi="Calibri" w:cs="Calibri"/>
                <w:sz w:val="18"/>
                <w:szCs w:val="32"/>
              </w:rPr>
              <w:t>NIneg</w:t>
            </w:r>
            <w:proofErr w:type="spellEnd"/>
          </w:p>
        </w:tc>
        <w:tc>
          <w:tcPr>
            <w:tcW w:w="694"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18"/>
                <w:szCs w:val="32"/>
              </w:rPr>
              <w:t>−</w:t>
            </w:r>
            <w:r w:rsidRPr="00A40DDE">
              <w:rPr>
                <w:sz w:val="18"/>
                <w:szCs w:val="32"/>
              </w:rPr>
              <w:t>0.05</w:t>
            </w:r>
          </w:p>
        </w:tc>
        <w:tc>
          <w:tcPr>
            <w:tcW w:w="618"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53"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542" w:type="dxa"/>
            <w:tcBorders>
              <w:top w:val="nil"/>
              <w:left w:val="nil"/>
              <w:bottom w:val="nil"/>
              <w:right w:val="nil"/>
            </w:tcBorders>
          </w:tcPr>
          <w:p w:rsidR="007A7C36" w:rsidRPr="00A40DDE" w:rsidRDefault="007A7C36" w:rsidP="00E702B6">
            <w:pPr>
              <w:spacing w:after="0" w:line="259" w:lineRule="auto"/>
              <w:ind w:left="71" w:right="0" w:firstLine="0"/>
              <w:jc w:val="left"/>
              <w:rPr>
                <w:sz w:val="28"/>
                <w:szCs w:val="32"/>
              </w:rPr>
            </w:pPr>
            <w:r w:rsidRPr="00A40DDE">
              <w:rPr>
                <w:sz w:val="18"/>
                <w:szCs w:val="32"/>
              </w:rPr>
              <w:t>0.00</w:t>
            </w:r>
          </w:p>
        </w:tc>
        <w:tc>
          <w:tcPr>
            <w:tcW w:w="540"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541"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10"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sz w:val="18"/>
                <w:szCs w:val="32"/>
              </w:rPr>
              <w:t>0.22</w:t>
            </w:r>
          </w:p>
        </w:tc>
        <w:tc>
          <w:tcPr>
            <w:tcW w:w="328"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r>
      <w:tr w:rsidR="007A7C36" w:rsidRPr="00A40DDE" w:rsidTr="007A7C36">
        <w:trPr>
          <w:trHeight w:val="195"/>
        </w:trPr>
        <w:tc>
          <w:tcPr>
            <w:tcW w:w="1896"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proofErr w:type="spellStart"/>
            <w:r w:rsidRPr="00A40DDE">
              <w:rPr>
                <w:rFonts w:ascii="Calibri" w:eastAsia="Calibri" w:hAnsi="Calibri" w:cs="Calibri"/>
                <w:sz w:val="18"/>
                <w:szCs w:val="32"/>
              </w:rPr>
              <w:t>NIpos</w:t>
            </w:r>
            <w:proofErr w:type="spellEnd"/>
          </w:p>
        </w:tc>
        <w:tc>
          <w:tcPr>
            <w:tcW w:w="694"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sz w:val="18"/>
                <w:szCs w:val="32"/>
              </w:rPr>
              <w:t>0.32</w:t>
            </w:r>
          </w:p>
        </w:tc>
        <w:tc>
          <w:tcPr>
            <w:tcW w:w="618"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53"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542" w:type="dxa"/>
            <w:tcBorders>
              <w:top w:val="nil"/>
              <w:left w:val="nil"/>
              <w:bottom w:val="nil"/>
              <w:right w:val="nil"/>
            </w:tcBorders>
          </w:tcPr>
          <w:p w:rsidR="007A7C36" w:rsidRPr="00A40DDE" w:rsidRDefault="007A7C36" w:rsidP="00E702B6">
            <w:pPr>
              <w:spacing w:after="0" w:line="259" w:lineRule="auto"/>
              <w:ind w:left="71" w:right="0" w:firstLine="0"/>
              <w:jc w:val="left"/>
              <w:rPr>
                <w:sz w:val="28"/>
                <w:szCs w:val="32"/>
              </w:rPr>
            </w:pPr>
            <w:r w:rsidRPr="00A40DDE">
              <w:rPr>
                <w:sz w:val="18"/>
                <w:szCs w:val="32"/>
              </w:rPr>
              <w:t>0.31</w:t>
            </w:r>
          </w:p>
        </w:tc>
        <w:tc>
          <w:tcPr>
            <w:tcW w:w="540"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541"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10"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sz w:val="18"/>
                <w:szCs w:val="32"/>
              </w:rPr>
              <w:t>0.23</w:t>
            </w:r>
          </w:p>
        </w:tc>
        <w:tc>
          <w:tcPr>
            <w:tcW w:w="328"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r>
      <w:tr w:rsidR="007A7C36" w:rsidRPr="00A40DDE" w:rsidTr="007A7C36">
        <w:trPr>
          <w:trHeight w:val="200"/>
        </w:trPr>
        <w:tc>
          <w:tcPr>
            <w:tcW w:w="1896"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proofErr w:type="spellStart"/>
            <w:r w:rsidRPr="00A40DDE">
              <w:rPr>
                <w:rFonts w:ascii="Calibri" w:eastAsia="Calibri" w:hAnsi="Calibri" w:cs="Calibri"/>
                <w:sz w:val="18"/>
                <w:szCs w:val="32"/>
              </w:rPr>
              <w:lastRenderedPageBreak/>
              <w:t>RegCap</w:t>
            </w:r>
            <w:proofErr w:type="spellEnd"/>
          </w:p>
        </w:tc>
        <w:tc>
          <w:tcPr>
            <w:tcW w:w="694"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sz w:val="18"/>
                <w:szCs w:val="32"/>
              </w:rPr>
              <w:t>0.19</w:t>
            </w:r>
          </w:p>
        </w:tc>
        <w:tc>
          <w:tcPr>
            <w:tcW w:w="618"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53"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542" w:type="dxa"/>
            <w:tcBorders>
              <w:top w:val="nil"/>
              <w:left w:val="nil"/>
              <w:bottom w:val="nil"/>
              <w:right w:val="nil"/>
            </w:tcBorders>
          </w:tcPr>
          <w:p w:rsidR="007A7C36" w:rsidRPr="00A40DDE" w:rsidRDefault="007A7C36" w:rsidP="00E702B6">
            <w:pPr>
              <w:spacing w:after="0" w:line="259" w:lineRule="auto"/>
              <w:ind w:left="71" w:right="0" w:firstLine="0"/>
              <w:jc w:val="left"/>
              <w:rPr>
                <w:sz w:val="28"/>
                <w:szCs w:val="32"/>
              </w:rPr>
            </w:pPr>
            <w:r w:rsidRPr="00A40DDE">
              <w:rPr>
                <w:sz w:val="18"/>
                <w:szCs w:val="32"/>
              </w:rPr>
              <w:t>0.16</w:t>
            </w:r>
          </w:p>
        </w:tc>
        <w:tc>
          <w:tcPr>
            <w:tcW w:w="540"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541"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10"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sz w:val="18"/>
                <w:szCs w:val="32"/>
              </w:rPr>
              <w:t>0.11</w:t>
            </w:r>
          </w:p>
        </w:tc>
        <w:tc>
          <w:tcPr>
            <w:tcW w:w="328"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r>
      <w:tr w:rsidR="007A7C36" w:rsidRPr="00A40DDE" w:rsidTr="007A7C36">
        <w:trPr>
          <w:trHeight w:val="178"/>
        </w:trPr>
        <w:tc>
          <w:tcPr>
            <w:tcW w:w="1896"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18"/>
                <w:szCs w:val="32"/>
              </w:rPr>
              <w:t>UG</w:t>
            </w:r>
          </w:p>
        </w:tc>
        <w:tc>
          <w:tcPr>
            <w:tcW w:w="694"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sz w:val="18"/>
                <w:szCs w:val="32"/>
              </w:rPr>
              <w:t>0.26</w:t>
            </w:r>
          </w:p>
        </w:tc>
        <w:tc>
          <w:tcPr>
            <w:tcW w:w="618"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53"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542" w:type="dxa"/>
            <w:tcBorders>
              <w:top w:val="nil"/>
              <w:left w:val="nil"/>
              <w:bottom w:val="nil"/>
              <w:right w:val="nil"/>
            </w:tcBorders>
          </w:tcPr>
          <w:p w:rsidR="007A7C36" w:rsidRPr="00A40DDE" w:rsidRDefault="007A7C36" w:rsidP="00E702B6">
            <w:pPr>
              <w:spacing w:after="0" w:line="259" w:lineRule="auto"/>
              <w:ind w:left="71" w:right="0" w:firstLine="0"/>
              <w:jc w:val="left"/>
              <w:rPr>
                <w:sz w:val="28"/>
                <w:szCs w:val="32"/>
              </w:rPr>
            </w:pPr>
            <w:r w:rsidRPr="00A40DDE">
              <w:rPr>
                <w:sz w:val="18"/>
                <w:szCs w:val="32"/>
              </w:rPr>
              <w:t>0.09</w:t>
            </w:r>
          </w:p>
        </w:tc>
        <w:tc>
          <w:tcPr>
            <w:tcW w:w="540"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541"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10"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sz w:val="18"/>
                <w:szCs w:val="32"/>
              </w:rPr>
              <w:t>0.44</w:t>
            </w:r>
          </w:p>
        </w:tc>
        <w:tc>
          <w:tcPr>
            <w:tcW w:w="328"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r>
      <w:tr w:rsidR="007A7C36" w:rsidRPr="00A40DDE" w:rsidTr="007A7C36">
        <w:trPr>
          <w:trHeight w:val="224"/>
        </w:trPr>
        <w:tc>
          <w:tcPr>
            <w:tcW w:w="1896"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18"/>
                <w:szCs w:val="32"/>
              </w:rPr>
              <w:t>UL</w:t>
            </w:r>
          </w:p>
        </w:tc>
        <w:tc>
          <w:tcPr>
            <w:tcW w:w="694"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18"/>
                <w:szCs w:val="32"/>
              </w:rPr>
              <w:t>−</w:t>
            </w:r>
            <w:r w:rsidRPr="00A40DDE">
              <w:rPr>
                <w:sz w:val="18"/>
                <w:szCs w:val="32"/>
              </w:rPr>
              <w:t>0.18</w:t>
            </w:r>
          </w:p>
        </w:tc>
        <w:tc>
          <w:tcPr>
            <w:tcW w:w="618"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53"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542"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18"/>
                <w:szCs w:val="32"/>
              </w:rPr>
              <w:t>−</w:t>
            </w:r>
            <w:r w:rsidRPr="00A40DDE">
              <w:rPr>
                <w:sz w:val="18"/>
                <w:szCs w:val="32"/>
              </w:rPr>
              <w:t>0.03</w:t>
            </w:r>
          </w:p>
        </w:tc>
        <w:tc>
          <w:tcPr>
            <w:tcW w:w="540"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541"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10"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sz w:val="18"/>
                <w:szCs w:val="32"/>
              </w:rPr>
              <w:t>0.36</w:t>
            </w:r>
          </w:p>
        </w:tc>
        <w:tc>
          <w:tcPr>
            <w:tcW w:w="328"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r>
      <w:tr w:rsidR="007A7C36" w:rsidRPr="00A40DDE" w:rsidTr="007A7C36">
        <w:trPr>
          <w:trHeight w:val="195"/>
        </w:trPr>
        <w:tc>
          <w:tcPr>
            <w:tcW w:w="1896"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18"/>
                <w:szCs w:val="32"/>
              </w:rPr>
              <w:t>Size</w:t>
            </w:r>
          </w:p>
        </w:tc>
        <w:tc>
          <w:tcPr>
            <w:tcW w:w="694" w:type="dxa"/>
            <w:tcBorders>
              <w:top w:val="nil"/>
              <w:left w:val="nil"/>
              <w:bottom w:val="nil"/>
              <w:right w:val="nil"/>
            </w:tcBorders>
          </w:tcPr>
          <w:p w:rsidR="007A7C36" w:rsidRPr="00A40DDE" w:rsidRDefault="007A7C36" w:rsidP="00E702B6">
            <w:pPr>
              <w:spacing w:after="0" w:line="259" w:lineRule="auto"/>
              <w:ind w:left="8" w:right="0" w:firstLine="0"/>
              <w:jc w:val="left"/>
              <w:rPr>
                <w:sz w:val="28"/>
                <w:szCs w:val="32"/>
              </w:rPr>
            </w:pPr>
            <w:r w:rsidRPr="00A40DDE">
              <w:rPr>
                <w:sz w:val="18"/>
                <w:szCs w:val="32"/>
              </w:rPr>
              <w:t>12.08</w:t>
            </w:r>
          </w:p>
        </w:tc>
        <w:tc>
          <w:tcPr>
            <w:tcW w:w="618"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53"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542" w:type="dxa"/>
            <w:tcBorders>
              <w:top w:val="nil"/>
              <w:left w:val="nil"/>
              <w:bottom w:val="nil"/>
              <w:right w:val="nil"/>
            </w:tcBorders>
          </w:tcPr>
          <w:p w:rsidR="007A7C36" w:rsidRPr="00A40DDE" w:rsidRDefault="007A7C36" w:rsidP="00E702B6">
            <w:pPr>
              <w:spacing w:after="0" w:line="259" w:lineRule="auto"/>
              <w:ind w:left="8" w:right="0" w:firstLine="0"/>
              <w:jc w:val="left"/>
              <w:rPr>
                <w:sz w:val="28"/>
                <w:szCs w:val="32"/>
              </w:rPr>
            </w:pPr>
            <w:r w:rsidRPr="00A40DDE">
              <w:rPr>
                <w:sz w:val="18"/>
                <w:szCs w:val="32"/>
              </w:rPr>
              <w:t>12.04</w:t>
            </w:r>
          </w:p>
        </w:tc>
        <w:tc>
          <w:tcPr>
            <w:tcW w:w="540"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541"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10"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sz w:val="18"/>
                <w:szCs w:val="32"/>
              </w:rPr>
              <w:t>1.52</w:t>
            </w:r>
          </w:p>
        </w:tc>
        <w:tc>
          <w:tcPr>
            <w:tcW w:w="328"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r>
      <w:tr w:rsidR="007A7C36" w:rsidRPr="00A40DDE" w:rsidTr="007A7C36">
        <w:trPr>
          <w:trHeight w:val="200"/>
        </w:trPr>
        <w:tc>
          <w:tcPr>
            <w:tcW w:w="1896"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18"/>
                <w:szCs w:val="32"/>
              </w:rPr>
              <w:t>Sec</w:t>
            </w:r>
          </w:p>
        </w:tc>
        <w:tc>
          <w:tcPr>
            <w:tcW w:w="694" w:type="dxa"/>
            <w:tcBorders>
              <w:top w:val="nil"/>
              <w:left w:val="nil"/>
              <w:bottom w:val="nil"/>
              <w:right w:val="nil"/>
            </w:tcBorders>
          </w:tcPr>
          <w:p w:rsidR="007A7C36" w:rsidRPr="00A40DDE" w:rsidRDefault="007A7C36" w:rsidP="00E702B6">
            <w:pPr>
              <w:spacing w:after="0" w:line="259" w:lineRule="auto"/>
              <w:ind w:left="8" w:right="0" w:firstLine="0"/>
              <w:jc w:val="left"/>
              <w:rPr>
                <w:sz w:val="28"/>
                <w:szCs w:val="32"/>
              </w:rPr>
            </w:pPr>
            <w:r w:rsidRPr="00A40DDE">
              <w:rPr>
                <w:sz w:val="18"/>
                <w:szCs w:val="32"/>
              </w:rPr>
              <w:t>25.74</w:t>
            </w:r>
          </w:p>
        </w:tc>
        <w:tc>
          <w:tcPr>
            <w:tcW w:w="618"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53"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542" w:type="dxa"/>
            <w:tcBorders>
              <w:top w:val="nil"/>
              <w:left w:val="nil"/>
              <w:bottom w:val="nil"/>
              <w:right w:val="nil"/>
            </w:tcBorders>
          </w:tcPr>
          <w:p w:rsidR="007A7C36" w:rsidRPr="00A40DDE" w:rsidRDefault="007A7C36" w:rsidP="00E702B6">
            <w:pPr>
              <w:spacing w:after="0" w:line="259" w:lineRule="auto"/>
              <w:ind w:left="8" w:right="0" w:firstLine="0"/>
              <w:jc w:val="left"/>
              <w:rPr>
                <w:sz w:val="28"/>
                <w:szCs w:val="32"/>
              </w:rPr>
            </w:pPr>
            <w:r w:rsidRPr="00A40DDE">
              <w:rPr>
                <w:sz w:val="18"/>
                <w:szCs w:val="32"/>
              </w:rPr>
              <w:t>23.08</w:t>
            </w:r>
          </w:p>
        </w:tc>
        <w:tc>
          <w:tcPr>
            <w:tcW w:w="540"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541"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10" w:type="dxa"/>
            <w:tcBorders>
              <w:top w:val="nil"/>
              <w:left w:val="nil"/>
              <w:bottom w:val="nil"/>
              <w:right w:val="nil"/>
            </w:tcBorders>
          </w:tcPr>
          <w:p w:rsidR="007A7C36" w:rsidRPr="00A40DDE" w:rsidRDefault="007A7C36" w:rsidP="00E702B6">
            <w:pPr>
              <w:spacing w:after="0" w:line="259" w:lineRule="auto"/>
              <w:ind w:left="6" w:right="0" w:firstLine="0"/>
              <w:jc w:val="left"/>
              <w:rPr>
                <w:sz w:val="28"/>
                <w:szCs w:val="32"/>
              </w:rPr>
            </w:pPr>
            <w:r w:rsidRPr="00A40DDE">
              <w:rPr>
                <w:sz w:val="18"/>
                <w:szCs w:val="32"/>
              </w:rPr>
              <w:t>15.45</w:t>
            </w:r>
          </w:p>
        </w:tc>
        <w:tc>
          <w:tcPr>
            <w:tcW w:w="328"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r>
      <w:tr w:rsidR="007A7C36" w:rsidRPr="00A40DDE" w:rsidTr="007A7C36">
        <w:trPr>
          <w:trHeight w:val="199"/>
        </w:trPr>
        <w:tc>
          <w:tcPr>
            <w:tcW w:w="1896"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18"/>
                <w:szCs w:val="32"/>
              </w:rPr>
              <w:t>Liquid</w:t>
            </w:r>
          </w:p>
        </w:tc>
        <w:tc>
          <w:tcPr>
            <w:tcW w:w="694"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sz w:val="18"/>
                <w:szCs w:val="32"/>
              </w:rPr>
              <w:t>4.45</w:t>
            </w:r>
          </w:p>
        </w:tc>
        <w:tc>
          <w:tcPr>
            <w:tcW w:w="618"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53"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542" w:type="dxa"/>
            <w:tcBorders>
              <w:top w:val="nil"/>
              <w:left w:val="nil"/>
              <w:bottom w:val="nil"/>
              <w:right w:val="nil"/>
            </w:tcBorders>
          </w:tcPr>
          <w:p w:rsidR="007A7C36" w:rsidRPr="00A40DDE" w:rsidRDefault="007A7C36" w:rsidP="00E702B6">
            <w:pPr>
              <w:spacing w:after="0" w:line="259" w:lineRule="auto"/>
              <w:ind w:left="71" w:right="0" w:firstLine="0"/>
              <w:jc w:val="left"/>
              <w:rPr>
                <w:sz w:val="28"/>
                <w:szCs w:val="32"/>
              </w:rPr>
            </w:pPr>
            <w:r w:rsidRPr="00A40DDE">
              <w:rPr>
                <w:sz w:val="18"/>
                <w:szCs w:val="32"/>
              </w:rPr>
              <w:t>3.03</w:t>
            </w:r>
          </w:p>
        </w:tc>
        <w:tc>
          <w:tcPr>
            <w:tcW w:w="540"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541"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10"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sz w:val="18"/>
                <w:szCs w:val="32"/>
              </w:rPr>
              <w:t>4.86</w:t>
            </w:r>
          </w:p>
        </w:tc>
        <w:tc>
          <w:tcPr>
            <w:tcW w:w="328"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r>
      <w:tr w:rsidR="007A7C36" w:rsidRPr="00A40DDE" w:rsidTr="007A7C36">
        <w:trPr>
          <w:trHeight w:val="199"/>
        </w:trPr>
        <w:tc>
          <w:tcPr>
            <w:tcW w:w="1896"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18"/>
                <w:szCs w:val="32"/>
              </w:rPr>
              <w:t>VIX</w:t>
            </w:r>
          </w:p>
        </w:tc>
        <w:tc>
          <w:tcPr>
            <w:tcW w:w="694" w:type="dxa"/>
            <w:tcBorders>
              <w:top w:val="nil"/>
              <w:left w:val="nil"/>
              <w:bottom w:val="nil"/>
              <w:right w:val="nil"/>
            </w:tcBorders>
          </w:tcPr>
          <w:p w:rsidR="007A7C36" w:rsidRPr="00A40DDE" w:rsidRDefault="007A7C36" w:rsidP="00E702B6">
            <w:pPr>
              <w:spacing w:after="0" w:line="259" w:lineRule="auto"/>
              <w:ind w:left="8" w:right="0" w:firstLine="0"/>
              <w:jc w:val="left"/>
              <w:rPr>
                <w:sz w:val="28"/>
                <w:szCs w:val="32"/>
              </w:rPr>
            </w:pPr>
            <w:r w:rsidRPr="00A40DDE">
              <w:rPr>
                <w:sz w:val="18"/>
                <w:szCs w:val="32"/>
              </w:rPr>
              <w:t>21.10</w:t>
            </w:r>
          </w:p>
        </w:tc>
        <w:tc>
          <w:tcPr>
            <w:tcW w:w="618"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53"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542" w:type="dxa"/>
            <w:tcBorders>
              <w:top w:val="nil"/>
              <w:left w:val="nil"/>
              <w:bottom w:val="nil"/>
              <w:right w:val="nil"/>
            </w:tcBorders>
          </w:tcPr>
          <w:p w:rsidR="007A7C36" w:rsidRPr="00A40DDE" w:rsidRDefault="007A7C36" w:rsidP="00E702B6">
            <w:pPr>
              <w:spacing w:after="0" w:line="259" w:lineRule="auto"/>
              <w:ind w:left="8" w:right="0" w:firstLine="0"/>
              <w:jc w:val="left"/>
              <w:rPr>
                <w:sz w:val="28"/>
                <w:szCs w:val="32"/>
              </w:rPr>
            </w:pPr>
            <w:r w:rsidRPr="00A40DDE">
              <w:rPr>
                <w:sz w:val="18"/>
                <w:szCs w:val="32"/>
              </w:rPr>
              <w:t>21.53</w:t>
            </w:r>
          </w:p>
        </w:tc>
        <w:tc>
          <w:tcPr>
            <w:tcW w:w="540"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541"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10"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sz w:val="18"/>
                <w:szCs w:val="32"/>
              </w:rPr>
              <w:t>5.82</w:t>
            </w:r>
          </w:p>
        </w:tc>
        <w:tc>
          <w:tcPr>
            <w:tcW w:w="328"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r>
      <w:tr w:rsidR="007A7C36" w:rsidRPr="00A40DDE" w:rsidTr="007A7C36">
        <w:trPr>
          <w:trHeight w:val="200"/>
        </w:trPr>
        <w:tc>
          <w:tcPr>
            <w:tcW w:w="1896"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proofErr w:type="spellStart"/>
            <w:r w:rsidRPr="00A40DDE">
              <w:rPr>
                <w:rFonts w:ascii="Calibri" w:eastAsia="Calibri" w:hAnsi="Calibri" w:cs="Calibri"/>
                <w:sz w:val="18"/>
                <w:szCs w:val="32"/>
              </w:rPr>
              <w:t>Unemp</w:t>
            </w:r>
            <w:proofErr w:type="spellEnd"/>
          </w:p>
        </w:tc>
        <w:tc>
          <w:tcPr>
            <w:tcW w:w="694"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sz w:val="18"/>
                <w:szCs w:val="32"/>
              </w:rPr>
              <w:t>5.79</w:t>
            </w:r>
          </w:p>
        </w:tc>
        <w:tc>
          <w:tcPr>
            <w:tcW w:w="618"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53"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542" w:type="dxa"/>
            <w:tcBorders>
              <w:top w:val="nil"/>
              <w:left w:val="nil"/>
              <w:bottom w:val="nil"/>
              <w:right w:val="nil"/>
            </w:tcBorders>
          </w:tcPr>
          <w:p w:rsidR="007A7C36" w:rsidRPr="00A40DDE" w:rsidRDefault="007A7C36" w:rsidP="00E702B6">
            <w:pPr>
              <w:spacing w:after="0" w:line="259" w:lineRule="auto"/>
              <w:ind w:left="71" w:right="0" w:firstLine="0"/>
              <w:jc w:val="left"/>
              <w:rPr>
                <w:sz w:val="28"/>
                <w:szCs w:val="32"/>
              </w:rPr>
            </w:pPr>
            <w:r w:rsidRPr="00A40DDE">
              <w:rPr>
                <w:sz w:val="18"/>
                <w:szCs w:val="32"/>
              </w:rPr>
              <w:t>5.14</w:t>
            </w:r>
          </w:p>
        </w:tc>
        <w:tc>
          <w:tcPr>
            <w:tcW w:w="540"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541"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10"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sz w:val="18"/>
                <w:szCs w:val="32"/>
              </w:rPr>
              <w:t>1.63</w:t>
            </w:r>
          </w:p>
        </w:tc>
        <w:tc>
          <w:tcPr>
            <w:tcW w:w="328"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r>
      <w:tr w:rsidR="007A7C36" w:rsidRPr="00A40DDE" w:rsidTr="007A7C36">
        <w:trPr>
          <w:trHeight w:val="538"/>
        </w:trPr>
        <w:tc>
          <w:tcPr>
            <w:tcW w:w="1896" w:type="dxa"/>
            <w:tcBorders>
              <w:top w:val="nil"/>
              <w:left w:val="nil"/>
              <w:bottom w:val="nil"/>
              <w:right w:val="nil"/>
            </w:tcBorders>
          </w:tcPr>
          <w:p w:rsidR="007A7C36" w:rsidRPr="00A40DDE" w:rsidRDefault="007A7C36" w:rsidP="00E702B6">
            <w:pPr>
              <w:spacing w:after="168" w:line="259" w:lineRule="auto"/>
              <w:ind w:right="0" w:firstLine="0"/>
              <w:jc w:val="left"/>
              <w:rPr>
                <w:sz w:val="28"/>
                <w:szCs w:val="32"/>
              </w:rPr>
            </w:pPr>
            <w:r w:rsidRPr="00A40DDE">
              <w:rPr>
                <w:rFonts w:ascii="Calibri" w:eastAsia="Calibri" w:hAnsi="Calibri" w:cs="Calibri"/>
                <w:sz w:val="18"/>
                <w:szCs w:val="32"/>
              </w:rPr>
              <w:t>LIBOR</w:t>
            </w:r>
          </w:p>
          <w:p w:rsidR="007A7C36" w:rsidRPr="00A40DDE" w:rsidRDefault="007A7C36" w:rsidP="00E702B6">
            <w:pPr>
              <w:spacing w:after="0" w:line="259" w:lineRule="auto"/>
              <w:ind w:right="0" w:firstLine="0"/>
              <w:jc w:val="left"/>
              <w:rPr>
                <w:sz w:val="28"/>
                <w:szCs w:val="32"/>
              </w:rPr>
            </w:pPr>
            <w:r w:rsidRPr="00A40DDE">
              <w:rPr>
                <w:sz w:val="18"/>
                <w:szCs w:val="32"/>
              </w:rPr>
              <w:t>Panel B: Correlation Matrix</w:t>
            </w:r>
          </w:p>
        </w:tc>
        <w:tc>
          <w:tcPr>
            <w:tcW w:w="694"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sz w:val="18"/>
                <w:szCs w:val="32"/>
              </w:rPr>
              <w:t>0.38</w:t>
            </w:r>
          </w:p>
        </w:tc>
        <w:tc>
          <w:tcPr>
            <w:tcW w:w="618"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53"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542" w:type="dxa"/>
            <w:tcBorders>
              <w:top w:val="nil"/>
              <w:left w:val="nil"/>
              <w:bottom w:val="nil"/>
              <w:right w:val="nil"/>
            </w:tcBorders>
          </w:tcPr>
          <w:p w:rsidR="007A7C36" w:rsidRPr="00A40DDE" w:rsidRDefault="007A7C36" w:rsidP="00E702B6">
            <w:pPr>
              <w:spacing w:after="0" w:line="259" w:lineRule="auto"/>
              <w:ind w:left="71" w:right="0" w:firstLine="0"/>
              <w:jc w:val="left"/>
              <w:rPr>
                <w:sz w:val="28"/>
                <w:szCs w:val="32"/>
              </w:rPr>
            </w:pPr>
            <w:r w:rsidRPr="00A40DDE">
              <w:rPr>
                <w:sz w:val="18"/>
                <w:szCs w:val="32"/>
              </w:rPr>
              <w:t>0.24</w:t>
            </w:r>
          </w:p>
        </w:tc>
        <w:tc>
          <w:tcPr>
            <w:tcW w:w="540"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541"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10"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sz w:val="18"/>
                <w:szCs w:val="32"/>
              </w:rPr>
              <w:t>0.32</w:t>
            </w:r>
          </w:p>
        </w:tc>
        <w:tc>
          <w:tcPr>
            <w:tcW w:w="328"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r>
      <w:tr w:rsidR="007A7C36" w:rsidRPr="00A40DDE" w:rsidTr="007A7C36">
        <w:trPr>
          <w:trHeight w:val="178"/>
        </w:trPr>
        <w:tc>
          <w:tcPr>
            <w:tcW w:w="1896" w:type="dxa"/>
            <w:tcBorders>
              <w:top w:val="nil"/>
              <w:left w:val="nil"/>
              <w:bottom w:val="nil"/>
              <w:right w:val="nil"/>
            </w:tcBorders>
          </w:tcPr>
          <w:p w:rsidR="007A7C36" w:rsidRPr="00A40DDE" w:rsidRDefault="007A7C36" w:rsidP="00E702B6">
            <w:pPr>
              <w:tabs>
                <w:tab w:val="center" w:pos="843"/>
                <w:tab w:val="center" w:pos="1397"/>
              </w:tabs>
              <w:spacing w:after="0" w:line="259" w:lineRule="auto"/>
              <w:ind w:right="0" w:firstLine="0"/>
              <w:jc w:val="left"/>
              <w:rPr>
                <w:sz w:val="28"/>
                <w:szCs w:val="32"/>
              </w:rPr>
            </w:pPr>
            <w:r w:rsidRPr="00A40DDE">
              <w:rPr>
                <w:rFonts w:ascii="Calibri" w:eastAsia="Calibri" w:hAnsi="Calibri" w:cs="Calibri"/>
                <w:color w:val="000000"/>
                <w:sz w:val="32"/>
                <w:szCs w:val="32"/>
              </w:rPr>
              <w:tab/>
            </w:r>
            <w:r w:rsidRPr="00A40DDE">
              <w:rPr>
                <w:rFonts w:ascii="Calibri" w:eastAsia="Calibri" w:hAnsi="Calibri" w:cs="Calibri"/>
                <w:sz w:val="18"/>
                <w:szCs w:val="32"/>
              </w:rPr>
              <w:t>RGL</w:t>
            </w:r>
            <w:r w:rsidRPr="00A40DDE">
              <w:rPr>
                <w:rFonts w:ascii="Calibri" w:eastAsia="Calibri" w:hAnsi="Calibri" w:cs="Calibri"/>
                <w:sz w:val="18"/>
                <w:szCs w:val="32"/>
              </w:rPr>
              <w:tab/>
              <w:t>NI</w:t>
            </w:r>
          </w:p>
        </w:tc>
        <w:tc>
          <w:tcPr>
            <w:tcW w:w="694"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proofErr w:type="spellStart"/>
            <w:r w:rsidRPr="00A40DDE">
              <w:rPr>
                <w:rFonts w:ascii="Calibri" w:eastAsia="Calibri" w:hAnsi="Calibri" w:cs="Calibri"/>
                <w:sz w:val="18"/>
                <w:szCs w:val="32"/>
              </w:rPr>
              <w:t>NIneg</w:t>
            </w:r>
            <w:proofErr w:type="spellEnd"/>
          </w:p>
        </w:tc>
        <w:tc>
          <w:tcPr>
            <w:tcW w:w="618"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proofErr w:type="spellStart"/>
            <w:r w:rsidRPr="00A40DDE">
              <w:rPr>
                <w:rFonts w:ascii="Calibri" w:eastAsia="Calibri" w:hAnsi="Calibri" w:cs="Calibri"/>
                <w:sz w:val="18"/>
                <w:szCs w:val="32"/>
              </w:rPr>
              <w:t>NIpos</w:t>
            </w:r>
            <w:proofErr w:type="spellEnd"/>
          </w:p>
        </w:tc>
        <w:tc>
          <w:tcPr>
            <w:tcW w:w="653"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proofErr w:type="spellStart"/>
            <w:r w:rsidRPr="00A40DDE">
              <w:rPr>
                <w:rFonts w:ascii="Calibri" w:eastAsia="Calibri" w:hAnsi="Calibri" w:cs="Calibri"/>
                <w:sz w:val="18"/>
                <w:szCs w:val="32"/>
              </w:rPr>
              <w:t>RegCap</w:t>
            </w:r>
            <w:proofErr w:type="spellEnd"/>
          </w:p>
        </w:tc>
        <w:tc>
          <w:tcPr>
            <w:tcW w:w="542" w:type="dxa"/>
            <w:tcBorders>
              <w:top w:val="nil"/>
              <w:left w:val="nil"/>
              <w:bottom w:val="nil"/>
              <w:right w:val="nil"/>
            </w:tcBorders>
          </w:tcPr>
          <w:p w:rsidR="007A7C36" w:rsidRPr="00A40DDE" w:rsidRDefault="007A7C36" w:rsidP="00E702B6">
            <w:pPr>
              <w:spacing w:after="0" w:line="259" w:lineRule="auto"/>
              <w:ind w:left="71" w:right="0" w:firstLine="0"/>
              <w:jc w:val="left"/>
              <w:rPr>
                <w:sz w:val="28"/>
                <w:szCs w:val="32"/>
              </w:rPr>
            </w:pPr>
            <w:r w:rsidRPr="00A40DDE">
              <w:rPr>
                <w:rFonts w:ascii="Calibri" w:eastAsia="Calibri" w:hAnsi="Calibri" w:cs="Calibri"/>
                <w:sz w:val="18"/>
                <w:szCs w:val="32"/>
              </w:rPr>
              <w:t>UG</w:t>
            </w:r>
          </w:p>
        </w:tc>
        <w:tc>
          <w:tcPr>
            <w:tcW w:w="540"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rFonts w:ascii="Calibri" w:eastAsia="Calibri" w:hAnsi="Calibri" w:cs="Calibri"/>
                <w:sz w:val="18"/>
                <w:szCs w:val="32"/>
              </w:rPr>
              <w:t>UL</w:t>
            </w:r>
          </w:p>
        </w:tc>
        <w:tc>
          <w:tcPr>
            <w:tcW w:w="541" w:type="dxa"/>
            <w:tcBorders>
              <w:top w:val="nil"/>
              <w:left w:val="nil"/>
              <w:bottom w:val="nil"/>
              <w:right w:val="nil"/>
            </w:tcBorders>
          </w:tcPr>
          <w:p w:rsidR="007A7C36" w:rsidRPr="00A40DDE" w:rsidRDefault="007A7C36" w:rsidP="00E702B6">
            <w:pPr>
              <w:spacing w:after="0" w:line="259" w:lineRule="auto"/>
              <w:ind w:left="70" w:right="0" w:firstLine="0"/>
              <w:jc w:val="left"/>
              <w:rPr>
                <w:sz w:val="28"/>
                <w:szCs w:val="32"/>
              </w:rPr>
            </w:pPr>
            <w:r w:rsidRPr="00A40DDE">
              <w:rPr>
                <w:rFonts w:ascii="Calibri" w:eastAsia="Calibri" w:hAnsi="Calibri" w:cs="Calibri"/>
                <w:sz w:val="18"/>
                <w:szCs w:val="32"/>
              </w:rPr>
              <w:t>Size</w:t>
            </w:r>
          </w:p>
        </w:tc>
        <w:tc>
          <w:tcPr>
            <w:tcW w:w="610"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rFonts w:ascii="Calibri" w:eastAsia="Calibri" w:hAnsi="Calibri" w:cs="Calibri"/>
                <w:sz w:val="18"/>
                <w:szCs w:val="32"/>
              </w:rPr>
              <w:t>Sec</w:t>
            </w:r>
          </w:p>
        </w:tc>
        <w:tc>
          <w:tcPr>
            <w:tcW w:w="328" w:type="dxa"/>
            <w:tcBorders>
              <w:top w:val="nil"/>
              <w:left w:val="nil"/>
              <w:bottom w:val="nil"/>
              <w:right w:val="nil"/>
            </w:tcBorders>
          </w:tcPr>
          <w:p w:rsidR="007A7C36" w:rsidRPr="00A40DDE" w:rsidRDefault="007A7C36" w:rsidP="00E702B6">
            <w:pPr>
              <w:spacing w:after="0" w:line="259" w:lineRule="auto"/>
              <w:ind w:right="0" w:firstLine="0"/>
              <w:rPr>
                <w:sz w:val="28"/>
                <w:szCs w:val="32"/>
              </w:rPr>
            </w:pPr>
            <w:r w:rsidRPr="00A40DDE">
              <w:rPr>
                <w:rFonts w:ascii="Calibri" w:eastAsia="Calibri" w:hAnsi="Calibri" w:cs="Calibri"/>
                <w:sz w:val="18"/>
                <w:szCs w:val="32"/>
              </w:rPr>
              <w:t>Liquid</w:t>
            </w:r>
          </w:p>
        </w:tc>
      </w:tr>
      <w:tr w:rsidR="007A7C36" w:rsidRPr="00A40DDE" w:rsidTr="007A7C36">
        <w:trPr>
          <w:trHeight w:val="203"/>
        </w:trPr>
        <w:tc>
          <w:tcPr>
            <w:tcW w:w="1896" w:type="dxa"/>
            <w:tcBorders>
              <w:top w:val="nil"/>
              <w:left w:val="nil"/>
              <w:bottom w:val="nil"/>
              <w:right w:val="nil"/>
            </w:tcBorders>
          </w:tcPr>
          <w:p w:rsidR="007A7C36" w:rsidRPr="00A40DDE" w:rsidRDefault="007A7C36" w:rsidP="00E702B6">
            <w:pPr>
              <w:tabs>
                <w:tab w:val="center" w:pos="1479"/>
              </w:tabs>
              <w:spacing w:after="0" w:line="259" w:lineRule="auto"/>
              <w:ind w:right="0" w:firstLine="0"/>
              <w:jc w:val="left"/>
              <w:rPr>
                <w:sz w:val="28"/>
                <w:szCs w:val="32"/>
              </w:rPr>
            </w:pPr>
            <w:r w:rsidRPr="00A40DDE">
              <w:rPr>
                <w:rFonts w:ascii="Calibri" w:eastAsia="Calibri" w:hAnsi="Calibri" w:cs="Calibri"/>
                <w:sz w:val="18"/>
                <w:szCs w:val="32"/>
              </w:rPr>
              <w:t>RGL</w:t>
            </w:r>
            <w:r w:rsidRPr="00A40DDE">
              <w:rPr>
                <w:rFonts w:ascii="Calibri" w:eastAsia="Calibri" w:hAnsi="Calibri" w:cs="Calibri"/>
                <w:sz w:val="18"/>
                <w:szCs w:val="32"/>
              </w:rPr>
              <w:tab/>
              <w:t>−</w:t>
            </w:r>
            <w:r w:rsidRPr="00A40DDE">
              <w:rPr>
                <w:sz w:val="18"/>
                <w:szCs w:val="32"/>
              </w:rPr>
              <w:t>0.07</w:t>
            </w:r>
          </w:p>
        </w:tc>
        <w:tc>
          <w:tcPr>
            <w:tcW w:w="694"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rFonts w:ascii="Calibri" w:eastAsia="Calibri" w:hAnsi="Calibri" w:cs="Calibri"/>
                <w:sz w:val="18"/>
                <w:szCs w:val="32"/>
              </w:rPr>
              <w:t>−</w:t>
            </w:r>
            <w:r w:rsidRPr="00A40DDE">
              <w:rPr>
                <w:sz w:val="18"/>
                <w:szCs w:val="32"/>
              </w:rPr>
              <w:t>0.02</w:t>
            </w:r>
          </w:p>
        </w:tc>
        <w:tc>
          <w:tcPr>
            <w:tcW w:w="618"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18"/>
                <w:szCs w:val="32"/>
              </w:rPr>
              <w:t>−</w:t>
            </w:r>
            <w:r w:rsidRPr="00A40DDE">
              <w:rPr>
                <w:sz w:val="18"/>
                <w:szCs w:val="32"/>
              </w:rPr>
              <w:t>0.07</w:t>
            </w:r>
          </w:p>
        </w:tc>
        <w:tc>
          <w:tcPr>
            <w:tcW w:w="653"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18"/>
                <w:szCs w:val="32"/>
              </w:rPr>
              <w:t>−</w:t>
            </w:r>
            <w:r w:rsidRPr="00A40DDE">
              <w:rPr>
                <w:sz w:val="18"/>
                <w:szCs w:val="32"/>
              </w:rPr>
              <w:t>0.06</w:t>
            </w:r>
          </w:p>
        </w:tc>
        <w:tc>
          <w:tcPr>
            <w:tcW w:w="542" w:type="dxa"/>
            <w:tcBorders>
              <w:top w:val="nil"/>
              <w:left w:val="nil"/>
              <w:bottom w:val="nil"/>
              <w:right w:val="nil"/>
            </w:tcBorders>
          </w:tcPr>
          <w:p w:rsidR="007A7C36" w:rsidRPr="00A40DDE" w:rsidRDefault="007A7C36" w:rsidP="00E702B6">
            <w:pPr>
              <w:spacing w:after="0" w:line="259" w:lineRule="auto"/>
              <w:ind w:left="71" w:right="0" w:firstLine="0"/>
              <w:jc w:val="left"/>
              <w:rPr>
                <w:sz w:val="28"/>
                <w:szCs w:val="32"/>
              </w:rPr>
            </w:pPr>
            <w:r w:rsidRPr="00A40DDE">
              <w:rPr>
                <w:sz w:val="18"/>
                <w:szCs w:val="32"/>
              </w:rPr>
              <w:t>0.25</w:t>
            </w:r>
          </w:p>
        </w:tc>
        <w:tc>
          <w:tcPr>
            <w:tcW w:w="540"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sz w:val="18"/>
                <w:szCs w:val="32"/>
              </w:rPr>
              <w:t>0.11</w:t>
            </w:r>
          </w:p>
        </w:tc>
        <w:tc>
          <w:tcPr>
            <w:tcW w:w="541" w:type="dxa"/>
            <w:tcBorders>
              <w:top w:val="nil"/>
              <w:left w:val="nil"/>
              <w:bottom w:val="nil"/>
              <w:right w:val="nil"/>
            </w:tcBorders>
          </w:tcPr>
          <w:p w:rsidR="007A7C36" w:rsidRPr="00A40DDE" w:rsidRDefault="007A7C36" w:rsidP="00E702B6">
            <w:pPr>
              <w:spacing w:after="0" w:line="259" w:lineRule="auto"/>
              <w:ind w:left="70" w:right="0" w:firstLine="0"/>
              <w:jc w:val="left"/>
              <w:rPr>
                <w:sz w:val="28"/>
                <w:szCs w:val="32"/>
              </w:rPr>
            </w:pPr>
            <w:r w:rsidRPr="00A40DDE">
              <w:rPr>
                <w:sz w:val="18"/>
                <w:szCs w:val="32"/>
              </w:rPr>
              <w:t>0.17</w:t>
            </w:r>
          </w:p>
        </w:tc>
        <w:tc>
          <w:tcPr>
            <w:tcW w:w="610"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sz w:val="18"/>
                <w:szCs w:val="32"/>
              </w:rPr>
              <w:t>0.07</w:t>
            </w:r>
          </w:p>
        </w:tc>
        <w:tc>
          <w:tcPr>
            <w:tcW w:w="328" w:type="dxa"/>
            <w:tcBorders>
              <w:top w:val="nil"/>
              <w:left w:val="nil"/>
              <w:bottom w:val="nil"/>
              <w:right w:val="nil"/>
            </w:tcBorders>
          </w:tcPr>
          <w:p w:rsidR="007A7C36" w:rsidRPr="00A40DDE" w:rsidRDefault="007A7C36" w:rsidP="00E702B6">
            <w:pPr>
              <w:spacing w:after="0" w:line="259" w:lineRule="auto"/>
              <w:ind w:right="0" w:firstLine="0"/>
              <w:rPr>
                <w:sz w:val="28"/>
                <w:szCs w:val="32"/>
              </w:rPr>
            </w:pPr>
            <w:r w:rsidRPr="00A40DDE">
              <w:rPr>
                <w:rFonts w:ascii="Calibri" w:eastAsia="Calibri" w:hAnsi="Calibri" w:cs="Calibri"/>
                <w:sz w:val="18"/>
                <w:szCs w:val="32"/>
              </w:rPr>
              <w:t>−</w:t>
            </w:r>
            <w:r w:rsidRPr="00A40DDE">
              <w:rPr>
                <w:sz w:val="18"/>
                <w:szCs w:val="32"/>
              </w:rPr>
              <w:t>0.09</w:t>
            </w:r>
          </w:p>
        </w:tc>
      </w:tr>
      <w:tr w:rsidR="007A7C36" w:rsidRPr="00A40DDE" w:rsidTr="007A7C36">
        <w:trPr>
          <w:trHeight w:val="200"/>
        </w:trPr>
        <w:tc>
          <w:tcPr>
            <w:tcW w:w="1896" w:type="dxa"/>
            <w:tcBorders>
              <w:top w:val="nil"/>
              <w:left w:val="nil"/>
              <w:bottom w:val="nil"/>
              <w:right w:val="nil"/>
            </w:tcBorders>
          </w:tcPr>
          <w:p w:rsidR="007A7C36" w:rsidRPr="00A40DDE" w:rsidRDefault="007A7C36" w:rsidP="00E702B6">
            <w:pPr>
              <w:tabs>
                <w:tab w:val="center" w:pos="869"/>
              </w:tabs>
              <w:spacing w:after="0" w:line="259" w:lineRule="auto"/>
              <w:ind w:right="0" w:firstLine="0"/>
              <w:jc w:val="left"/>
              <w:rPr>
                <w:sz w:val="28"/>
                <w:szCs w:val="32"/>
              </w:rPr>
            </w:pPr>
            <w:r w:rsidRPr="00A40DDE">
              <w:rPr>
                <w:rFonts w:ascii="Calibri" w:eastAsia="Calibri" w:hAnsi="Calibri" w:cs="Calibri"/>
                <w:sz w:val="18"/>
                <w:szCs w:val="32"/>
              </w:rPr>
              <w:t>NI</w:t>
            </w:r>
            <w:r w:rsidRPr="00A40DDE">
              <w:rPr>
                <w:rFonts w:ascii="Calibri" w:eastAsia="Calibri" w:hAnsi="Calibri" w:cs="Calibri"/>
                <w:sz w:val="18"/>
                <w:szCs w:val="32"/>
              </w:rPr>
              <w:tab/>
              <w:t>−</w:t>
            </w:r>
            <w:r w:rsidRPr="00A40DDE">
              <w:rPr>
                <w:sz w:val="18"/>
                <w:szCs w:val="32"/>
              </w:rPr>
              <w:t>0.08</w:t>
            </w:r>
          </w:p>
        </w:tc>
        <w:tc>
          <w:tcPr>
            <w:tcW w:w="694" w:type="dxa"/>
            <w:tcBorders>
              <w:top w:val="nil"/>
              <w:left w:val="nil"/>
              <w:bottom w:val="nil"/>
              <w:right w:val="nil"/>
            </w:tcBorders>
          </w:tcPr>
          <w:p w:rsidR="007A7C36" w:rsidRPr="00A40DDE" w:rsidRDefault="007A7C36" w:rsidP="00E702B6">
            <w:pPr>
              <w:spacing w:after="0" w:line="259" w:lineRule="auto"/>
              <w:ind w:left="139" w:right="0" w:firstLine="0"/>
              <w:jc w:val="left"/>
              <w:rPr>
                <w:sz w:val="28"/>
                <w:szCs w:val="32"/>
              </w:rPr>
            </w:pPr>
            <w:r w:rsidRPr="00A40DDE">
              <w:rPr>
                <w:sz w:val="18"/>
                <w:szCs w:val="32"/>
              </w:rPr>
              <w:t>0.55</w:t>
            </w:r>
          </w:p>
        </w:tc>
        <w:tc>
          <w:tcPr>
            <w:tcW w:w="618" w:type="dxa"/>
            <w:tcBorders>
              <w:top w:val="nil"/>
              <w:left w:val="nil"/>
              <w:bottom w:val="nil"/>
              <w:right w:val="nil"/>
            </w:tcBorders>
          </w:tcPr>
          <w:p w:rsidR="007A7C36" w:rsidRPr="00A40DDE" w:rsidRDefault="007A7C36" w:rsidP="00E702B6">
            <w:pPr>
              <w:spacing w:after="0" w:line="259" w:lineRule="auto"/>
              <w:ind w:left="70" w:right="0" w:firstLine="0"/>
              <w:jc w:val="left"/>
              <w:rPr>
                <w:sz w:val="28"/>
                <w:szCs w:val="32"/>
              </w:rPr>
            </w:pPr>
            <w:r w:rsidRPr="00A40DDE">
              <w:rPr>
                <w:sz w:val="18"/>
                <w:szCs w:val="32"/>
              </w:rPr>
              <w:t>0.99</w:t>
            </w:r>
          </w:p>
        </w:tc>
        <w:tc>
          <w:tcPr>
            <w:tcW w:w="653" w:type="dxa"/>
            <w:tcBorders>
              <w:top w:val="nil"/>
              <w:left w:val="nil"/>
              <w:bottom w:val="nil"/>
              <w:right w:val="nil"/>
            </w:tcBorders>
          </w:tcPr>
          <w:p w:rsidR="007A7C36" w:rsidRPr="00A40DDE" w:rsidRDefault="007A7C36" w:rsidP="00E702B6">
            <w:pPr>
              <w:spacing w:after="0" w:line="259" w:lineRule="auto"/>
              <w:ind w:left="70" w:right="0" w:firstLine="0"/>
              <w:jc w:val="left"/>
              <w:rPr>
                <w:sz w:val="28"/>
                <w:szCs w:val="32"/>
              </w:rPr>
            </w:pPr>
            <w:r w:rsidRPr="00A40DDE">
              <w:rPr>
                <w:sz w:val="18"/>
                <w:szCs w:val="32"/>
              </w:rPr>
              <w:t>0.03</w:t>
            </w:r>
          </w:p>
        </w:tc>
        <w:tc>
          <w:tcPr>
            <w:tcW w:w="542" w:type="dxa"/>
            <w:tcBorders>
              <w:top w:val="nil"/>
              <w:left w:val="nil"/>
              <w:bottom w:val="nil"/>
              <w:right w:val="nil"/>
            </w:tcBorders>
          </w:tcPr>
          <w:p w:rsidR="007A7C36" w:rsidRPr="00A40DDE" w:rsidRDefault="007A7C36" w:rsidP="00E702B6">
            <w:pPr>
              <w:spacing w:after="0" w:line="259" w:lineRule="auto"/>
              <w:ind w:left="71" w:right="0" w:firstLine="0"/>
              <w:jc w:val="left"/>
              <w:rPr>
                <w:sz w:val="28"/>
                <w:szCs w:val="32"/>
              </w:rPr>
            </w:pPr>
            <w:r w:rsidRPr="00A40DDE">
              <w:rPr>
                <w:sz w:val="18"/>
                <w:szCs w:val="32"/>
              </w:rPr>
              <w:t>0.03</w:t>
            </w:r>
          </w:p>
        </w:tc>
        <w:tc>
          <w:tcPr>
            <w:tcW w:w="540"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sz w:val="18"/>
                <w:szCs w:val="32"/>
              </w:rPr>
              <w:t>0.01</w:t>
            </w:r>
          </w:p>
        </w:tc>
        <w:tc>
          <w:tcPr>
            <w:tcW w:w="541" w:type="dxa"/>
            <w:tcBorders>
              <w:top w:val="nil"/>
              <w:left w:val="nil"/>
              <w:bottom w:val="nil"/>
              <w:right w:val="nil"/>
            </w:tcBorders>
          </w:tcPr>
          <w:p w:rsidR="007A7C36" w:rsidRPr="00A40DDE" w:rsidRDefault="007A7C36" w:rsidP="00E702B6">
            <w:pPr>
              <w:spacing w:after="0" w:line="259" w:lineRule="auto"/>
              <w:ind w:left="70" w:right="0" w:firstLine="0"/>
              <w:jc w:val="left"/>
              <w:rPr>
                <w:sz w:val="28"/>
                <w:szCs w:val="32"/>
              </w:rPr>
            </w:pPr>
            <w:r w:rsidRPr="00A40DDE">
              <w:rPr>
                <w:sz w:val="18"/>
                <w:szCs w:val="32"/>
              </w:rPr>
              <w:t>0.13</w:t>
            </w:r>
          </w:p>
        </w:tc>
        <w:tc>
          <w:tcPr>
            <w:tcW w:w="610"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sz w:val="18"/>
                <w:szCs w:val="32"/>
              </w:rPr>
              <w:t>0.06</w:t>
            </w:r>
          </w:p>
        </w:tc>
        <w:tc>
          <w:tcPr>
            <w:tcW w:w="328" w:type="dxa"/>
            <w:tcBorders>
              <w:top w:val="nil"/>
              <w:left w:val="nil"/>
              <w:bottom w:val="nil"/>
              <w:right w:val="nil"/>
            </w:tcBorders>
          </w:tcPr>
          <w:p w:rsidR="007A7C36" w:rsidRPr="00A40DDE" w:rsidRDefault="007A7C36" w:rsidP="00E702B6">
            <w:pPr>
              <w:spacing w:after="0" w:line="259" w:lineRule="auto"/>
              <w:ind w:right="0" w:firstLine="0"/>
              <w:rPr>
                <w:sz w:val="28"/>
                <w:szCs w:val="32"/>
              </w:rPr>
            </w:pPr>
            <w:r w:rsidRPr="00A40DDE">
              <w:rPr>
                <w:rFonts w:ascii="Calibri" w:eastAsia="Calibri" w:hAnsi="Calibri" w:cs="Calibri"/>
                <w:sz w:val="18"/>
                <w:szCs w:val="32"/>
              </w:rPr>
              <w:t>−</w:t>
            </w:r>
            <w:r w:rsidRPr="00A40DDE">
              <w:rPr>
                <w:sz w:val="18"/>
                <w:szCs w:val="32"/>
              </w:rPr>
              <w:t>0.16</w:t>
            </w:r>
          </w:p>
        </w:tc>
      </w:tr>
      <w:tr w:rsidR="007A7C36" w:rsidRPr="00A40DDE" w:rsidTr="007A7C36">
        <w:trPr>
          <w:trHeight w:val="199"/>
        </w:trPr>
        <w:tc>
          <w:tcPr>
            <w:tcW w:w="1896" w:type="dxa"/>
            <w:tcBorders>
              <w:top w:val="nil"/>
              <w:left w:val="nil"/>
              <w:bottom w:val="nil"/>
              <w:right w:val="nil"/>
            </w:tcBorders>
          </w:tcPr>
          <w:p w:rsidR="007A7C36" w:rsidRPr="00A40DDE" w:rsidRDefault="007A7C36" w:rsidP="00E702B6">
            <w:pPr>
              <w:tabs>
                <w:tab w:val="center" w:pos="869"/>
                <w:tab w:val="center" w:pos="1516"/>
              </w:tabs>
              <w:spacing w:after="0" w:line="259" w:lineRule="auto"/>
              <w:ind w:right="0" w:firstLine="0"/>
              <w:jc w:val="left"/>
              <w:rPr>
                <w:sz w:val="28"/>
                <w:szCs w:val="32"/>
              </w:rPr>
            </w:pPr>
            <w:proofErr w:type="spellStart"/>
            <w:r w:rsidRPr="00A40DDE">
              <w:rPr>
                <w:rFonts w:ascii="Calibri" w:eastAsia="Calibri" w:hAnsi="Calibri" w:cs="Calibri"/>
                <w:sz w:val="18"/>
                <w:szCs w:val="32"/>
              </w:rPr>
              <w:t>NIneg</w:t>
            </w:r>
            <w:proofErr w:type="spellEnd"/>
            <w:r w:rsidRPr="00A40DDE">
              <w:rPr>
                <w:rFonts w:ascii="Calibri" w:eastAsia="Calibri" w:hAnsi="Calibri" w:cs="Calibri"/>
                <w:sz w:val="18"/>
                <w:szCs w:val="32"/>
              </w:rPr>
              <w:tab/>
              <w:t>−</w:t>
            </w:r>
            <w:r w:rsidRPr="00A40DDE">
              <w:rPr>
                <w:sz w:val="18"/>
                <w:szCs w:val="32"/>
              </w:rPr>
              <w:t>0.03</w:t>
            </w:r>
            <w:r w:rsidRPr="00A40DDE">
              <w:rPr>
                <w:sz w:val="18"/>
                <w:szCs w:val="32"/>
              </w:rPr>
              <w:tab/>
              <w:t>0.80</w:t>
            </w:r>
          </w:p>
        </w:tc>
        <w:tc>
          <w:tcPr>
            <w:tcW w:w="694"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18" w:type="dxa"/>
            <w:tcBorders>
              <w:top w:val="nil"/>
              <w:left w:val="nil"/>
              <w:bottom w:val="nil"/>
              <w:right w:val="nil"/>
            </w:tcBorders>
          </w:tcPr>
          <w:p w:rsidR="007A7C36" w:rsidRPr="00A40DDE" w:rsidRDefault="007A7C36" w:rsidP="00E702B6">
            <w:pPr>
              <w:spacing w:after="0" w:line="259" w:lineRule="auto"/>
              <w:ind w:left="70" w:right="0" w:firstLine="0"/>
              <w:jc w:val="left"/>
              <w:rPr>
                <w:sz w:val="28"/>
                <w:szCs w:val="32"/>
              </w:rPr>
            </w:pPr>
            <w:r w:rsidRPr="00A40DDE">
              <w:rPr>
                <w:sz w:val="18"/>
                <w:szCs w:val="32"/>
              </w:rPr>
              <w:t>0.55</w:t>
            </w:r>
          </w:p>
        </w:tc>
        <w:tc>
          <w:tcPr>
            <w:tcW w:w="653"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18"/>
                <w:szCs w:val="32"/>
              </w:rPr>
              <w:t>−</w:t>
            </w:r>
            <w:r w:rsidRPr="00A40DDE">
              <w:rPr>
                <w:sz w:val="18"/>
                <w:szCs w:val="32"/>
              </w:rPr>
              <w:t>0.01</w:t>
            </w:r>
          </w:p>
        </w:tc>
        <w:tc>
          <w:tcPr>
            <w:tcW w:w="542" w:type="dxa"/>
            <w:tcBorders>
              <w:top w:val="nil"/>
              <w:left w:val="nil"/>
              <w:bottom w:val="nil"/>
              <w:right w:val="nil"/>
            </w:tcBorders>
          </w:tcPr>
          <w:p w:rsidR="007A7C36" w:rsidRPr="00A40DDE" w:rsidRDefault="007A7C36" w:rsidP="00E702B6">
            <w:pPr>
              <w:spacing w:after="0" w:line="259" w:lineRule="auto"/>
              <w:ind w:left="71" w:right="0" w:firstLine="0"/>
              <w:jc w:val="left"/>
              <w:rPr>
                <w:sz w:val="28"/>
                <w:szCs w:val="32"/>
              </w:rPr>
            </w:pPr>
            <w:r w:rsidRPr="00A40DDE">
              <w:rPr>
                <w:sz w:val="18"/>
                <w:szCs w:val="32"/>
              </w:rPr>
              <w:t>0.07</w:t>
            </w:r>
          </w:p>
        </w:tc>
        <w:tc>
          <w:tcPr>
            <w:tcW w:w="540"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18"/>
                <w:szCs w:val="32"/>
              </w:rPr>
              <w:t>−</w:t>
            </w:r>
            <w:r w:rsidRPr="00A40DDE">
              <w:rPr>
                <w:sz w:val="18"/>
                <w:szCs w:val="32"/>
              </w:rPr>
              <w:t>0.03</w:t>
            </w:r>
          </w:p>
        </w:tc>
        <w:tc>
          <w:tcPr>
            <w:tcW w:w="541" w:type="dxa"/>
            <w:tcBorders>
              <w:top w:val="nil"/>
              <w:left w:val="nil"/>
              <w:bottom w:val="nil"/>
              <w:right w:val="nil"/>
            </w:tcBorders>
          </w:tcPr>
          <w:p w:rsidR="007A7C36" w:rsidRPr="00A40DDE" w:rsidRDefault="007A7C36" w:rsidP="00E702B6">
            <w:pPr>
              <w:spacing w:after="0" w:line="259" w:lineRule="auto"/>
              <w:ind w:left="70" w:right="0" w:firstLine="0"/>
              <w:jc w:val="left"/>
              <w:rPr>
                <w:sz w:val="28"/>
                <w:szCs w:val="32"/>
              </w:rPr>
            </w:pPr>
            <w:r w:rsidRPr="00A40DDE">
              <w:rPr>
                <w:sz w:val="18"/>
                <w:szCs w:val="32"/>
              </w:rPr>
              <w:t>0.12</w:t>
            </w:r>
          </w:p>
        </w:tc>
        <w:tc>
          <w:tcPr>
            <w:tcW w:w="610"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sz w:val="18"/>
                <w:szCs w:val="32"/>
              </w:rPr>
              <w:t>0.10</w:t>
            </w:r>
          </w:p>
        </w:tc>
        <w:tc>
          <w:tcPr>
            <w:tcW w:w="328" w:type="dxa"/>
            <w:tcBorders>
              <w:top w:val="nil"/>
              <w:left w:val="nil"/>
              <w:bottom w:val="nil"/>
              <w:right w:val="nil"/>
            </w:tcBorders>
          </w:tcPr>
          <w:p w:rsidR="007A7C36" w:rsidRPr="00A40DDE" w:rsidRDefault="007A7C36" w:rsidP="00E702B6">
            <w:pPr>
              <w:spacing w:after="0" w:line="259" w:lineRule="auto"/>
              <w:ind w:right="0" w:firstLine="0"/>
              <w:rPr>
                <w:sz w:val="28"/>
                <w:szCs w:val="32"/>
              </w:rPr>
            </w:pPr>
            <w:r w:rsidRPr="00A40DDE">
              <w:rPr>
                <w:rFonts w:ascii="Calibri" w:eastAsia="Calibri" w:hAnsi="Calibri" w:cs="Calibri"/>
                <w:sz w:val="18"/>
                <w:szCs w:val="32"/>
              </w:rPr>
              <w:t>−</w:t>
            </w:r>
            <w:r w:rsidRPr="00A40DDE">
              <w:rPr>
                <w:sz w:val="18"/>
                <w:szCs w:val="32"/>
              </w:rPr>
              <w:t>0.15</w:t>
            </w:r>
          </w:p>
        </w:tc>
      </w:tr>
      <w:tr w:rsidR="007A7C36" w:rsidRPr="00A40DDE" w:rsidTr="007A7C36">
        <w:trPr>
          <w:trHeight w:val="199"/>
        </w:trPr>
        <w:tc>
          <w:tcPr>
            <w:tcW w:w="1896" w:type="dxa"/>
            <w:tcBorders>
              <w:top w:val="nil"/>
              <w:left w:val="nil"/>
              <w:bottom w:val="nil"/>
              <w:right w:val="nil"/>
            </w:tcBorders>
          </w:tcPr>
          <w:p w:rsidR="007A7C36" w:rsidRPr="00A40DDE" w:rsidRDefault="007A7C36" w:rsidP="00E702B6">
            <w:pPr>
              <w:tabs>
                <w:tab w:val="center" w:pos="869"/>
                <w:tab w:val="center" w:pos="1516"/>
              </w:tabs>
              <w:spacing w:after="0" w:line="259" w:lineRule="auto"/>
              <w:ind w:right="0" w:firstLine="0"/>
              <w:jc w:val="left"/>
              <w:rPr>
                <w:sz w:val="28"/>
                <w:szCs w:val="32"/>
              </w:rPr>
            </w:pPr>
            <w:proofErr w:type="spellStart"/>
            <w:r w:rsidRPr="00A40DDE">
              <w:rPr>
                <w:rFonts w:ascii="Calibri" w:eastAsia="Calibri" w:hAnsi="Calibri" w:cs="Calibri"/>
                <w:sz w:val="18"/>
                <w:szCs w:val="32"/>
              </w:rPr>
              <w:t>NIpos</w:t>
            </w:r>
            <w:proofErr w:type="spellEnd"/>
            <w:r w:rsidRPr="00A40DDE">
              <w:rPr>
                <w:rFonts w:ascii="Calibri" w:eastAsia="Calibri" w:hAnsi="Calibri" w:cs="Calibri"/>
                <w:sz w:val="18"/>
                <w:szCs w:val="32"/>
              </w:rPr>
              <w:tab/>
              <w:t>−</w:t>
            </w:r>
            <w:r w:rsidRPr="00A40DDE">
              <w:rPr>
                <w:sz w:val="18"/>
                <w:szCs w:val="32"/>
              </w:rPr>
              <w:t>0.09</w:t>
            </w:r>
            <w:r w:rsidRPr="00A40DDE">
              <w:rPr>
                <w:sz w:val="18"/>
                <w:szCs w:val="32"/>
              </w:rPr>
              <w:tab/>
              <w:t>0.82</w:t>
            </w:r>
          </w:p>
        </w:tc>
        <w:tc>
          <w:tcPr>
            <w:tcW w:w="694" w:type="dxa"/>
            <w:tcBorders>
              <w:top w:val="nil"/>
              <w:left w:val="nil"/>
              <w:bottom w:val="nil"/>
              <w:right w:val="nil"/>
            </w:tcBorders>
          </w:tcPr>
          <w:p w:rsidR="007A7C36" w:rsidRPr="00A40DDE" w:rsidRDefault="007A7C36" w:rsidP="00E702B6">
            <w:pPr>
              <w:spacing w:after="0" w:line="259" w:lineRule="auto"/>
              <w:ind w:left="139" w:right="0" w:firstLine="0"/>
              <w:jc w:val="left"/>
              <w:rPr>
                <w:sz w:val="28"/>
                <w:szCs w:val="32"/>
              </w:rPr>
            </w:pPr>
            <w:r w:rsidRPr="00A40DDE">
              <w:rPr>
                <w:sz w:val="18"/>
                <w:szCs w:val="32"/>
              </w:rPr>
              <w:t>0.32</w:t>
            </w:r>
          </w:p>
        </w:tc>
        <w:tc>
          <w:tcPr>
            <w:tcW w:w="618" w:type="dxa"/>
            <w:tcBorders>
              <w:top w:val="nil"/>
              <w:left w:val="nil"/>
              <w:bottom w:val="nil"/>
              <w:right w:val="nil"/>
            </w:tcBorders>
            <w:vAlign w:val="bottom"/>
          </w:tcPr>
          <w:p w:rsidR="007A7C36" w:rsidRPr="00A40DDE" w:rsidRDefault="007A7C36" w:rsidP="00E702B6">
            <w:pPr>
              <w:spacing w:after="160" w:line="259" w:lineRule="auto"/>
              <w:ind w:right="0" w:firstLine="0"/>
              <w:jc w:val="left"/>
              <w:rPr>
                <w:sz w:val="28"/>
                <w:szCs w:val="32"/>
              </w:rPr>
            </w:pPr>
          </w:p>
        </w:tc>
        <w:tc>
          <w:tcPr>
            <w:tcW w:w="653" w:type="dxa"/>
            <w:tcBorders>
              <w:top w:val="nil"/>
              <w:left w:val="nil"/>
              <w:bottom w:val="nil"/>
              <w:right w:val="nil"/>
            </w:tcBorders>
          </w:tcPr>
          <w:p w:rsidR="007A7C36" w:rsidRPr="00A40DDE" w:rsidRDefault="007A7C36" w:rsidP="00E702B6">
            <w:pPr>
              <w:spacing w:after="0" w:line="259" w:lineRule="auto"/>
              <w:ind w:left="70" w:right="0" w:firstLine="0"/>
              <w:jc w:val="left"/>
              <w:rPr>
                <w:sz w:val="28"/>
                <w:szCs w:val="32"/>
              </w:rPr>
            </w:pPr>
            <w:r w:rsidRPr="00A40DDE">
              <w:rPr>
                <w:sz w:val="18"/>
                <w:szCs w:val="32"/>
              </w:rPr>
              <w:t>0.03</w:t>
            </w:r>
          </w:p>
        </w:tc>
        <w:tc>
          <w:tcPr>
            <w:tcW w:w="542" w:type="dxa"/>
            <w:tcBorders>
              <w:top w:val="nil"/>
              <w:left w:val="nil"/>
              <w:bottom w:val="nil"/>
              <w:right w:val="nil"/>
            </w:tcBorders>
          </w:tcPr>
          <w:p w:rsidR="007A7C36" w:rsidRPr="00A40DDE" w:rsidRDefault="007A7C36" w:rsidP="00E702B6">
            <w:pPr>
              <w:spacing w:after="0" w:line="259" w:lineRule="auto"/>
              <w:ind w:left="71" w:right="0" w:firstLine="0"/>
              <w:jc w:val="left"/>
              <w:rPr>
                <w:sz w:val="28"/>
                <w:szCs w:val="32"/>
              </w:rPr>
            </w:pPr>
            <w:r w:rsidRPr="00A40DDE">
              <w:rPr>
                <w:sz w:val="18"/>
                <w:szCs w:val="32"/>
              </w:rPr>
              <w:t>0.03</w:t>
            </w:r>
          </w:p>
        </w:tc>
        <w:tc>
          <w:tcPr>
            <w:tcW w:w="540"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sz w:val="18"/>
                <w:szCs w:val="32"/>
              </w:rPr>
              <w:t>0.01</w:t>
            </w:r>
          </w:p>
        </w:tc>
        <w:tc>
          <w:tcPr>
            <w:tcW w:w="541" w:type="dxa"/>
            <w:tcBorders>
              <w:top w:val="nil"/>
              <w:left w:val="nil"/>
              <w:bottom w:val="nil"/>
              <w:right w:val="nil"/>
            </w:tcBorders>
          </w:tcPr>
          <w:p w:rsidR="007A7C36" w:rsidRPr="00A40DDE" w:rsidRDefault="007A7C36" w:rsidP="00E702B6">
            <w:pPr>
              <w:spacing w:after="0" w:line="259" w:lineRule="auto"/>
              <w:ind w:left="70" w:right="0" w:firstLine="0"/>
              <w:jc w:val="left"/>
              <w:rPr>
                <w:sz w:val="28"/>
                <w:szCs w:val="32"/>
              </w:rPr>
            </w:pPr>
            <w:r w:rsidRPr="00A40DDE">
              <w:rPr>
                <w:sz w:val="18"/>
                <w:szCs w:val="32"/>
              </w:rPr>
              <w:t>0.13</w:t>
            </w:r>
          </w:p>
        </w:tc>
        <w:tc>
          <w:tcPr>
            <w:tcW w:w="610"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sz w:val="18"/>
                <w:szCs w:val="32"/>
              </w:rPr>
              <w:t>0.06</w:t>
            </w:r>
          </w:p>
        </w:tc>
        <w:tc>
          <w:tcPr>
            <w:tcW w:w="328" w:type="dxa"/>
            <w:tcBorders>
              <w:top w:val="nil"/>
              <w:left w:val="nil"/>
              <w:bottom w:val="nil"/>
              <w:right w:val="nil"/>
            </w:tcBorders>
          </w:tcPr>
          <w:p w:rsidR="007A7C36" w:rsidRPr="00A40DDE" w:rsidRDefault="007A7C36" w:rsidP="00E702B6">
            <w:pPr>
              <w:spacing w:after="0" w:line="259" w:lineRule="auto"/>
              <w:ind w:right="0" w:firstLine="0"/>
              <w:rPr>
                <w:sz w:val="28"/>
                <w:szCs w:val="32"/>
              </w:rPr>
            </w:pPr>
            <w:r w:rsidRPr="00A40DDE">
              <w:rPr>
                <w:rFonts w:ascii="Calibri" w:eastAsia="Calibri" w:hAnsi="Calibri" w:cs="Calibri"/>
                <w:sz w:val="18"/>
                <w:szCs w:val="32"/>
              </w:rPr>
              <w:t>−</w:t>
            </w:r>
            <w:r w:rsidRPr="00A40DDE">
              <w:rPr>
                <w:sz w:val="18"/>
                <w:szCs w:val="32"/>
              </w:rPr>
              <w:t>0.16</w:t>
            </w:r>
          </w:p>
        </w:tc>
      </w:tr>
      <w:tr w:rsidR="007A7C36" w:rsidRPr="00A40DDE" w:rsidTr="007A7C36">
        <w:trPr>
          <w:trHeight w:val="200"/>
        </w:trPr>
        <w:tc>
          <w:tcPr>
            <w:tcW w:w="1896" w:type="dxa"/>
            <w:tcBorders>
              <w:top w:val="nil"/>
              <w:left w:val="nil"/>
              <w:bottom w:val="nil"/>
              <w:right w:val="nil"/>
            </w:tcBorders>
          </w:tcPr>
          <w:p w:rsidR="007A7C36" w:rsidRPr="00A40DDE" w:rsidRDefault="007A7C36" w:rsidP="00E702B6">
            <w:pPr>
              <w:tabs>
                <w:tab w:val="center" w:pos="869"/>
                <w:tab w:val="center" w:pos="1516"/>
              </w:tabs>
              <w:spacing w:after="0" w:line="259" w:lineRule="auto"/>
              <w:ind w:right="0" w:firstLine="0"/>
              <w:jc w:val="left"/>
              <w:rPr>
                <w:sz w:val="28"/>
                <w:szCs w:val="32"/>
              </w:rPr>
            </w:pPr>
            <w:proofErr w:type="spellStart"/>
            <w:r w:rsidRPr="00A40DDE">
              <w:rPr>
                <w:rFonts w:ascii="Calibri" w:eastAsia="Calibri" w:hAnsi="Calibri" w:cs="Calibri"/>
                <w:sz w:val="18"/>
                <w:szCs w:val="32"/>
              </w:rPr>
              <w:t>RegCap</w:t>
            </w:r>
            <w:proofErr w:type="spellEnd"/>
            <w:r w:rsidRPr="00A40DDE">
              <w:rPr>
                <w:rFonts w:ascii="Calibri" w:eastAsia="Calibri" w:hAnsi="Calibri" w:cs="Calibri"/>
                <w:sz w:val="18"/>
                <w:szCs w:val="32"/>
              </w:rPr>
              <w:tab/>
              <w:t>−</w:t>
            </w:r>
            <w:r w:rsidRPr="00A40DDE">
              <w:rPr>
                <w:sz w:val="18"/>
                <w:szCs w:val="32"/>
              </w:rPr>
              <w:t>0.01</w:t>
            </w:r>
            <w:r w:rsidRPr="00A40DDE">
              <w:rPr>
                <w:sz w:val="18"/>
                <w:szCs w:val="32"/>
              </w:rPr>
              <w:tab/>
              <w:t>0.03</w:t>
            </w:r>
          </w:p>
        </w:tc>
        <w:tc>
          <w:tcPr>
            <w:tcW w:w="694"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rFonts w:ascii="Calibri" w:eastAsia="Calibri" w:hAnsi="Calibri" w:cs="Calibri"/>
                <w:sz w:val="18"/>
                <w:szCs w:val="32"/>
              </w:rPr>
              <w:t>−</w:t>
            </w:r>
            <w:r w:rsidRPr="00A40DDE">
              <w:rPr>
                <w:sz w:val="18"/>
                <w:szCs w:val="32"/>
              </w:rPr>
              <w:t>0.08</w:t>
            </w:r>
          </w:p>
        </w:tc>
        <w:tc>
          <w:tcPr>
            <w:tcW w:w="618" w:type="dxa"/>
            <w:tcBorders>
              <w:top w:val="nil"/>
              <w:left w:val="nil"/>
              <w:bottom w:val="nil"/>
              <w:right w:val="nil"/>
            </w:tcBorders>
          </w:tcPr>
          <w:p w:rsidR="007A7C36" w:rsidRPr="00A40DDE" w:rsidRDefault="007A7C36" w:rsidP="00E702B6">
            <w:pPr>
              <w:spacing w:after="0" w:line="259" w:lineRule="auto"/>
              <w:ind w:left="70" w:right="0" w:firstLine="0"/>
              <w:jc w:val="left"/>
              <w:rPr>
                <w:sz w:val="28"/>
                <w:szCs w:val="32"/>
              </w:rPr>
            </w:pPr>
            <w:r w:rsidRPr="00A40DDE">
              <w:rPr>
                <w:sz w:val="18"/>
                <w:szCs w:val="32"/>
              </w:rPr>
              <w:t>0.11</w:t>
            </w:r>
          </w:p>
        </w:tc>
        <w:tc>
          <w:tcPr>
            <w:tcW w:w="653"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542" w:type="dxa"/>
            <w:tcBorders>
              <w:top w:val="nil"/>
              <w:left w:val="nil"/>
              <w:bottom w:val="nil"/>
              <w:right w:val="nil"/>
            </w:tcBorders>
          </w:tcPr>
          <w:p w:rsidR="007A7C36" w:rsidRPr="00A40DDE" w:rsidRDefault="007A7C36" w:rsidP="00E702B6">
            <w:pPr>
              <w:spacing w:after="0" w:line="259" w:lineRule="auto"/>
              <w:ind w:left="71" w:right="0" w:firstLine="0"/>
              <w:jc w:val="left"/>
              <w:rPr>
                <w:sz w:val="28"/>
                <w:szCs w:val="32"/>
              </w:rPr>
            </w:pPr>
            <w:r w:rsidRPr="00A40DDE">
              <w:rPr>
                <w:sz w:val="18"/>
                <w:szCs w:val="32"/>
              </w:rPr>
              <w:t>0.08</w:t>
            </w:r>
          </w:p>
        </w:tc>
        <w:tc>
          <w:tcPr>
            <w:tcW w:w="540"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18"/>
                <w:szCs w:val="32"/>
              </w:rPr>
              <w:t>−</w:t>
            </w:r>
            <w:r w:rsidRPr="00A40DDE">
              <w:rPr>
                <w:sz w:val="18"/>
                <w:szCs w:val="32"/>
              </w:rPr>
              <w:t>0.03</w:t>
            </w:r>
          </w:p>
        </w:tc>
        <w:tc>
          <w:tcPr>
            <w:tcW w:w="541"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18"/>
                <w:szCs w:val="32"/>
              </w:rPr>
              <w:t>−</w:t>
            </w:r>
            <w:r w:rsidRPr="00A40DDE">
              <w:rPr>
                <w:sz w:val="18"/>
                <w:szCs w:val="32"/>
              </w:rPr>
              <w:t>0.43</w:t>
            </w:r>
          </w:p>
        </w:tc>
        <w:tc>
          <w:tcPr>
            <w:tcW w:w="610"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sz w:val="18"/>
                <w:szCs w:val="32"/>
              </w:rPr>
              <w:t>0.50</w:t>
            </w:r>
          </w:p>
        </w:tc>
        <w:tc>
          <w:tcPr>
            <w:tcW w:w="328" w:type="dxa"/>
            <w:tcBorders>
              <w:top w:val="nil"/>
              <w:left w:val="nil"/>
              <w:bottom w:val="nil"/>
              <w:right w:val="nil"/>
            </w:tcBorders>
          </w:tcPr>
          <w:p w:rsidR="007A7C36" w:rsidRPr="00A40DDE" w:rsidRDefault="007A7C36" w:rsidP="00E702B6">
            <w:pPr>
              <w:spacing w:after="0" w:line="259" w:lineRule="auto"/>
              <w:ind w:left="70" w:right="0" w:firstLine="0"/>
              <w:jc w:val="left"/>
              <w:rPr>
                <w:sz w:val="28"/>
                <w:szCs w:val="32"/>
              </w:rPr>
            </w:pPr>
            <w:r w:rsidRPr="00A40DDE">
              <w:rPr>
                <w:sz w:val="18"/>
                <w:szCs w:val="32"/>
              </w:rPr>
              <w:t>0.27</w:t>
            </w:r>
          </w:p>
        </w:tc>
      </w:tr>
      <w:tr w:rsidR="007A7C36" w:rsidRPr="00A40DDE" w:rsidTr="007A7C36">
        <w:trPr>
          <w:trHeight w:val="199"/>
        </w:trPr>
        <w:tc>
          <w:tcPr>
            <w:tcW w:w="1896" w:type="dxa"/>
            <w:tcBorders>
              <w:top w:val="nil"/>
              <w:left w:val="nil"/>
              <w:bottom w:val="nil"/>
              <w:right w:val="nil"/>
            </w:tcBorders>
          </w:tcPr>
          <w:p w:rsidR="007A7C36" w:rsidRPr="00A40DDE" w:rsidRDefault="007A7C36" w:rsidP="00E702B6">
            <w:pPr>
              <w:tabs>
                <w:tab w:val="center" w:pos="904"/>
                <w:tab w:val="center" w:pos="1516"/>
              </w:tabs>
              <w:spacing w:after="0" w:line="259" w:lineRule="auto"/>
              <w:ind w:right="0" w:firstLine="0"/>
              <w:jc w:val="left"/>
              <w:rPr>
                <w:sz w:val="28"/>
                <w:szCs w:val="32"/>
              </w:rPr>
            </w:pPr>
            <w:r w:rsidRPr="00A40DDE">
              <w:rPr>
                <w:rFonts w:ascii="Calibri" w:eastAsia="Calibri" w:hAnsi="Calibri" w:cs="Calibri"/>
                <w:sz w:val="18"/>
                <w:szCs w:val="32"/>
              </w:rPr>
              <w:t>UG</w:t>
            </w:r>
            <w:r w:rsidRPr="00A40DDE">
              <w:rPr>
                <w:rFonts w:ascii="Calibri" w:eastAsia="Calibri" w:hAnsi="Calibri" w:cs="Calibri"/>
                <w:sz w:val="18"/>
                <w:szCs w:val="32"/>
              </w:rPr>
              <w:tab/>
            </w:r>
            <w:r w:rsidRPr="00A40DDE">
              <w:rPr>
                <w:sz w:val="18"/>
                <w:szCs w:val="32"/>
              </w:rPr>
              <w:t>0.21</w:t>
            </w:r>
            <w:r w:rsidRPr="00A40DDE">
              <w:rPr>
                <w:sz w:val="18"/>
                <w:szCs w:val="32"/>
              </w:rPr>
              <w:tab/>
              <w:t>0.04</w:t>
            </w:r>
          </w:p>
        </w:tc>
        <w:tc>
          <w:tcPr>
            <w:tcW w:w="694" w:type="dxa"/>
            <w:tcBorders>
              <w:top w:val="nil"/>
              <w:left w:val="nil"/>
              <w:bottom w:val="nil"/>
              <w:right w:val="nil"/>
            </w:tcBorders>
          </w:tcPr>
          <w:p w:rsidR="007A7C36" w:rsidRPr="00A40DDE" w:rsidRDefault="007A7C36" w:rsidP="00E702B6">
            <w:pPr>
              <w:spacing w:after="0" w:line="259" w:lineRule="auto"/>
              <w:ind w:left="139" w:right="0" w:firstLine="0"/>
              <w:jc w:val="left"/>
              <w:rPr>
                <w:sz w:val="28"/>
                <w:szCs w:val="32"/>
              </w:rPr>
            </w:pPr>
            <w:r w:rsidRPr="00A40DDE">
              <w:rPr>
                <w:sz w:val="18"/>
                <w:szCs w:val="32"/>
              </w:rPr>
              <w:t>0.05</w:t>
            </w:r>
          </w:p>
        </w:tc>
        <w:tc>
          <w:tcPr>
            <w:tcW w:w="618" w:type="dxa"/>
            <w:tcBorders>
              <w:top w:val="nil"/>
              <w:left w:val="nil"/>
              <w:bottom w:val="nil"/>
              <w:right w:val="nil"/>
            </w:tcBorders>
          </w:tcPr>
          <w:p w:rsidR="007A7C36" w:rsidRPr="00A40DDE" w:rsidRDefault="007A7C36" w:rsidP="00E702B6">
            <w:pPr>
              <w:spacing w:after="0" w:line="259" w:lineRule="auto"/>
              <w:ind w:left="70" w:right="0" w:firstLine="0"/>
              <w:jc w:val="left"/>
              <w:rPr>
                <w:sz w:val="28"/>
                <w:szCs w:val="32"/>
              </w:rPr>
            </w:pPr>
            <w:r w:rsidRPr="00A40DDE">
              <w:rPr>
                <w:sz w:val="18"/>
                <w:szCs w:val="32"/>
              </w:rPr>
              <w:t>0.02</w:t>
            </w:r>
          </w:p>
        </w:tc>
        <w:tc>
          <w:tcPr>
            <w:tcW w:w="653" w:type="dxa"/>
            <w:tcBorders>
              <w:top w:val="nil"/>
              <w:left w:val="nil"/>
              <w:bottom w:val="nil"/>
              <w:right w:val="nil"/>
            </w:tcBorders>
          </w:tcPr>
          <w:p w:rsidR="007A7C36" w:rsidRPr="00A40DDE" w:rsidRDefault="007A7C36" w:rsidP="00E702B6">
            <w:pPr>
              <w:spacing w:after="0" w:line="259" w:lineRule="auto"/>
              <w:ind w:left="70" w:right="0" w:firstLine="0"/>
              <w:jc w:val="left"/>
              <w:rPr>
                <w:sz w:val="28"/>
                <w:szCs w:val="32"/>
              </w:rPr>
            </w:pPr>
            <w:r w:rsidRPr="00A40DDE">
              <w:rPr>
                <w:sz w:val="18"/>
                <w:szCs w:val="32"/>
              </w:rPr>
              <w:t>0.16</w:t>
            </w:r>
          </w:p>
        </w:tc>
        <w:tc>
          <w:tcPr>
            <w:tcW w:w="542"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540"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sz w:val="18"/>
                <w:szCs w:val="32"/>
              </w:rPr>
              <w:t>0.44</w:t>
            </w:r>
          </w:p>
        </w:tc>
        <w:tc>
          <w:tcPr>
            <w:tcW w:w="541" w:type="dxa"/>
            <w:tcBorders>
              <w:top w:val="nil"/>
              <w:left w:val="nil"/>
              <w:bottom w:val="nil"/>
              <w:right w:val="nil"/>
            </w:tcBorders>
          </w:tcPr>
          <w:p w:rsidR="007A7C36" w:rsidRPr="00A40DDE" w:rsidRDefault="007A7C36" w:rsidP="00E702B6">
            <w:pPr>
              <w:spacing w:after="0" w:line="259" w:lineRule="auto"/>
              <w:ind w:left="70" w:right="0" w:firstLine="0"/>
              <w:jc w:val="left"/>
              <w:rPr>
                <w:sz w:val="28"/>
                <w:szCs w:val="32"/>
              </w:rPr>
            </w:pPr>
            <w:r w:rsidRPr="00A40DDE">
              <w:rPr>
                <w:sz w:val="18"/>
                <w:szCs w:val="32"/>
              </w:rPr>
              <w:t>0.19</w:t>
            </w:r>
          </w:p>
        </w:tc>
        <w:tc>
          <w:tcPr>
            <w:tcW w:w="610"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sz w:val="18"/>
                <w:szCs w:val="32"/>
              </w:rPr>
              <w:t>0.24</w:t>
            </w:r>
          </w:p>
        </w:tc>
        <w:tc>
          <w:tcPr>
            <w:tcW w:w="328" w:type="dxa"/>
            <w:tcBorders>
              <w:top w:val="nil"/>
              <w:left w:val="nil"/>
              <w:bottom w:val="nil"/>
              <w:right w:val="nil"/>
            </w:tcBorders>
          </w:tcPr>
          <w:p w:rsidR="007A7C36" w:rsidRPr="00A40DDE" w:rsidRDefault="007A7C36" w:rsidP="00E702B6">
            <w:pPr>
              <w:spacing w:after="0" w:line="259" w:lineRule="auto"/>
              <w:ind w:right="0" w:firstLine="0"/>
              <w:rPr>
                <w:sz w:val="28"/>
                <w:szCs w:val="32"/>
              </w:rPr>
            </w:pPr>
            <w:r w:rsidRPr="00A40DDE">
              <w:rPr>
                <w:rFonts w:ascii="Calibri" w:eastAsia="Calibri" w:hAnsi="Calibri" w:cs="Calibri"/>
                <w:sz w:val="18"/>
                <w:szCs w:val="32"/>
              </w:rPr>
              <w:t>−</w:t>
            </w:r>
            <w:r w:rsidRPr="00A40DDE">
              <w:rPr>
                <w:sz w:val="18"/>
                <w:szCs w:val="32"/>
              </w:rPr>
              <w:t>0.09</w:t>
            </w:r>
          </w:p>
        </w:tc>
      </w:tr>
      <w:tr w:rsidR="007A7C36" w:rsidRPr="00A40DDE" w:rsidTr="007A7C36">
        <w:trPr>
          <w:trHeight w:val="199"/>
        </w:trPr>
        <w:tc>
          <w:tcPr>
            <w:tcW w:w="1896" w:type="dxa"/>
            <w:tcBorders>
              <w:top w:val="nil"/>
              <w:left w:val="nil"/>
              <w:bottom w:val="nil"/>
              <w:right w:val="nil"/>
            </w:tcBorders>
          </w:tcPr>
          <w:p w:rsidR="007A7C36" w:rsidRPr="00A40DDE" w:rsidRDefault="007A7C36" w:rsidP="00E702B6">
            <w:pPr>
              <w:tabs>
                <w:tab w:val="center" w:pos="902"/>
                <w:tab w:val="center" w:pos="1479"/>
              </w:tabs>
              <w:spacing w:after="0" w:line="259" w:lineRule="auto"/>
              <w:ind w:right="0" w:firstLine="0"/>
              <w:jc w:val="left"/>
              <w:rPr>
                <w:sz w:val="28"/>
                <w:szCs w:val="32"/>
              </w:rPr>
            </w:pPr>
            <w:r w:rsidRPr="00A40DDE">
              <w:rPr>
                <w:rFonts w:ascii="Calibri" w:eastAsia="Calibri" w:hAnsi="Calibri" w:cs="Calibri"/>
                <w:sz w:val="18"/>
                <w:szCs w:val="32"/>
              </w:rPr>
              <w:t>UL</w:t>
            </w:r>
            <w:r w:rsidRPr="00A40DDE">
              <w:rPr>
                <w:rFonts w:ascii="Calibri" w:eastAsia="Calibri" w:hAnsi="Calibri" w:cs="Calibri"/>
                <w:sz w:val="18"/>
                <w:szCs w:val="32"/>
              </w:rPr>
              <w:tab/>
            </w:r>
            <w:r w:rsidRPr="00A40DDE">
              <w:rPr>
                <w:sz w:val="18"/>
                <w:szCs w:val="32"/>
              </w:rPr>
              <w:t>0.11</w:t>
            </w:r>
            <w:r w:rsidRPr="00A40DDE">
              <w:rPr>
                <w:sz w:val="18"/>
                <w:szCs w:val="32"/>
              </w:rPr>
              <w:tab/>
            </w:r>
            <w:r w:rsidRPr="00A40DDE">
              <w:rPr>
                <w:rFonts w:ascii="Calibri" w:eastAsia="Calibri" w:hAnsi="Calibri" w:cs="Calibri"/>
                <w:sz w:val="18"/>
                <w:szCs w:val="32"/>
              </w:rPr>
              <w:t>−</w:t>
            </w:r>
            <w:r w:rsidRPr="00A40DDE">
              <w:rPr>
                <w:sz w:val="18"/>
                <w:szCs w:val="32"/>
              </w:rPr>
              <w:t>0.00</w:t>
            </w:r>
          </w:p>
        </w:tc>
        <w:tc>
          <w:tcPr>
            <w:tcW w:w="694"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rFonts w:ascii="Calibri" w:eastAsia="Calibri" w:hAnsi="Calibri" w:cs="Calibri"/>
                <w:sz w:val="18"/>
                <w:szCs w:val="32"/>
              </w:rPr>
              <w:t>−</w:t>
            </w:r>
            <w:r w:rsidRPr="00A40DDE">
              <w:rPr>
                <w:sz w:val="18"/>
                <w:szCs w:val="32"/>
              </w:rPr>
              <w:t>0.02</w:t>
            </w:r>
          </w:p>
        </w:tc>
        <w:tc>
          <w:tcPr>
            <w:tcW w:w="618" w:type="dxa"/>
            <w:tcBorders>
              <w:top w:val="nil"/>
              <w:left w:val="nil"/>
              <w:bottom w:val="nil"/>
              <w:right w:val="nil"/>
            </w:tcBorders>
          </w:tcPr>
          <w:p w:rsidR="007A7C36" w:rsidRPr="00A40DDE" w:rsidRDefault="007A7C36" w:rsidP="00E702B6">
            <w:pPr>
              <w:spacing w:after="0" w:line="259" w:lineRule="auto"/>
              <w:ind w:left="70" w:right="0" w:firstLine="0"/>
              <w:jc w:val="left"/>
              <w:rPr>
                <w:sz w:val="28"/>
                <w:szCs w:val="32"/>
              </w:rPr>
            </w:pPr>
            <w:r w:rsidRPr="00A40DDE">
              <w:rPr>
                <w:sz w:val="18"/>
                <w:szCs w:val="32"/>
              </w:rPr>
              <w:t>0.02</w:t>
            </w:r>
          </w:p>
        </w:tc>
        <w:tc>
          <w:tcPr>
            <w:tcW w:w="653"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18"/>
                <w:szCs w:val="32"/>
              </w:rPr>
              <w:t>−</w:t>
            </w:r>
            <w:r w:rsidRPr="00A40DDE">
              <w:rPr>
                <w:sz w:val="18"/>
                <w:szCs w:val="32"/>
              </w:rPr>
              <w:t>0.12</w:t>
            </w:r>
          </w:p>
        </w:tc>
        <w:tc>
          <w:tcPr>
            <w:tcW w:w="542" w:type="dxa"/>
            <w:tcBorders>
              <w:top w:val="nil"/>
              <w:left w:val="nil"/>
              <w:bottom w:val="nil"/>
              <w:right w:val="nil"/>
            </w:tcBorders>
          </w:tcPr>
          <w:p w:rsidR="007A7C36" w:rsidRPr="00A40DDE" w:rsidRDefault="007A7C36" w:rsidP="00E702B6">
            <w:pPr>
              <w:spacing w:after="0" w:line="259" w:lineRule="auto"/>
              <w:ind w:left="71" w:right="0" w:firstLine="0"/>
              <w:jc w:val="left"/>
              <w:rPr>
                <w:sz w:val="28"/>
                <w:szCs w:val="32"/>
              </w:rPr>
            </w:pPr>
            <w:r w:rsidRPr="00A40DDE">
              <w:rPr>
                <w:sz w:val="18"/>
                <w:szCs w:val="32"/>
              </w:rPr>
              <w:t>0.13</w:t>
            </w:r>
          </w:p>
        </w:tc>
        <w:tc>
          <w:tcPr>
            <w:tcW w:w="540"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541" w:type="dxa"/>
            <w:tcBorders>
              <w:top w:val="nil"/>
              <w:left w:val="nil"/>
              <w:bottom w:val="nil"/>
              <w:right w:val="nil"/>
            </w:tcBorders>
          </w:tcPr>
          <w:p w:rsidR="007A7C36" w:rsidRPr="00A40DDE" w:rsidRDefault="007A7C36" w:rsidP="00E702B6">
            <w:pPr>
              <w:spacing w:after="0" w:line="259" w:lineRule="auto"/>
              <w:ind w:left="70" w:right="0" w:firstLine="0"/>
              <w:jc w:val="left"/>
              <w:rPr>
                <w:sz w:val="28"/>
                <w:szCs w:val="32"/>
              </w:rPr>
            </w:pPr>
            <w:r w:rsidRPr="00A40DDE">
              <w:rPr>
                <w:sz w:val="18"/>
                <w:szCs w:val="32"/>
              </w:rPr>
              <w:t>0.01</w:t>
            </w:r>
          </w:p>
        </w:tc>
        <w:tc>
          <w:tcPr>
            <w:tcW w:w="610"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18"/>
                <w:szCs w:val="32"/>
              </w:rPr>
              <w:t>−</w:t>
            </w:r>
            <w:r w:rsidRPr="00A40DDE">
              <w:rPr>
                <w:sz w:val="18"/>
                <w:szCs w:val="32"/>
              </w:rPr>
              <w:t>0.19</w:t>
            </w:r>
          </w:p>
        </w:tc>
        <w:tc>
          <w:tcPr>
            <w:tcW w:w="328" w:type="dxa"/>
            <w:tcBorders>
              <w:top w:val="nil"/>
              <w:left w:val="nil"/>
              <w:bottom w:val="nil"/>
              <w:right w:val="nil"/>
            </w:tcBorders>
          </w:tcPr>
          <w:p w:rsidR="007A7C36" w:rsidRPr="00A40DDE" w:rsidRDefault="007A7C36" w:rsidP="00E702B6">
            <w:pPr>
              <w:spacing w:after="0" w:line="259" w:lineRule="auto"/>
              <w:ind w:left="70" w:right="0" w:firstLine="0"/>
              <w:jc w:val="left"/>
              <w:rPr>
                <w:sz w:val="28"/>
                <w:szCs w:val="32"/>
              </w:rPr>
            </w:pPr>
            <w:r w:rsidRPr="00A40DDE">
              <w:rPr>
                <w:sz w:val="18"/>
                <w:szCs w:val="32"/>
              </w:rPr>
              <w:t>0.06</w:t>
            </w:r>
          </w:p>
        </w:tc>
      </w:tr>
      <w:tr w:rsidR="007A7C36" w:rsidRPr="00A40DDE" w:rsidTr="007A7C36">
        <w:trPr>
          <w:trHeight w:val="200"/>
        </w:trPr>
        <w:tc>
          <w:tcPr>
            <w:tcW w:w="1896" w:type="dxa"/>
            <w:tcBorders>
              <w:top w:val="nil"/>
              <w:left w:val="nil"/>
              <w:bottom w:val="nil"/>
              <w:right w:val="nil"/>
            </w:tcBorders>
          </w:tcPr>
          <w:p w:rsidR="007A7C36" w:rsidRPr="00A40DDE" w:rsidRDefault="007A7C36" w:rsidP="00E702B6">
            <w:pPr>
              <w:tabs>
                <w:tab w:val="center" w:pos="904"/>
                <w:tab w:val="center" w:pos="1514"/>
              </w:tabs>
              <w:spacing w:after="0" w:line="259" w:lineRule="auto"/>
              <w:ind w:right="0" w:firstLine="0"/>
              <w:jc w:val="left"/>
              <w:rPr>
                <w:sz w:val="28"/>
                <w:szCs w:val="32"/>
              </w:rPr>
            </w:pPr>
            <w:r w:rsidRPr="00A40DDE">
              <w:rPr>
                <w:rFonts w:ascii="Calibri" w:eastAsia="Calibri" w:hAnsi="Calibri" w:cs="Calibri"/>
                <w:sz w:val="18"/>
                <w:szCs w:val="32"/>
              </w:rPr>
              <w:t>Size</w:t>
            </w:r>
            <w:r w:rsidRPr="00A40DDE">
              <w:rPr>
                <w:rFonts w:ascii="Calibri" w:eastAsia="Calibri" w:hAnsi="Calibri" w:cs="Calibri"/>
                <w:sz w:val="18"/>
                <w:szCs w:val="32"/>
              </w:rPr>
              <w:tab/>
            </w:r>
            <w:r w:rsidRPr="00A40DDE">
              <w:rPr>
                <w:sz w:val="18"/>
                <w:szCs w:val="32"/>
              </w:rPr>
              <w:t>0.06</w:t>
            </w:r>
            <w:r w:rsidRPr="00A40DDE">
              <w:rPr>
                <w:sz w:val="18"/>
                <w:szCs w:val="32"/>
              </w:rPr>
              <w:tab/>
              <w:t>0.11</w:t>
            </w:r>
          </w:p>
        </w:tc>
        <w:tc>
          <w:tcPr>
            <w:tcW w:w="694" w:type="dxa"/>
            <w:tcBorders>
              <w:top w:val="nil"/>
              <w:left w:val="nil"/>
              <w:bottom w:val="nil"/>
              <w:right w:val="nil"/>
            </w:tcBorders>
          </w:tcPr>
          <w:p w:rsidR="007A7C36" w:rsidRPr="00A40DDE" w:rsidRDefault="007A7C36" w:rsidP="00E702B6">
            <w:pPr>
              <w:spacing w:after="0" w:line="259" w:lineRule="auto"/>
              <w:ind w:left="139" w:right="0" w:firstLine="0"/>
              <w:jc w:val="left"/>
              <w:rPr>
                <w:sz w:val="28"/>
                <w:szCs w:val="32"/>
              </w:rPr>
            </w:pPr>
            <w:r w:rsidRPr="00A40DDE">
              <w:rPr>
                <w:sz w:val="18"/>
                <w:szCs w:val="32"/>
              </w:rPr>
              <w:t>0.06</w:t>
            </w:r>
          </w:p>
        </w:tc>
        <w:tc>
          <w:tcPr>
            <w:tcW w:w="618" w:type="dxa"/>
            <w:tcBorders>
              <w:top w:val="nil"/>
              <w:left w:val="nil"/>
              <w:bottom w:val="nil"/>
              <w:right w:val="nil"/>
            </w:tcBorders>
          </w:tcPr>
          <w:p w:rsidR="007A7C36" w:rsidRPr="00A40DDE" w:rsidRDefault="007A7C36" w:rsidP="00E702B6">
            <w:pPr>
              <w:spacing w:after="0" w:line="259" w:lineRule="auto"/>
              <w:ind w:left="70" w:right="0" w:firstLine="0"/>
              <w:jc w:val="left"/>
              <w:rPr>
                <w:sz w:val="28"/>
                <w:szCs w:val="32"/>
              </w:rPr>
            </w:pPr>
            <w:r w:rsidRPr="00A40DDE">
              <w:rPr>
                <w:sz w:val="18"/>
                <w:szCs w:val="32"/>
              </w:rPr>
              <w:t>0.12</w:t>
            </w:r>
          </w:p>
        </w:tc>
        <w:tc>
          <w:tcPr>
            <w:tcW w:w="653"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18"/>
                <w:szCs w:val="32"/>
              </w:rPr>
              <w:t>−</w:t>
            </w:r>
            <w:r w:rsidRPr="00A40DDE">
              <w:rPr>
                <w:sz w:val="18"/>
                <w:szCs w:val="32"/>
              </w:rPr>
              <w:t>0.35</w:t>
            </w:r>
          </w:p>
        </w:tc>
        <w:tc>
          <w:tcPr>
            <w:tcW w:w="542" w:type="dxa"/>
            <w:tcBorders>
              <w:top w:val="nil"/>
              <w:left w:val="nil"/>
              <w:bottom w:val="nil"/>
              <w:right w:val="nil"/>
            </w:tcBorders>
          </w:tcPr>
          <w:p w:rsidR="007A7C36" w:rsidRPr="00A40DDE" w:rsidRDefault="007A7C36" w:rsidP="00E702B6">
            <w:pPr>
              <w:spacing w:after="0" w:line="259" w:lineRule="auto"/>
              <w:ind w:left="71" w:right="0" w:firstLine="0"/>
              <w:jc w:val="left"/>
              <w:rPr>
                <w:sz w:val="28"/>
                <w:szCs w:val="32"/>
              </w:rPr>
            </w:pPr>
            <w:r w:rsidRPr="00A40DDE">
              <w:rPr>
                <w:sz w:val="18"/>
                <w:szCs w:val="32"/>
              </w:rPr>
              <w:t>0.07</w:t>
            </w:r>
          </w:p>
        </w:tc>
        <w:tc>
          <w:tcPr>
            <w:tcW w:w="540"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sz w:val="18"/>
                <w:szCs w:val="32"/>
              </w:rPr>
              <w:t>0.10</w:t>
            </w:r>
          </w:p>
        </w:tc>
        <w:tc>
          <w:tcPr>
            <w:tcW w:w="541"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10"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18"/>
                <w:szCs w:val="32"/>
              </w:rPr>
              <w:t>−</w:t>
            </w:r>
            <w:r w:rsidRPr="00A40DDE">
              <w:rPr>
                <w:sz w:val="18"/>
                <w:szCs w:val="32"/>
              </w:rPr>
              <w:t>0.16</w:t>
            </w:r>
          </w:p>
        </w:tc>
        <w:tc>
          <w:tcPr>
            <w:tcW w:w="328" w:type="dxa"/>
            <w:tcBorders>
              <w:top w:val="nil"/>
              <w:left w:val="nil"/>
              <w:bottom w:val="nil"/>
              <w:right w:val="nil"/>
            </w:tcBorders>
          </w:tcPr>
          <w:p w:rsidR="007A7C36" w:rsidRPr="00A40DDE" w:rsidRDefault="007A7C36" w:rsidP="00E702B6">
            <w:pPr>
              <w:spacing w:after="0" w:line="259" w:lineRule="auto"/>
              <w:ind w:right="0" w:firstLine="0"/>
              <w:rPr>
                <w:sz w:val="28"/>
                <w:szCs w:val="32"/>
              </w:rPr>
            </w:pPr>
            <w:r w:rsidRPr="00A40DDE">
              <w:rPr>
                <w:rFonts w:ascii="Calibri" w:eastAsia="Calibri" w:hAnsi="Calibri" w:cs="Calibri"/>
                <w:sz w:val="18"/>
                <w:szCs w:val="32"/>
              </w:rPr>
              <w:t>−</w:t>
            </w:r>
            <w:r w:rsidRPr="00A40DDE">
              <w:rPr>
                <w:sz w:val="18"/>
                <w:szCs w:val="32"/>
              </w:rPr>
              <w:t>0.52</w:t>
            </w:r>
          </w:p>
        </w:tc>
      </w:tr>
      <w:tr w:rsidR="007A7C36" w:rsidRPr="00A40DDE" w:rsidTr="007A7C36">
        <w:trPr>
          <w:trHeight w:val="200"/>
        </w:trPr>
        <w:tc>
          <w:tcPr>
            <w:tcW w:w="1896" w:type="dxa"/>
            <w:tcBorders>
              <w:top w:val="nil"/>
              <w:left w:val="nil"/>
              <w:bottom w:val="nil"/>
              <w:right w:val="nil"/>
            </w:tcBorders>
          </w:tcPr>
          <w:p w:rsidR="007A7C36" w:rsidRPr="00A40DDE" w:rsidRDefault="007A7C36" w:rsidP="00E702B6">
            <w:pPr>
              <w:tabs>
                <w:tab w:val="center" w:pos="904"/>
                <w:tab w:val="center" w:pos="1516"/>
              </w:tabs>
              <w:spacing w:after="0" w:line="259" w:lineRule="auto"/>
              <w:ind w:right="0" w:firstLine="0"/>
              <w:jc w:val="left"/>
              <w:rPr>
                <w:sz w:val="28"/>
                <w:szCs w:val="32"/>
              </w:rPr>
            </w:pPr>
            <w:r w:rsidRPr="00A40DDE">
              <w:rPr>
                <w:rFonts w:ascii="Calibri" w:eastAsia="Calibri" w:hAnsi="Calibri" w:cs="Calibri"/>
                <w:sz w:val="18"/>
                <w:szCs w:val="32"/>
              </w:rPr>
              <w:t>Sec</w:t>
            </w:r>
            <w:r w:rsidRPr="00A40DDE">
              <w:rPr>
                <w:rFonts w:ascii="Calibri" w:eastAsia="Calibri" w:hAnsi="Calibri" w:cs="Calibri"/>
                <w:sz w:val="18"/>
                <w:szCs w:val="32"/>
              </w:rPr>
              <w:tab/>
            </w:r>
            <w:r w:rsidRPr="00A40DDE">
              <w:rPr>
                <w:sz w:val="18"/>
                <w:szCs w:val="32"/>
              </w:rPr>
              <w:t>0.06</w:t>
            </w:r>
            <w:r w:rsidRPr="00A40DDE">
              <w:rPr>
                <w:sz w:val="18"/>
                <w:szCs w:val="32"/>
              </w:rPr>
              <w:tab/>
              <w:t>0.08</w:t>
            </w:r>
          </w:p>
        </w:tc>
        <w:tc>
          <w:tcPr>
            <w:tcW w:w="694" w:type="dxa"/>
            <w:tcBorders>
              <w:top w:val="nil"/>
              <w:left w:val="nil"/>
              <w:bottom w:val="nil"/>
              <w:right w:val="nil"/>
            </w:tcBorders>
          </w:tcPr>
          <w:p w:rsidR="007A7C36" w:rsidRPr="00A40DDE" w:rsidRDefault="007A7C36" w:rsidP="00E702B6">
            <w:pPr>
              <w:spacing w:after="0" w:line="259" w:lineRule="auto"/>
              <w:ind w:left="139" w:right="0" w:firstLine="0"/>
              <w:jc w:val="left"/>
              <w:rPr>
                <w:sz w:val="28"/>
                <w:szCs w:val="32"/>
              </w:rPr>
            </w:pPr>
            <w:r w:rsidRPr="00A40DDE">
              <w:rPr>
                <w:sz w:val="18"/>
                <w:szCs w:val="32"/>
              </w:rPr>
              <w:t>0.07</w:t>
            </w:r>
          </w:p>
        </w:tc>
        <w:tc>
          <w:tcPr>
            <w:tcW w:w="618" w:type="dxa"/>
            <w:tcBorders>
              <w:top w:val="nil"/>
              <w:left w:val="nil"/>
              <w:bottom w:val="nil"/>
              <w:right w:val="nil"/>
            </w:tcBorders>
          </w:tcPr>
          <w:p w:rsidR="007A7C36" w:rsidRPr="00A40DDE" w:rsidRDefault="007A7C36" w:rsidP="00E702B6">
            <w:pPr>
              <w:spacing w:after="0" w:line="259" w:lineRule="auto"/>
              <w:ind w:left="70" w:right="0" w:firstLine="0"/>
              <w:jc w:val="left"/>
              <w:rPr>
                <w:sz w:val="28"/>
                <w:szCs w:val="32"/>
              </w:rPr>
            </w:pPr>
            <w:r w:rsidRPr="00A40DDE">
              <w:rPr>
                <w:sz w:val="18"/>
                <w:szCs w:val="32"/>
              </w:rPr>
              <w:t>0.06</w:t>
            </w:r>
          </w:p>
        </w:tc>
        <w:tc>
          <w:tcPr>
            <w:tcW w:w="653" w:type="dxa"/>
            <w:tcBorders>
              <w:top w:val="nil"/>
              <w:left w:val="nil"/>
              <w:bottom w:val="nil"/>
              <w:right w:val="nil"/>
            </w:tcBorders>
          </w:tcPr>
          <w:p w:rsidR="007A7C36" w:rsidRPr="00A40DDE" w:rsidRDefault="007A7C36" w:rsidP="00E702B6">
            <w:pPr>
              <w:spacing w:after="0" w:line="259" w:lineRule="auto"/>
              <w:ind w:left="70" w:right="0" w:firstLine="0"/>
              <w:jc w:val="left"/>
              <w:rPr>
                <w:sz w:val="28"/>
                <w:szCs w:val="32"/>
              </w:rPr>
            </w:pPr>
            <w:r w:rsidRPr="00A40DDE">
              <w:rPr>
                <w:sz w:val="18"/>
                <w:szCs w:val="32"/>
              </w:rPr>
              <w:t>0.52</w:t>
            </w:r>
          </w:p>
        </w:tc>
        <w:tc>
          <w:tcPr>
            <w:tcW w:w="542" w:type="dxa"/>
            <w:tcBorders>
              <w:top w:val="nil"/>
              <w:left w:val="nil"/>
              <w:bottom w:val="nil"/>
              <w:right w:val="nil"/>
            </w:tcBorders>
          </w:tcPr>
          <w:p w:rsidR="007A7C36" w:rsidRPr="00A40DDE" w:rsidRDefault="007A7C36" w:rsidP="00E702B6">
            <w:pPr>
              <w:spacing w:after="0" w:line="259" w:lineRule="auto"/>
              <w:ind w:left="71" w:right="0" w:firstLine="0"/>
              <w:jc w:val="left"/>
              <w:rPr>
                <w:sz w:val="28"/>
                <w:szCs w:val="32"/>
              </w:rPr>
            </w:pPr>
            <w:r w:rsidRPr="00A40DDE">
              <w:rPr>
                <w:sz w:val="18"/>
                <w:szCs w:val="32"/>
              </w:rPr>
              <w:t>0.25</w:t>
            </w:r>
          </w:p>
        </w:tc>
        <w:tc>
          <w:tcPr>
            <w:tcW w:w="540"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18"/>
                <w:szCs w:val="32"/>
              </w:rPr>
              <w:t>−</w:t>
            </w:r>
            <w:r w:rsidRPr="00A40DDE">
              <w:rPr>
                <w:sz w:val="18"/>
                <w:szCs w:val="32"/>
              </w:rPr>
              <w:t>0.26</w:t>
            </w:r>
          </w:p>
        </w:tc>
        <w:tc>
          <w:tcPr>
            <w:tcW w:w="541"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18"/>
                <w:szCs w:val="32"/>
              </w:rPr>
              <w:t>−</w:t>
            </w:r>
            <w:r w:rsidRPr="00A40DDE">
              <w:rPr>
                <w:sz w:val="18"/>
                <w:szCs w:val="32"/>
              </w:rPr>
              <w:t>0.16</w:t>
            </w:r>
          </w:p>
        </w:tc>
        <w:tc>
          <w:tcPr>
            <w:tcW w:w="610"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328" w:type="dxa"/>
            <w:tcBorders>
              <w:top w:val="nil"/>
              <w:left w:val="nil"/>
              <w:bottom w:val="nil"/>
              <w:right w:val="nil"/>
            </w:tcBorders>
          </w:tcPr>
          <w:p w:rsidR="007A7C36" w:rsidRPr="00A40DDE" w:rsidRDefault="007A7C36" w:rsidP="00E702B6">
            <w:pPr>
              <w:spacing w:after="0" w:line="259" w:lineRule="auto"/>
              <w:ind w:left="70" w:right="0" w:firstLine="0"/>
              <w:jc w:val="left"/>
              <w:rPr>
                <w:sz w:val="28"/>
                <w:szCs w:val="32"/>
              </w:rPr>
            </w:pPr>
            <w:r w:rsidRPr="00A40DDE">
              <w:rPr>
                <w:sz w:val="18"/>
                <w:szCs w:val="32"/>
              </w:rPr>
              <w:t>0.01</w:t>
            </w:r>
          </w:p>
        </w:tc>
      </w:tr>
      <w:tr w:rsidR="007A7C36" w:rsidRPr="00A40DDE" w:rsidTr="007A7C36">
        <w:trPr>
          <w:trHeight w:val="183"/>
        </w:trPr>
        <w:tc>
          <w:tcPr>
            <w:tcW w:w="1896" w:type="dxa"/>
            <w:tcBorders>
              <w:top w:val="nil"/>
              <w:left w:val="nil"/>
              <w:bottom w:val="nil"/>
              <w:right w:val="nil"/>
            </w:tcBorders>
          </w:tcPr>
          <w:p w:rsidR="007A7C36" w:rsidRPr="00A40DDE" w:rsidRDefault="007A7C36" w:rsidP="00E702B6">
            <w:pPr>
              <w:tabs>
                <w:tab w:val="center" w:pos="869"/>
                <w:tab w:val="center" w:pos="1479"/>
              </w:tabs>
              <w:spacing w:after="0" w:line="259" w:lineRule="auto"/>
              <w:ind w:right="0" w:firstLine="0"/>
              <w:jc w:val="left"/>
              <w:rPr>
                <w:sz w:val="28"/>
                <w:szCs w:val="32"/>
              </w:rPr>
            </w:pPr>
            <w:r w:rsidRPr="00A40DDE">
              <w:rPr>
                <w:rFonts w:ascii="Calibri" w:eastAsia="Calibri" w:hAnsi="Calibri" w:cs="Calibri"/>
                <w:sz w:val="18"/>
                <w:szCs w:val="32"/>
              </w:rPr>
              <w:t>Liquid</w:t>
            </w:r>
            <w:r w:rsidRPr="00A40DDE">
              <w:rPr>
                <w:rFonts w:ascii="Calibri" w:eastAsia="Calibri" w:hAnsi="Calibri" w:cs="Calibri"/>
                <w:sz w:val="18"/>
                <w:szCs w:val="32"/>
              </w:rPr>
              <w:tab/>
              <w:t>−</w:t>
            </w:r>
            <w:r w:rsidRPr="00A40DDE">
              <w:rPr>
                <w:sz w:val="18"/>
                <w:szCs w:val="32"/>
              </w:rPr>
              <w:t>0.01</w:t>
            </w:r>
            <w:r w:rsidRPr="00A40DDE">
              <w:rPr>
                <w:sz w:val="18"/>
                <w:szCs w:val="32"/>
              </w:rPr>
              <w:tab/>
            </w:r>
            <w:r w:rsidRPr="00A40DDE">
              <w:rPr>
                <w:rFonts w:ascii="Calibri" w:eastAsia="Calibri" w:hAnsi="Calibri" w:cs="Calibri"/>
                <w:sz w:val="18"/>
                <w:szCs w:val="32"/>
              </w:rPr>
              <w:t>−</w:t>
            </w:r>
            <w:r w:rsidRPr="00A40DDE">
              <w:rPr>
                <w:sz w:val="18"/>
                <w:szCs w:val="32"/>
              </w:rPr>
              <w:t>0.16</w:t>
            </w:r>
          </w:p>
        </w:tc>
        <w:tc>
          <w:tcPr>
            <w:tcW w:w="694"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rFonts w:ascii="Calibri" w:eastAsia="Calibri" w:hAnsi="Calibri" w:cs="Calibri"/>
                <w:sz w:val="18"/>
                <w:szCs w:val="32"/>
              </w:rPr>
              <w:t>−</w:t>
            </w:r>
            <w:r w:rsidRPr="00A40DDE">
              <w:rPr>
                <w:sz w:val="18"/>
                <w:szCs w:val="32"/>
              </w:rPr>
              <w:t>0.13</w:t>
            </w:r>
          </w:p>
        </w:tc>
        <w:tc>
          <w:tcPr>
            <w:tcW w:w="618"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18"/>
                <w:szCs w:val="32"/>
              </w:rPr>
              <w:t>−</w:t>
            </w:r>
            <w:r w:rsidRPr="00A40DDE">
              <w:rPr>
                <w:sz w:val="18"/>
                <w:szCs w:val="32"/>
              </w:rPr>
              <w:t>0.13</w:t>
            </w:r>
          </w:p>
        </w:tc>
        <w:tc>
          <w:tcPr>
            <w:tcW w:w="653" w:type="dxa"/>
            <w:tcBorders>
              <w:top w:val="nil"/>
              <w:left w:val="nil"/>
              <w:bottom w:val="nil"/>
              <w:right w:val="nil"/>
            </w:tcBorders>
          </w:tcPr>
          <w:p w:rsidR="007A7C36" w:rsidRPr="00A40DDE" w:rsidRDefault="007A7C36" w:rsidP="00E702B6">
            <w:pPr>
              <w:spacing w:after="0" w:line="259" w:lineRule="auto"/>
              <w:ind w:left="70" w:right="0" w:firstLine="0"/>
              <w:jc w:val="left"/>
              <w:rPr>
                <w:sz w:val="28"/>
                <w:szCs w:val="32"/>
              </w:rPr>
            </w:pPr>
            <w:r w:rsidRPr="00A40DDE">
              <w:rPr>
                <w:sz w:val="18"/>
                <w:szCs w:val="32"/>
              </w:rPr>
              <w:t>0.20</w:t>
            </w:r>
          </w:p>
        </w:tc>
        <w:tc>
          <w:tcPr>
            <w:tcW w:w="542" w:type="dxa"/>
            <w:tcBorders>
              <w:top w:val="nil"/>
              <w:left w:val="nil"/>
              <w:bottom w:val="nil"/>
              <w:right w:val="nil"/>
            </w:tcBorders>
          </w:tcPr>
          <w:p w:rsidR="007A7C36" w:rsidRPr="00A40DDE" w:rsidRDefault="007A7C36" w:rsidP="00E702B6">
            <w:pPr>
              <w:spacing w:after="0" w:line="259" w:lineRule="auto"/>
              <w:ind w:left="1" w:right="0" w:firstLine="0"/>
              <w:jc w:val="left"/>
              <w:rPr>
                <w:sz w:val="28"/>
                <w:szCs w:val="32"/>
              </w:rPr>
            </w:pPr>
            <w:r w:rsidRPr="00A40DDE">
              <w:rPr>
                <w:rFonts w:ascii="Calibri" w:eastAsia="Calibri" w:hAnsi="Calibri" w:cs="Calibri"/>
                <w:sz w:val="18"/>
                <w:szCs w:val="32"/>
              </w:rPr>
              <w:t>−</w:t>
            </w:r>
            <w:r w:rsidRPr="00A40DDE">
              <w:rPr>
                <w:sz w:val="18"/>
                <w:szCs w:val="32"/>
              </w:rPr>
              <w:t>0.04</w:t>
            </w:r>
          </w:p>
        </w:tc>
        <w:tc>
          <w:tcPr>
            <w:tcW w:w="540" w:type="dxa"/>
            <w:tcBorders>
              <w:top w:val="nil"/>
              <w:left w:val="nil"/>
              <w:bottom w:val="nil"/>
              <w:right w:val="nil"/>
            </w:tcBorders>
          </w:tcPr>
          <w:p w:rsidR="007A7C36" w:rsidRPr="00A40DDE" w:rsidRDefault="007A7C36" w:rsidP="00E702B6">
            <w:pPr>
              <w:spacing w:after="0" w:line="259" w:lineRule="auto"/>
              <w:ind w:left="69" w:right="0" w:firstLine="0"/>
              <w:jc w:val="left"/>
              <w:rPr>
                <w:sz w:val="28"/>
                <w:szCs w:val="32"/>
              </w:rPr>
            </w:pPr>
            <w:r w:rsidRPr="00A40DDE">
              <w:rPr>
                <w:sz w:val="18"/>
                <w:szCs w:val="32"/>
              </w:rPr>
              <w:t>0.03</w:t>
            </w:r>
          </w:p>
        </w:tc>
        <w:tc>
          <w:tcPr>
            <w:tcW w:w="541"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18"/>
                <w:szCs w:val="32"/>
              </w:rPr>
              <w:t>−</w:t>
            </w:r>
            <w:r w:rsidRPr="00A40DDE">
              <w:rPr>
                <w:sz w:val="18"/>
                <w:szCs w:val="32"/>
              </w:rPr>
              <w:t>0.33</w:t>
            </w:r>
          </w:p>
        </w:tc>
        <w:tc>
          <w:tcPr>
            <w:tcW w:w="610" w:type="dxa"/>
            <w:tcBorders>
              <w:top w:val="nil"/>
              <w:left w:val="nil"/>
              <w:bottom w:val="nil"/>
              <w:right w:val="nil"/>
            </w:tcBorders>
          </w:tcPr>
          <w:p w:rsidR="007A7C36" w:rsidRPr="00A40DDE" w:rsidRDefault="007A7C36" w:rsidP="00E702B6">
            <w:pPr>
              <w:spacing w:after="0" w:line="259" w:lineRule="auto"/>
              <w:ind w:right="0" w:firstLine="0"/>
              <w:jc w:val="left"/>
              <w:rPr>
                <w:sz w:val="18"/>
                <w:szCs w:val="32"/>
                <w:rtl/>
              </w:rPr>
            </w:pPr>
            <w:r w:rsidRPr="00A40DDE">
              <w:rPr>
                <w:rFonts w:ascii="Calibri" w:eastAsia="Calibri" w:hAnsi="Calibri" w:cs="Calibri"/>
                <w:sz w:val="18"/>
                <w:szCs w:val="32"/>
              </w:rPr>
              <w:t>−</w:t>
            </w:r>
            <w:r w:rsidRPr="00A40DDE">
              <w:rPr>
                <w:sz w:val="18"/>
                <w:szCs w:val="32"/>
              </w:rPr>
              <w:t>0.06</w:t>
            </w:r>
          </w:p>
          <w:p w:rsidR="007A7C36" w:rsidRPr="00A40DDE" w:rsidRDefault="007A7C36" w:rsidP="00E702B6">
            <w:pPr>
              <w:spacing w:after="0" w:line="259" w:lineRule="auto"/>
              <w:ind w:right="0" w:firstLine="0"/>
              <w:jc w:val="left"/>
              <w:rPr>
                <w:sz w:val="18"/>
                <w:szCs w:val="32"/>
                <w:rtl/>
              </w:rPr>
            </w:pPr>
          </w:p>
          <w:p w:rsidR="007A7C36" w:rsidRPr="00A40DDE" w:rsidRDefault="007A7C36" w:rsidP="00E702B6">
            <w:pPr>
              <w:spacing w:after="0" w:line="259" w:lineRule="auto"/>
              <w:ind w:right="0" w:firstLine="0"/>
              <w:jc w:val="left"/>
              <w:rPr>
                <w:sz w:val="18"/>
                <w:szCs w:val="32"/>
                <w:rtl/>
              </w:rPr>
            </w:pPr>
          </w:p>
          <w:p w:rsidR="007A7C36" w:rsidRPr="00A40DDE" w:rsidRDefault="007A7C36" w:rsidP="00E702B6">
            <w:pPr>
              <w:spacing w:after="0" w:line="259" w:lineRule="auto"/>
              <w:ind w:right="0" w:firstLine="0"/>
              <w:jc w:val="left"/>
              <w:rPr>
                <w:sz w:val="18"/>
                <w:szCs w:val="32"/>
              </w:rPr>
            </w:pPr>
          </w:p>
          <w:p w:rsidR="0039444A" w:rsidRPr="00A40DDE" w:rsidRDefault="0039444A" w:rsidP="00E702B6">
            <w:pPr>
              <w:spacing w:after="0" w:line="259" w:lineRule="auto"/>
              <w:ind w:right="0" w:firstLine="0"/>
              <w:jc w:val="left"/>
              <w:rPr>
                <w:sz w:val="18"/>
                <w:szCs w:val="32"/>
                <w:rtl/>
              </w:rPr>
            </w:pPr>
          </w:p>
          <w:p w:rsidR="007A7C36" w:rsidRPr="00A40DDE" w:rsidRDefault="007A7C36" w:rsidP="00E702B6">
            <w:pPr>
              <w:spacing w:after="0" w:line="259" w:lineRule="auto"/>
              <w:ind w:right="0" w:firstLine="0"/>
              <w:jc w:val="left"/>
              <w:rPr>
                <w:sz w:val="18"/>
                <w:szCs w:val="32"/>
                <w:rtl/>
              </w:rPr>
            </w:pPr>
          </w:p>
          <w:p w:rsidR="007A7C36" w:rsidRPr="00A40DDE" w:rsidRDefault="007A7C36" w:rsidP="00E702B6">
            <w:pPr>
              <w:spacing w:after="0" w:line="259" w:lineRule="auto"/>
              <w:ind w:right="0" w:firstLine="0"/>
              <w:jc w:val="left"/>
              <w:rPr>
                <w:sz w:val="28"/>
                <w:szCs w:val="32"/>
              </w:rPr>
            </w:pPr>
          </w:p>
        </w:tc>
        <w:tc>
          <w:tcPr>
            <w:tcW w:w="328"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r>
    </w:tbl>
    <w:p w:rsidR="007A7C36" w:rsidRPr="00A40DDE" w:rsidRDefault="007A7C36" w:rsidP="007A7C36">
      <w:pPr>
        <w:spacing w:after="0" w:line="259" w:lineRule="auto"/>
        <w:ind w:right="0" w:firstLine="0"/>
        <w:jc w:val="left"/>
        <w:rPr>
          <w:sz w:val="28"/>
          <w:szCs w:val="32"/>
        </w:rPr>
      </w:pPr>
      <w:r w:rsidRPr="00A40DDE">
        <w:rPr>
          <w:sz w:val="22"/>
          <w:szCs w:val="32"/>
        </w:rPr>
        <w:t xml:space="preserve">Table </w:t>
      </w:r>
      <w:r w:rsidRPr="00A40DDE">
        <w:rPr>
          <w:sz w:val="28"/>
          <w:szCs w:val="32"/>
        </w:rPr>
        <w:fldChar w:fldCharType="begin"/>
      </w:r>
      <w:r w:rsidRPr="00A40DDE">
        <w:rPr>
          <w:sz w:val="28"/>
          <w:szCs w:val="32"/>
        </w:rPr>
        <w:instrText xml:space="preserve"> PAGE   \* MERGEFORMAT </w:instrText>
      </w:r>
      <w:r w:rsidRPr="00A40DDE">
        <w:rPr>
          <w:sz w:val="28"/>
          <w:szCs w:val="32"/>
        </w:rPr>
        <w:fldChar w:fldCharType="separate"/>
      </w:r>
      <w:r w:rsidR="00EF6BD9" w:rsidRPr="00EF6BD9">
        <w:rPr>
          <w:noProof/>
          <w:sz w:val="22"/>
          <w:szCs w:val="32"/>
        </w:rPr>
        <w:t>19</w:t>
      </w:r>
      <w:r w:rsidRPr="00A40DDE">
        <w:rPr>
          <w:sz w:val="22"/>
          <w:szCs w:val="32"/>
        </w:rPr>
        <w:fldChar w:fldCharType="end"/>
      </w:r>
    </w:p>
    <w:p w:rsidR="007A7C36" w:rsidRPr="00A40DDE" w:rsidRDefault="007A7C36" w:rsidP="007A7C36">
      <w:pPr>
        <w:spacing w:after="139" w:line="259" w:lineRule="auto"/>
        <w:ind w:right="0" w:firstLine="0"/>
        <w:jc w:val="left"/>
        <w:rPr>
          <w:sz w:val="28"/>
          <w:szCs w:val="32"/>
        </w:rPr>
      </w:pPr>
      <w:r w:rsidRPr="00A40DDE">
        <w:rPr>
          <w:rFonts w:ascii="Calibri" w:eastAsia="Calibri" w:hAnsi="Calibri" w:cs="Calibri"/>
          <w:noProof/>
          <w:color w:val="000000"/>
          <w:sz w:val="32"/>
          <w:szCs w:val="32"/>
        </w:rPr>
        <mc:AlternateContent>
          <mc:Choice Requires="wpg">
            <w:drawing>
              <wp:inline distT="0" distB="0" distL="0" distR="0" wp14:anchorId="7AD2265F" wp14:editId="6B1713B4">
                <wp:extent cx="4284002" cy="6480"/>
                <wp:effectExtent l="0" t="0" r="0" b="0"/>
                <wp:docPr id="54459" name="Group 54459"/>
                <wp:cNvGraphicFramePr/>
                <a:graphic xmlns:a="http://schemas.openxmlformats.org/drawingml/2006/main">
                  <a:graphicData uri="http://schemas.microsoft.com/office/word/2010/wordprocessingGroup">
                    <wpg:wgp>
                      <wpg:cNvGrpSpPr/>
                      <wpg:grpSpPr>
                        <a:xfrm>
                          <a:off x="0" y="0"/>
                          <a:ext cx="4284002" cy="6480"/>
                          <a:chOff x="0" y="0"/>
                          <a:chExt cx="4284002" cy="6480"/>
                        </a:xfrm>
                      </wpg:grpSpPr>
                      <wps:wsp>
                        <wps:cNvPr id="69654" name="Shape 69654"/>
                        <wps:cNvSpPr/>
                        <wps:spPr>
                          <a:xfrm>
                            <a:off x="0" y="0"/>
                            <a:ext cx="4284002" cy="9144"/>
                          </a:xfrm>
                          <a:custGeom>
                            <a:avLst/>
                            <a:gdLst/>
                            <a:ahLst/>
                            <a:cxnLst/>
                            <a:rect l="0" t="0" r="0" b="0"/>
                            <a:pathLst>
                              <a:path w="4284002" h="9144">
                                <a:moveTo>
                                  <a:pt x="0" y="0"/>
                                </a:moveTo>
                                <a:lnTo>
                                  <a:pt x="4284002" y="0"/>
                                </a:lnTo>
                                <a:lnTo>
                                  <a:pt x="4284002" y="9144"/>
                                </a:lnTo>
                                <a:lnTo>
                                  <a:pt x="0" y="9144"/>
                                </a:lnTo>
                                <a:lnTo>
                                  <a:pt x="0" y="0"/>
                                </a:lnTo>
                              </a:path>
                            </a:pathLst>
                          </a:custGeom>
                          <a:ln w="0" cap="rnd">
                            <a:round/>
                          </a:ln>
                        </wps:spPr>
                        <wps:style>
                          <a:lnRef idx="1">
                            <a:srgbClr val="131313"/>
                          </a:lnRef>
                          <a:fillRef idx="1">
                            <a:srgbClr val="131313"/>
                          </a:fillRef>
                          <a:effectRef idx="0">
                            <a:scrgbClr r="0" g="0" b="0"/>
                          </a:effectRef>
                          <a:fontRef idx="none"/>
                        </wps:style>
                        <wps:bodyPr/>
                      </wps:wsp>
                    </wpg:wgp>
                  </a:graphicData>
                </a:graphic>
              </wp:inline>
            </w:drawing>
          </mc:Choice>
          <mc:Fallback>
            <w:pict>
              <v:group w14:anchorId="4BAE63F0" id="Group 54459" o:spid="_x0000_s1026" style="width:337.3pt;height:.5pt;mso-position-horizontal-relative:char;mso-position-vertical-relative:line" coordsize="428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">
                <v:shape id="Shape 69654" o:spid="_x0000_s1027" style="position:absolute;width:42840;height:91;visibility:visible;mso-wrap-style:square;v-text-anchor:top" coordsize="42840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" path="m,l4284002,r,9144l,9144,,e" fillcolor="#131313" strokecolor="#131313" strokeweight="0">
                  <v:stroke endcap="round"/>
                  <v:path arrowok="t" textboxrect="0,0,4284002,9144"/>
                </v:shape>
                <w10:anchorlock/>
              </v:group>
            </w:pict>
          </mc:Fallback>
        </mc:AlternateContent>
      </w:r>
    </w:p>
    <w:p w:rsidR="007A7C36" w:rsidRPr="00A40DDE" w:rsidRDefault="007A7C36" w:rsidP="007A7C36">
      <w:pPr>
        <w:spacing w:after="48" w:line="262" w:lineRule="auto"/>
        <w:ind w:left="-15" w:right="0" w:firstLine="0"/>
        <w:rPr>
          <w:sz w:val="28"/>
          <w:szCs w:val="32"/>
        </w:rPr>
      </w:pPr>
      <w:r w:rsidRPr="00A40DDE">
        <w:rPr>
          <w:rFonts w:ascii="Calibri" w:eastAsia="Calibri" w:hAnsi="Calibri" w:cs="Calibri"/>
          <w:sz w:val="22"/>
          <w:szCs w:val="32"/>
        </w:rPr>
        <w:lastRenderedPageBreak/>
        <w:t xml:space="preserve">RGL </w:t>
      </w:r>
      <w:r w:rsidRPr="00A40DDE">
        <w:rPr>
          <w:sz w:val="22"/>
          <w:szCs w:val="32"/>
        </w:rPr>
        <w:t xml:space="preserve">is realized gains and losses on available for sale (AFS) securities, deflated by beginning-of-quarter total assets. </w:t>
      </w:r>
      <w:r w:rsidRPr="00A40DDE">
        <w:rPr>
          <w:rFonts w:ascii="Calibri" w:eastAsia="Calibri" w:hAnsi="Calibri" w:cs="Calibri"/>
          <w:sz w:val="22"/>
          <w:szCs w:val="32"/>
        </w:rPr>
        <w:t xml:space="preserve">NI </w:t>
      </w:r>
      <w:r w:rsidRPr="00A40DDE">
        <w:rPr>
          <w:sz w:val="22"/>
          <w:szCs w:val="32"/>
        </w:rPr>
        <w:t xml:space="preserve">is net income before taxes and </w:t>
      </w:r>
      <w:r w:rsidRPr="00A40DDE">
        <w:rPr>
          <w:rFonts w:ascii="Calibri" w:eastAsia="Calibri" w:hAnsi="Calibri" w:cs="Calibri"/>
          <w:sz w:val="22"/>
          <w:szCs w:val="32"/>
        </w:rPr>
        <w:t>RGL</w:t>
      </w:r>
      <w:r w:rsidRPr="00A40DDE">
        <w:rPr>
          <w:sz w:val="22"/>
          <w:szCs w:val="32"/>
        </w:rPr>
        <w:t xml:space="preserve">, deflated by beginning-of-quarter total assets. </w:t>
      </w:r>
      <w:proofErr w:type="spellStart"/>
      <w:r w:rsidRPr="00A40DDE">
        <w:rPr>
          <w:rFonts w:ascii="Calibri" w:eastAsia="Calibri" w:hAnsi="Calibri" w:cs="Calibri"/>
          <w:sz w:val="22"/>
          <w:szCs w:val="32"/>
        </w:rPr>
        <w:t>NIneg</w:t>
      </w:r>
      <w:proofErr w:type="spellEnd"/>
      <w:r w:rsidRPr="00A40DDE">
        <w:rPr>
          <w:rFonts w:ascii="Calibri" w:eastAsia="Calibri" w:hAnsi="Calibri" w:cs="Calibri"/>
          <w:sz w:val="22"/>
          <w:szCs w:val="32"/>
        </w:rPr>
        <w:t xml:space="preserve"> </w:t>
      </w:r>
      <w:r w:rsidRPr="00A40DDE">
        <w:rPr>
          <w:sz w:val="22"/>
          <w:szCs w:val="32"/>
        </w:rPr>
        <w:t>(</w:t>
      </w:r>
      <w:proofErr w:type="spellStart"/>
      <w:r w:rsidRPr="00A40DDE">
        <w:rPr>
          <w:rFonts w:ascii="Calibri" w:eastAsia="Calibri" w:hAnsi="Calibri" w:cs="Calibri"/>
          <w:sz w:val="22"/>
          <w:szCs w:val="32"/>
        </w:rPr>
        <w:t>NIpos</w:t>
      </w:r>
      <w:proofErr w:type="spellEnd"/>
      <w:r w:rsidRPr="00A40DDE">
        <w:rPr>
          <w:sz w:val="22"/>
          <w:szCs w:val="32"/>
        </w:rPr>
        <w:t xml:space="preserve">) is </w:t>
      </w:r>
      <w:r w:rsidRPr="00A40DDE">
        <w:rPr>
          <w:rFonts w:ascii="Calibri" w:eastAsia="Calibri" w:hAnsi="Calibri" w:cs="Calibri"/>
          <w:sz w:val="22"/>
          <w:szCs w:val="32"/>
        </w:rPr>
        <w:t xml:space="preserve">NI </w:t>
      </w:r>
      <w:r w:rsidRPr="00A40DDE">
        <w:rPr>
          <w:sz w:val="22"/>
          <w:szCs w:val="32"/>
        </w:rPr>
        <w:t xml:space="preserve">when </w:t>
      </w:r>
      <w:r w:rsidRPr="00A40DDE">
        <w:rPr>
          <w:rFonts w:ascii="Calibri" w:eastAsia="Calibri" w:hAnsi="Calibri" w:cs="Calibri"/>
          <w:sz w:val="22"/>
          <w:szCs w:val="32"/>
        </w:rPr>
        <w:t xml:space="preserve">NI </w:t>
      </w:r>
      <w:r w:rsidRPr="00A40DDE">
        <w:rPr>
          <w:sz w:val="22"/>
          <w:szCs w:val="32"/>
        </w:rPr>
        <w:t xml:space="preserve">is less than (greater </w:t>
      </w:r>
      <w:proofErr w:type="spellStart"/>
      <w:r w:rsidRPr="00A40DDE">
        <w:rPr>
          <w:sz w:val="22"/>
          <w:szCs w:val="32"/>
        </w:rPr>
        <w:t>that</w:t>
      </w:r>
      <w:proofErr w:type="spellEnd"/>
      <w:r w:rsidRPr="00A40DDE">
        <w:rPr>
          <w:sz w:val="22"/>
          <w:szCs w:val="32"/>
        </w:rPr>
        <w:t xml:space="preserve"> or equal to) zero, and zero otherwise. </w:t>
      </w:r>
      <w:proofErr w:type="spellStart"/>
      <w:r w:rsidRPr="00A40DDE">
        <w:rPr>
          <w:rFonts w:ascii="Calibri" w:eastAsia="Calibri" w:hAnsi="Calibri" w:cs="Calibri"/>
          <w:sz w:val="22"/>
          <w:szCs w:val="32"/>
        </w:rPr>
        <w:t>RegCap</w:t>
      </w:r>
      <w:proofErr w:type="spellEnd"/>
      <w:r w:rsidRPr="00A40DDE">
        <w:rPr>
          <w:rFonts w:ascii="Calibri" w:eastAsia="Calibri" w:hAnsi="Calibri" w:cs="Calibri"/>
          <w:sz w:val="22"/>
          <w:szCs w:val="32"/>
        </w:rPr>
        <w:t xml:space="preserve"> </w:t>
      </w:r>
      <w:r w:rsidRPr="00A40DDE">
        <w:rPr>
          <w:sz w:val="22"/>
          <w:szCs w:val="32"/>
        </w:rPr>
        <w:t>is the bank</w:t>
      </w:r>
      <w:r w:rsidRPr="00A40DDE">
        <w:rPr>
          <w:rFonts w:ascii="Calibri" w:eastAsia="Calibri" w:hAnsi="Calibri" w:cs="Calibri"/>
          <w:sz w:val="22"/>
          <w:szCs w:val="32"/>
        </w:rPr>
        <w:t>’</w:t>
      </w:r>
      <w:r w:rsidRPr="00A40DDE">
        <w:rPr>
          <w:sz w:val="22"/>
          <w:szCs w:val="32"/>
        </w:rPr>
        <w:t xml:space="preserve">s regulatory capital ratio, which is allowable Tier 1 plus allowable Tier 2 regulatory capital before </w:t>
      </w:r>
      <w:r w:rsidRPr="00A40DDE">
        <w:rPr>
          <w:rFonts w:ascii="Calibri" w:eastAsia="Calibri" w:hAnsi="Calibri" w:cs="Calibri"/>
          <w:sz w:val="22"/>
          <w:szCs w:val="32"/>
        </w:rPr>
        <w:t xml:space="preserve">RGL </w:t>
      </w:r>
      <w:r w:rsidRPr="00A40DDE">
        <w:rPr>
          <w:sz w:val="22"/>
          <w:szCs w:val="32"/>
        </w:rPr>
        <w:t xml:space="preserve">and after taxes, deflated by risk-weighted assets. </w:t>
      </w:r>
      <w:r w:rsidRPr="00A40DDE">
        <w:rPr>
          <w:rFonts w:ascii="Calibri" w:eastAsia="Calibri" w:hAnsi="Calibri" w:cs="Calibri"/>
          <w:sz w:val="22"/>
          <w:szCs w:val="32"/>
        </w:rPr>
        <w:t xml:space="preserve">UG </w:t>
      </w:r>
      <w:r w:rsidRPr="00A40DDE">
        <w:rPr>
          <w:sz w:val="22"/>
          <w:szCs w:val="32"/>
        </w:rPr>
        <w:t>(</w:t>
      </w:r>
      <w:r w:rsidRPr="00A40DDE">
        <w:rPr>
          <w:rFonts w:ascii="Calibri" w:eastAsia="Calibri" w:hAnsi="Calibri" w:cs="Calibri"/>
          <w:sz w:val="22"/>
          <w:szCs w:val="32"/>
        </w:rPr>
        <w:t>UL</w:t>
      </w:r>
      <w:r w:rsidRPr="00A40DDE">
        <w:rPr>
          <w:sz w:val="22"/>
          <w:szCs w:val="32"/>
        </w:rPr>
        <w:t xml:space="preserve">) is accumulated unrealized AFS securities gains (losses), deflated by beginning-of-quarter total assets. </w:t>
      </w:r>
      <w:r w:rsidRPr="00A40DDE">
        <w:rPr>
          <w:rFonts w:ascii="Calibri" w:eastAsia="Calibri" w:hAnsi="Calibri" w:cs="Calibri"/>
          <w:sz w:val="22"/>
          <w:szCs w:val="32"/>
        </w:rPr>
        <w:t xml:space="preserve">Size </w:t>
      </w:r>
      <w:r w:rsidRPr="00A40DDE">
        <w:rPr>
          <w:sz w:val="22"/>
          <w:szCs w:val="32"/>
        </w:rPr>
        <w:t xml:space="preserve">is the natural logarithm of beginning-of-quarter total assets. </w:t>
      </w:r>
      <w:r w:rsidRPr="00A40DDE">
        <w:rPr>
          <w:rFonts w:ascii="Calibri" w:eastAsia="Calibri" w:hAnsi="Calibri" w:cs="Calibri"/>
          <w:sz w:val="22"/>
          <w:szCs w:val="32"/>
        </w:rPr>
        <w:t xml:space="preserve">Sec </w:t>
      </w:r>
      <w:r w:rsidRPr="00A40DDE">
        <w:rPr>
          <w:sz w:val="22"/>
          <w:szCs w:val="32"/>
        </w:rPr>
        <w:t xml:space="preserve">is the sum of held-to-maturity, available-for-sale, and trading securities. </w:t>
      </w:r>
      <w:r w:rsidRPr="00A40DDE">
        <w:rPr>
          <w:rFonts w:ascii="Calibri" w:eastAsia="Calibri" w:hAnsi="Calibri" w:cs="Calibri"/>
          <w:sz w:val="22"/>
          <w:szCs w:val="32"/>
        </w:rPr>
        <w:t xml:space="preserve">Liquid </w:t>
      </w:r>
      <w:r w:rsidRPr="00A40DDE">
        <w:rPr>
          <w:sz w:val="22"/>
          <w:szCs w:val="32"/>
        </w:rPr>
        <w:t xml:space="preserve">is total liquid assets, deflated by beginning-of-quarter total assets. </w:t>
      </w:r>
      <w:r w:rsidRPr="00A40DDE">
        <w:rPr>
          <w:rFonts w:ascii="Calibri" w:eastAsia="Calibri" w:hAnsi="Calibri" w:cs="Calibri"/>
          <w:sz w:val="22"/>
          <w:szCs w:val="32"/>
        </w:rPr>
        <w:t xml:space="preserve">VIX </w:t>
      </w:r>
      <w:r w:rsidRPr="00A40DDE">
        <w:rPr>
          <w:sz w:val="22"/>
          <w:szCs w:val="32"/>
        </w:rPr>
        <w:t xml:space="preserve">is implied volatility of options on the S&amp;P 500 Index. </w:t>
      </w:r>
      <w:proofErr w:type="spellStart"/>
      <w:r w:rsidRPr="00A40DDE">
        <w:rPr>
          <w:rFonts w:ascii="Calibri" w:eastAsia="Calibri" w:hAnsi="Calibri" w:cs="Calibri"/>
          <w:sz w:val="22"/>
          <w:szCs w:val="32"/>
        </w:rPr>
        <w:t>Unemp</w:t>
      </w:r>
      <w:proofErr w:type="spellEnd"/>
      <w:r w:rsidRPr="00A40DDE">
        <w:rPr>
          <w:rFonts w:ascii="Calibri" w:eastAsia="Calibri" w:hAnsi="Calibri" w:cs="Calibri"/>
          <w:sz w:val="22"/>
          <w:szCs w:val="32"/>
        </w:rPr>
        <w:t xml:space="preserve"> </w:t>
      </w:r>
      <w:r w:rsidRPr="00A40DDE">
        <w:rPr>
          <w:sz w:val="22"/>
          <w:szCs w:val="32"/>
        </w:rPr>
        <w:t xml:space="preserve">is the </w:t>
      </w:r>
      <w:proofErr w:type="spellStart"/>
      <w:r w:rsidRPr="00A40DDE">
        <w:rPr>
          <w:sz w:val="22"/>
          <w:szCs w:val="32"/>
        </w:rPr>
        <w:t>oneyear</w:t>
      </w:r>
      <w:proofErr w:type="spellEnd"/>
      <w:r w:rsidRPr="00A40DDE">
        <w:rPr>
          <w:sz w:val="22"/>
          <w:szCs w:val="32"/>
        </w:rPr>
        <w:t xml:space="preserve">-ahead consensus forecast of the US unemployment rate. </w:t>
      </w:r>
      <w:r w:rsidRPr="00A40DDE">
        <w:rPr>
          <w:rFonts w:ascii="Calibri" w:eastAsia="Calibri" w:hAnsi="Calibri" w:cs="Calibri"/>
          <w:sz w:val="22"/>
          <w:szCs w:val="32"/>
        </w:rPr>
        <w:t xml:space="preserve">LIBOR </w:t>
      </w:r>
      <w:r w:rsidRPr="00A40DDE">
        <w:rPr>
          <w:sz w:val="22"/>
          <w:szCs w:val="32"/>
        </w:rPr>
        <w:t>is the difference between the London Interbank Offer Rate and overnight indexed swap rates.</w:t>
      </w:r>
    </w:p>
    <w:p w:rsidR="007A7C36" w:rsidRPr="00A40DDE" w:rsidRDefault="007A7C36" w:rsidP="007A7C36">
      <w:pPr>
        <w:spacing w:after="69" w:line="262" w:lineRule="auto"/>
        <w:ind w:left="-15" w:right="0" w:firstLine="0"/>
        <w:rPr>
          <w:sz w:val="28"/>
          <w:szCs w:val="32"/>
        </w:rPr>
      </w:pPr>
      <w:r w:rsidRPr="00A40DDE">
        <w:rPr>
          <w:sz w:val="22"/>
          <w:szCs w:val="32"/>
        </w:rPr>
        <w:t>Sample comprises 136,879 bank-quarter observations for 6300 banks, over the period from Q1 1996 to Q4 2007 and from Q3 2009 to Q4 2011.</w:t>
      </w:r>
    </w:p>
    <w:p w:rsidR="007A7C36" w:rsidRPr="00A40DDE" w:rsidRDefault="007A7C36" w:rsidP="007A7C36">
      <w:pPr>
        <w:spacing w:after="51" w:line="262" w:lineRule="auto"/>
        <w:ind w:left="-15" w:right="0" w:firstLine="0"/>
        <w:rPr>
          <w:sz w:val="28"/>
          <w:szCs w:val="32"/>
        </w:rPr>
      </w:pPr>
      <w:r w:rsidRPr="00A40DDE">
        <w:rPr>
          <w:sz w:val="22"/>
          <w:szCs w:val="32"/>
        </w:rPr>
        <w:t xml:space="preserve">In panel A, all distributional statistics, except for </w:t>
      </w:r>
      <w:proofErr w:type="spellStart"/>
      <w:r w:rsidRPr="00A40DDE">
        <w:rPr>
          <w:rFonts w:ascii="Calibri" w:eastAsia="Calibri" w:hAnsi="Calibri" w:cs="Calibri"/>
          <w:sz w:val="22"/>
          <w:szCs w:val="32"/>
        </w:rPr>
        <w:t>RegCap</w:t>
      </w:r>
      <w:proofErr w:type="spellEnd"/>
      <w:r w:rsidRPr="00A40DDE">
        <w:rPr>
          <w:sz w:val="22"/>
          <w:szCs w:val="32"/>
        </w:rPr>
        <w:t xml:space="preserve">, </w:t>
      </w:r>
      <w:r w:rsidRPr="00A40DDE">
        <w:rPr>
          <w:rFonts w:ascii="Calibri" w:eastAsia="Calibri" w:hAnsi="Calibri" w:cs="Calibri"/>
          <w:sz w:val="22"/>
          <w:szCs w:val="32"/>
        </w:rPr>
        <w:t>Size</w:t>
      </w:r>
      <w:r w:rsidRPr="00A40DDE">
        <w:rPr>
          <w:sz w:val="22"/>
          <w:szCs w:val="32"/>
        </w:rPr>
        <w:t xml:space="preserve">, </w:t>
      </w:r>
      <w:r w:rsidRPr="00A40DDE">
        <w:rPr>
          <w:rFonts w:ascii="Calibri" w:eastAsia="Calibri" w:hAnsi="Calibri" w:cs="Calibri"/>
          <w:sz w:val="22"/>
          <w:szCs w:val="32"/>
        </w:rPr>
        <w:t>VIX</w:t>
      </w:r>
      <w:r w:rsidRPr="00A40DDE">
        <w:rPr>
          <w:sz w:val="22"/>
          <w:szCs w:val="32"/>
        </w:rPr>
        <w:t xml:space="preserve">, </w:t>
      </w:r>
      <w:proofErr w:type="spellStart"/>
      <w:proofErr w:type="gramStart"/>
      <w:r w:rsidRPr="00A40DDE">
        <w:rPr>
          <w:rFonts w:ascii="Calibri" w:eastAsia="Calibri" w:hAnsi="Calibri" w:cs="Calibri"/>
          <w:sz w:val="22"/>
          <w:szCs w:val="32"/>
        </w:rPr>
        <w:t>Unemp</w:t>
      </w:r>
      <w:proofErr w:type="spellEnd"/>
      <w:r w:rsidRPr="00A40DDE">
        <w:rPr>
          <w:sz w:val="22"/>
          <w:szCs w:val="32"/>
        </w:rPr>
        <w:t xml:space="preserve">, and </w:t>
      </w:r>
      <w:r w:rsidRPr="00A40DDE">
        <w:rPr>
          <w:rFonts w:ascii="Calibri" w:eastAsia="Calibri" w:hAnsi="Calibri" w:cs="Calibri"/>
          <w:sz w:val="22"/>
          <w:szCs w:val="32"/>
        </w:rPr>
        <w:t>LIBOR</w:t>
      </w:r>
      <w:r w:rsidRPr="00A40DDE">
        <w:rPr>
          <w:sz w:val="22"/>
          <w:szCs w:val="32"/>
        </w:rPr>
        <w:t>, are multiplied by 100 for expositional convenience</w:t>
      </w:r>
      <w:proofErr w:type="gramEnd"/>
      <w:r w:rsidRPr="00A40DDE">
        <w:rPr>
          <w:sz w:val="22"/>
          <w:szCs w:val="32"/>
        </w:rPr>
        <w:t>.</w:t>
      </w:r>
    </w:p>
    <w:p w:rsidR="007A7C36" w:rsidRPr="00A40DDE" w:rsidRDefault="007A7C36" w:rsidP="007A7C36">
      <w:pPr>
        <w:spacing w:line="262" w:lineRule="auto"/>
        <w:ind w:left="-15" w:right="0" w:firstLine="0"/>
        <w:rPr>
          <w:sz w:val="28"/>
          <w:szCs w:val="32"/>
        </w:rPr>
      </w:pPr>
      <w:r w:rsidRPr="00A40DDE">
        <w:rPr>
          <w:sz w:val="22"/>
          <w:szCs w:val="32"/>
        </w:rPr>
        <w:t xml:space="preserve">In panel B, Spearman (Pearson) correlation coefficients </w:t>
      </w:r>
      <w:proofErr w:type="gramStart"/>
      <w:r w:rsidRPr="00A40DDE">
        <w:rPr>
          <w:sz w:val="22"/>
          <w:szCs w:val="32"/>
        </w:rPr>
        <w:t>are shown</w:t>
      </w:r>
      <w:proofErr w:type="gramEnd"/>
      <w:r w:rsidRPr="00A40DDE">
        <w:rPr>
          <w:sz w:val="22"/>
          <w:szCs w:val="32"/>
        </w:rPr>
        <w:t xml:space="preserve"> above (below) the diagonal. Panel B excludes </w:t>
      </w:r>
      <w:r w:rsidRPr="00A40DDE">
        <w:rPr>
          <w:rFonts w:ascii="Calibri" w:eastAsia="Calibri" w:hAnsi="Calibri" w:cs="Calibri"/>
          <w:sz w:val="22"/>
          <w:szCs w:val="32"/>
        </w:rPr>
        <w:t>VIX</w:t>
      </w:r>
      <w:r w:rsidRPr="00A40DDE">
        <w:rPr>
          <w:sz w:val="22"/>
          <w:szCs w:val="32"/>
        </w:rPr>
        <w:t xml:space="preserve">, </w:t>
      </w:r>
      <w:proofErr w:type="spellStart"/>
      <w:r w:rsidRPr="00A40DDE">
        <w:rPr>
          <w:rFonts w:ascii="Calibri" w:eastAsia="Calibri" w:hAnsi="Calibri" w:cs="Calibri"/>
          <w:sz w:val="22"/>
          <w:szCs w:val="32"/>
        </w:rPr>
        <w:t>Unemp</w:t>
      </w:r>
      <w:proofErr w:type="spellEnd"/>
      <w:r w:rsidRPr="00A40DDE">
        <w:rPr>
          <w:sz w:val="22"/>
          <w:szCs w:val="32"/>
        </w:rPr>
        <w:t xml:space="preserve">, and </w:t>
      </w:r>
      <w:r w:rsidRPr="00A40DDE">
        <w:rPr>
          <w:rFonts w:ascii="Calibri" w:eastAsia="Calibri" w:hAnsi="Calibri" w:cs="Calibri"/>
          <w:sz w:val="22"/>
          <w:szCs w:val="32"/>
        </w:rPr>
        <w:t xml:space="preserve">LIBOR </w:t>
      </w:r>
      <w:r w:rsidRPr="00A40DDE">
        <w:rPr>
          <w:sz w:val="22"/>
          <w:szCs w:val="32"/>
        </w:rPr>
        <w:t xml:space="preserve">because they are year-specific variables. All correlations are significant at the 0.01 level except when marked with </w:t>
      </w:r>
      <w:r w:rsidRPr="00A40DDE">
        <w:rPr>
          <w:rFonts w:ascii="Calibri" w:eastAsia="Calibri" w:hAnsi="Calibri" w:cs="Calibri"/>
          <w:sz w:val="22"/>
          <w:szCs w:val="32"/>
          <w:vertAlign w:val="superscript"/>
        </w:rPr>
        <w:t>ϯ</w:t>
      </w:r>
      <w:r w:rsidRPr="00A40DDE">
        <w:rPr>
          <w:sz w:val="22"/>
          <w:szCs w:val="32"/>
        </w:rPr>
        <w:t>.</w:t>
      </w:r>
    </w:p>
    <w:p w:rsidR="007A7C36" w:rsidRPr="00A40DDE" w:rsidRDefault="007A7C36" w:rsidP="007A7C36">
      <w:pPr>
        <w:spacing w:line="262" w:lineRule="auto"/>
        <w:ind w:left="-15" w:right="0" w:firstLine="592"/>
        <w:rPr>
          <w:sz w:val="28"/>
          <w:szCs w:val="32"/>
        </w:rPr>
      </w:pPr>
      <w:r w:rsidRPr="00A40DDE">
        <w:rPr>
          <w:sz w:val="22"/>
          <w:szCs w:val="32"/>
        </w:rPr>
        <w:t xml:space="preserve">Summary statistics from regressions of realized AFS securities gains and losses, </w:t>
      </w:r>
      <w:r w:rsidRPr="00A40DDE">
        <w:rPr>
          <w:rFonts w:ascii="Calibri" w:eastAsia="Calibri" w:hAnsi="Calibri" w:cs="Calibri"/>
          <w:sz w:val="22"/>
          <w:szCs w:val="32"/>
        </w:rPr>
        <w:t>RGL</w:t>
      </w:r>
      <w:r w:rsidRPr="00A40DDE">
        <w:rPr>
          <w:sz w:val="22"/>
          <w:szCs w:val="32"/>
        </w:rPr>
        <w:t>, on proxies for incentives to manage reported earnings and regulatory capital</w:t>
      </w:r>
    </w:p>
    <w:tbl>
      <w:tblPr>
        <w:tblStyle w:val="TableGrid"/>
        <w:tblW w:w="6746" w:type="dxa"/>
        <w:tblInd w:w="0" w:type="dxa"/>
        <w:tblCellMar>
          <w:top w:w="41" w:type="dxa"/>
          <w:bottom w:w="26" w:type="dxa"/>
        </w:tblCellMar>
        <w:tblLook w:val="04A0" w:firstRow="1" w:lastRow="0" w:firstColumn="1" w:lastColumn="0" w:noHBand="0" w:noVBand="1"/>
      </w:tblPr>
      <w:tblGrid>
        <w:gridCol w:w="1837"/>
        <w:gridCol w:w="1186"/>
        <w:gridCol w:w="1176"/>
        <w:gridCol w:w="876"/>
        <w:gridCol w:w="1176"/>
        <w:gridCol w:w="495"/>
      </w:tblGrid>
      <w:tr w:rsidR="007A7C36" w:rsidRPr="00A40DDE" w:rsidTr="00E702B6">
        <w:trPr>
          <w:trHeight w:val="343"/>
        </w:trPr>
        <w:tc>
          <w:tcPr>
            <w:tcW w:w="1862" w:type="dxa"/>
            <w:tcBorders>
              <w:top w:val="single" w:sz="4" w:space="0" w:color="131313"/>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1206" w:type="dxa"/>
            <w:tcBorders>
              <w:top w:val="single" w:sz="4" w:space="0" w:color="131313"/>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1201" w:type="dxa"/>
            <w:tcBorders>
              <w:top w:val="single" w:sz="4" w:space="0" w:color="131313"/>
              <w:left w:val="nil"/>
              <w:bottom w:val="nil"/>
              <w:right w:val="nil"/>
            </w:tcBorders>
          </w:tcPr>
          <w:p w:rsidR="007A7C36" w:rsidRPr="00A40DDE" w:rsidRDefault="007A7C36" w:rsidP="00E702B6">
            <w:pPr>
              <w:spacing w:after="0" w:line="259" w:lineRule="auto"/>
              <w:ind w:left="79" w:right="0" w:firstLine="0"/>
              <w:jc w:val="left"/>
              <w:rPr>
                <w:sz w:val="28"/>
                <w:szCs w:val="32"/>
              </w:rPr>
            </w:pPr>
            <w:r w:rsidRPr="00A40DDE">
              <w:rPr>
                <w:sz w:val="22"/>
                <w:szCs w:val="32"/>
              </w:rPr>
              <w:t>Model I</w:t>
            </w:r>
          </w:p>
        </w:tc>
        <w:tc>
          <w:tcPr>
            <w:tcW w:w="903" w:type="dxa"/>
            <w:tcBorders>
              <w:top w:val="single" w:sz="4" w:space="0" w:color="131313"/>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1201" w:type="dxa"/>
            <w:tcBorders>
              <w:top w:val="single" w:sz="4" w:space="0" w:color="131313"/>
              <w:left w:val="nil"/>
              <w:bottom w:val="nil"/>
              <w:right w:val="nil"/>
            </w:tcBorders>
          </w:tcPr>
          <w:p w:rsidR="007A7C36" w:rsidRPr="00A40DDE" w:rsidRDefault="007A7C36" w:rsidP="00E702B6">
            <w:pPr>
              <w:spacing w:after="0" w:line="259" w:lineRule="auto"/>
              <w:ind w:left="81" w:right="0" w:firstLine="0"/>
              <w:jc w:val="left"/>
              <w:rPr>
                <w:sz w:val="28"/>
                <w:szCs w:val="32"/>
              </w:rPr>
            </w:pPr>
            <w:r w:rsidRPr="00A40DDE">
              <w:rPr>
                <w:sz w:val="22"/>
                <w:szCs w:val="32"/>
              </w:rPr>
              <w:t>Model II</w:t>
            </w:r>
          </w:p>
        </w:tc>
        <w:tc>
          <w:tcPr>
            <w:tcW w:w="374" w:type="dxa"/>
            <w:tcBorders>
              <w:top w:val="single" w:sz="4" w:space="0" w:color="131313"/>
              <w:left w:val="nil"/>
              <w:bottom w:val="nil"/>
              <w:right w:val="nil"/>
            </w:tcBorders>
            <w:vAlign w:val="bottom"/>
          </w:tcPr>
          <w:p w:rsidR="007A7C36" w:rsidRPr="00A40DDE" w:rsidRDefault="007A7C36" w:rsidP="00E702B6">
            <w:pPr>
              <w:spacing w:after="160" w:line="259" w:lineRule="auto"/>
              <w:ind w:right="0" w:firstLine="0"/>
              <w:jc w:val="left"/>
              <w:rPr>
                <w:sz w:val="28"/>
                <w:szCs w:val="32"/>
              </w:rPr>
            </w:pPr>
          </w:p>
        </w:tc>
      </w:tr>
      <w:tr w:rsidR="007A7C36" w:rsidRPr="00A40DDE" w:rsidTr="00E702B6">
        <w:trPr>
          <w:trHeight w:val="310"/>
        </w:trPr>
        <w:tc>
          <w:tcPr>
            <w:tcW w:w="1862" w:type="dxa"/>
            <w:tcBorders>
              <w:top w:val="nil"/>
              <w:left w:val="nil"/>
              <w:bottom w:val="single" w:sz="5" w:space="0" w:color="131313"/>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Variables</w:t>
            </w:r>
          </w:p>
        </w:tc>
        <w:tc>
          <w:tcPr>
            <w:tcW w:w="1206" w:type="dxa"/>
            <w:tcBorders>
              <w:top w:val="nil"/>
              <w:left w:val="nil"/>
              <w:bottom w:val="single" w:sz="5" w:space="0" w:color="131313"/>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Prediction</w:t>
            </w:r>
          </w:p>
        </w:tc>
        <w:tc>
          <w:tcPr>
            <w:tcW w:w="1201" w:type="dxa"/>
            <w:tcBorders>
              <w:top w:val="nil"/>
              <w:left w:val="nil"/>
              <w:bottom w:val="single" w:sz="5" w:space="0" w:color="131313"/>
              <w:right w:val="nil"/>
            </w:tcBorders>
          </w:tcPr>
          <w:p w:rsidR="007A7C36" w:rsidRPr="00A40DDE" w:rsidRDefault="007A7C36" w:rsidP="00E702B6">
            <w:pPr>
              <w:spacing w:after="0" w:line="259" w:lineRule="auto"/>
              <w:ind w:left="79" w:right="0" w:firstLine="0"/>
              <w:jc w:val="left"/>
              <w:rPr>
                <w:sz w:val="28"/>
                <w:szCs w:val="32"/>
              </w:rPr>
            </w:pPr>
            <w:proofErr w:type="spellStart"/>
            <w:r w:rsidRPr="00A40DDE">
              <w:rPr>
                <w:sz w:val="22"/>
                <w:szCs w:val="32"/>
              </w:rPr>
              <w:t>Coeff</w:t>
            </w:r>
            <w:proofErr w:type="spellEnd"/>
            <w:r w:rsidRPr="00A40DDE">
              <w:rPr>
                <w:sz w:val="22"/>
                <w:szCs w:val="32"/>
              </w:rPr>
              <w:t>.</w:t>
            </w:r>
          </w:p>
        </w:tc>
        <w:tc>
          <w:tcPr>
            <w:tcW w:w="903" w:type="dxa"/>
            <w:tcBorders>
              <w:top w:val="nil"/>
              <w:left w:val="nil"/>
              <w:bottom w:val="single" w:sz="5" w:space="0" w:color="131313"/>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t-stat.</w:t>
            </w:r>
          </w:p>
        </w:tc>
        <w:tc>
          <w:tcPr>
            <w:tcW w:w="1201" w:type="dxa"/>
            <w:tcBorders>
              <w:top w:val="nil"/>
              <w:left w:val="nil"/>
              <w:bottom w:val="single" w:sz="5" w:space="0" w:color="131313"/>
              <w:right w:val="nil"/>
            </w:tcBorders>
          </w:tcPr>
          <w:p w:rsidR="007A7C36" w:rsidRPr="00A40DDE" w:rsidRDefault="007A7C36" w:rsidP="00E702B6">
            <w:pPr>
              <w:spacing w:after="0" w:line="259" w:lineRule="auto"/>
              <w:ind w:left="81" w:right="0" w:firstLine="0"/>
              <w:jc w:val="left"/>
              <w:rPr>
                <w:sz w:val="28"/>
                <w:szCs w:val="32"/>
              </w:rPr>
            </w:pPr>
            <w:proofErr w:type="spellStart"/>
            <w:r w:rsidRPr="00A40DDE">
              <w:rPr>
                <w:sz w:val="22"/>
                <w:szCs w:val="32"/>
              </w:rPr>
              <w:t>Coeff</w:t>
            </w:r>
            <w:proofErr w:type="spellEnd"/>
            <w:r w:rsidRPr="00A40DDE">
              <w:rPr>
                <w:sz w:val="22"/>
                <w:szCs w:val="32"/>
              </w:rPr>
              <w:t>.</w:t>
            </w:r>
          </w:p>
        </w:tc>
        <w:tc>
          <w:tcPr>
            <w:tcW w:w="374" w:type="dxa"/>
            <w:tcBorders>
              <w:top w:val="nil"/>
              <w:left w:val="nil"/>
              <w:bottom w:val="single" w:sz="5" w:space="0" w:color="131313"/>
              <w:right w:val="nil"/>
            </w:tcBorders>
          </w:tcPr>
          <w:p w:rsidR="007A7C36" w:rsidRPr="00A40DDE" w:rsidRDefault="007A7C36" w:rsidP="00E702B6">
            <w:pPr>
              <w:spacing w:after="0" w:line="259" w:lineRule="auto"/>
              <w:ind w:right="-2" w:firstLine="0"/>
              <w:rPr>
                <w:sz w:val="28"/>
                <w:szCs w:val="32"/>
              </w:rPr>
            </w:pPr>
            <w:r w:rsidRPr="00A40DDE">
              <w:rPr>
                <w:sz w:val="22"/>
                <w:szCs w:val="32"/>
              </w:rPr>
              <w:t>t-stat.</w:t>
            </w:r>
          </w:p>
        </w:tc>
      </w:tr>
      <w:tr w:rsidR="007A7C36" w:rsidRPr="00A40DDE" w:rsidTr="00E702B6">
        <w:trPr>
          <w:trHeight w:val="593"/>
        </w:trPr>
        <w:tc>
          <w:tcPr>
            <w:tcW w:w="1862" w:type="dxa"/>
            <w:tcBorders>
              <w:top w:val="single" w:sz="5" w:space="0" w:color="131313"/>
              <w:left w:val="nil"/>
              <w:bottom w:val="nil"/>
              <w:right w:val="nil"/>
            </w:tcBorders>
          </w:tcPr>
          <w:p w:rsidR="007A7C36" w:rsidRPr="00A40DDE" w:rsidRDefault="007A7C36" w:rsidP="00E702B6">
            <w:pPr>
              <w:spacing w:after="49" w:line="259" w:lineRule="auto"/>
              <w:ind w:right="0" w:firstLine="0"/>
              <w:jc w:val="left"/>
              <w:rPr>
                <w:sz w:val="28"/>
                <w:szCs w:val="32"/>
              </w:rPr>
            </w:pPr>
            <w:r w:rsidRPr="00A40DDE">
              <w:rPr>
                <w:sz w:val="22"/>
                <w:szCs w:val="32"/>
              </w:rPr>
              <w:t>Experimental variables:</w:t>
            </w:r>
          </w:p>
          <w:p w:rsidR="007A7C36" w:rsidRPr="00A40DDE" w:rsidRDefault="007A7C36" w:rsidP="00E702B6">
            <w:pPr>
              <w:spacing w:after="0" w:line="259" w:lineRule="auto"/>
              <w:ind w:left="159" w:right="0" w:firstLine="0"/>
              <w:jc w:val="left"/>
              <w:rPr>
                <w:sz w:val="28"/>
                <w:szCs w:val="32"/>
              </w:rPr>
            </w:pPr>
            <w:r w:rsidRPr="00A40DDE">
              <w:rPr>
                <w:rFonts w:ascii="Calibri" w:eastAsia="Calibri" w:hAnsi="Calibri" w:cs="Calibri"/>
                <w:sz w:val="22"/>
                <w:szCs w:val="32"/>
              </w:rPr>
              <w:t>NI</w:t>
            </w:r>
          </w:p>
        </w:tc>
        <w:tc>
          <w:tcPr>
            <w:tcW w:w="1206" w:type="dxa"/>
            <w:tcBorders>
              <w:top w:val="single" w:sz="5" w:space="0" w:color="131313"/>
              <w:left w:val="nil"/>
              <w:bottom w:val="nil"/>
              <w:right w:val="nil"/>
            </w:tcBorders>
            <w:vAlign w:val="bottom"/>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22"/>
                <w:szCs w:val="32"/>
              </w:rPr>
              <w:t>−</w:t>
            </w:r>
          </w:p>
        </w:tc>
        <w:tc>
          <w:tcPr>
            <w:tcW w:w="1201" w:type="dxa"/>
            <w:tcBorders>
              <w:top w:val="single" w:sz="5" w:space="0" w:color="131313"/>
              <w:left w:val="nil"/>
              <w:bottom w:val="nil"/>
              <w:right w:val="nil"/>
            </w:tcBorders>
            <w:vAlign w:val="bottom"/>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22"/>
                <w:szCs w:val="32"/>
              </w:rPr>
              <w:t>−</w:t>
            </w:r>
            <w:r w:rsidRPr="00A40DDE">
              <w:rPr>
                <w:sz w:val="22"/>
                <w:szCs w:val="32"/>
              </w:rPr>
              <w:t>0.45***</w:t>
            </w:r>
          </w:p>
        </w:tc>
        <w:tc>
          <w:tcPr>
            <w:tcW w:w="903" w:type="dxa"/>
            <w:tcBorders>
              <w:top w:val="single" w:sz="5" w:space="0" w:color="131313"/>
              <w:left w:val="nil"/>
              <w:bottom w:val="nil"/>
              <w:right w:val="nil"/>
            </w:tcBorders>
            <w:vAlign w:val="bottom"/>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22"/>
                <w:szCs w:val="32"/>
              </w:rPr>
              <w:t>−</w:t>
            </w:r>
            <w:r w:rsidRPr="00A40DDE">
              <w:rPr>
                <w:sz w:val="22"/>
                <w:szCs w:val="32"/>
              </w:rPr>
              <w:t>3.72</w:t>
            </w:r>
          </w:p>
        </w:tc>
        <w:tc>
          <w:tcPr>
            <w:tcW w:w="1201" w:type="dxa"/>
            <w:tcBorders>
              <w:top w:val="single" w:sz="5" w:space="0" w:color="131313"/>
              <w:left w:val="nil"/>
              <w:bottom w:val="nil"/>
              <w:right w:val="nil"/>
            </w:tcBorders>
            <w:vAlign w:val="bottom"/>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22"/>
                <w:szCs w:val="32"/>
              </w:rPr>
              <w:t>−</w:t>
            </w:r>
            <w:r w:rsidRPr="00A40DDE">
              <w:rPr>
                <w:sz w:val="22"/>
                <w:szCs w:val="32"/>
              </w:rPr>
              <w:t>0.42***</w:t>
            </w:r>
          </w:p>
        </w:tc>
        <w:tc>
          <w:tcPr>
            <w:tcW w:w="374" w:type="dxa"/>
            <w:tcBorders>
              <w:top w:val="single" w:sz="5" w:space="0" w:color="131313"/>
              <w:left w:val="nil"/>
              <w:bottom w:val="nil"/>
              <w:right w:val="nil"/>
            </w:tcBorders>
            <w:vAlign w:val="bottom"/>
          </w:tcPr>
          <w:p w:rsidR="007A7C36" w:rsidRPr="00A40DDE" w:rsidRDefault="007A7C36" w:rsidP="00E702B6">
            <w:pPr>
              <w:spacing w:after="0" w:line="259" w:lineRule="auto"/>
              <w:ind w:right="0" w:firstLine="0"/>
              <w:rPr>
                <w:sz w:val="28"/>
                <w:szCs w:val="32"/>
              </w:rPr>
            </w:pPr>
            <w:r w:rsidRPr="00A40DDE">
              <w:rPr>
                <w:rFonts w:ascii="Calibri" w:eastAsia="Calibri" w:hAnsi="Calibri" w:cs="Calibri"/>
                <w:sz w:val="22"/>
                <w:szCs w:val="32"/>
              </w:rPr>
              <w:t>−</w:t>
            </w:r>
            <w:r w:rsidRPr="00A40DDE">
              <w:rPr>
                <w:sz w:val="22"/>
                <w:szCs w:val="32"/>
              </w:rPr>
              <w:t>3.66</w:t>
            </w:r>
          </w:p>
        </w:tc>
      </w:tr>
      <w:tr w:rsidR="007A7C36" w:rsidRPr="00A40DDE" w:rsidTr="00E702B6">
        <w:trPr>
          <w:trHeight w:val="219"/>
        </w:trPr>
        <w:tc>
          <w:tcPr>
            <w:tcW w:w="1862" w:type="dxa"/>
            <w:tcBorders>
              <w:top w:val="nil"/>
              <w:left w:val="nil"/>
              <w:bottom w:val="nil"/>
              <w:right w:val="nil"/>
            </w:tcBorders>
          </w:tcPr>
          <w:p w:rsidR="007A7C36" w:rsidRPr="00A40DDE" w:rsidRDefault="007A7C36" w:rsidP="00E702B6">
            <w:pPr>
              <w:spacing w:after="0" w:line="259" w:lineRule="auto"/>
              <w:ind w:left="159" w:right="0" w:firstLine="0"/>
              <w:jc w:val="left"/>
              <w:rPr>
                <w:sz w:val="28"/>
                <w:szCs w:val="32"/>
              </w:rPr>
            </w:pPr>
            <w:proofErr w:type="spellStart"/>
            <w:r w:rsidRPr="00A40DDE">
              <w:rPr>
                <w:rFonts w:ascii="Calibri" w:eastAsia="Calibri" w:hAnsi="Calibri" w:cs="Calibri"/>
                <w:sz w:val="22"/>
                <w:szCs w:val="32"/>
              </w:rPr>
              <w:t>RegCapLow</w:t>
            </w:r>
            <w:proofErr w:type="spellEnd"/>
          </w:p>
        </w:tc>
        <w:tc>
          <w:tcPr>
            <w:tcW w:w="1206"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w:t>
            </w:r>
          </w:p>
        </w:tc>
        <w:tc>
          <w:tcPr>
            <w:tcW w:w="1201" w:type="dxa"/>
            <w:tcBorders>
              <w:top w:val="nil"/>
              <w:left w:val="nil"/>
              <w:bottom w:val="nil"/>
              <w:right w:val="nil"/>
            </w:tcBorders>
          </w:tcPr>
          <w:p w:rsidR="007A7C36" w:rsidRPr="00A40DDE" w:rsidRDefault="007A7C36" w:rsidP="00E702B6">
            <w:pPr>
              <w:spacing w:after="0" w:line="259" w:lineRule="auto"/>
              <w:ind w:left="79" w:right="0" w:firstLine="0"/>
              <w:jc w:val="left"/>
              <w:rPr>
                <w:sz w:val="28"/>
                <w:szCs w:val="32"/>
              </w:rPr>
            </w:pPr>
            <w:r w:rsidRPr="00A40DDE">
              <w:rPr>
                <w:sz w:val="22"/>
                <w:szCs w:val="32"/>
              </w:rPr>
              <w:t>0.01*</w:t>
            </w:r>
          </w:p>
        </w:tc>
        <w:tc>
          <w:tcPr>
            <w:tcW w:w="903" w:type="dxa"/>
            <w:tcBorders>
              <w:top w:val="nil"/>
              <w:left w:val="nil"/>
              <w:bottom w:val="nil"/>
              <w:right w:val="nil"/>
            </w:tcBorders>
          </w:tcPr>
          <w:p w:rsidR="007A7C36" w:rsidRPr="00A40DDE" w:rsidRDefault="007A7C36" w:rsidP="00E702B6">
            <w:pPr>
              <w:spacing w:after="0" w:line="259" w:lineRule="auto"/>
              <w:ind w:left="79" w:right="0" w:firstLine="0"/>
              <w:jc w:val="left"/>
              <w:rPr>
                <w:sz w:val="28"/>
                <w:szCs w:val="32"/>
              </w:rPr>
            </w:pPr>
            <w:r w:rsidRPr="00A40DDE">
              <w:rPr>
                <w:sz w:val="22"/>
                <w:szCs w:val="32"/>
              </w:rPr>
              <w:t>1.82</w:t>
            </w:r>
          </w:p>
        </w:tc>
        <w:tc>
          <w:tcPr>
            <w:tcW w:w="1201" w:type="dxa"/>
            <w:tcBorders>
              <w:top w:val="nil"/>
              <w:left w:val="nil"/>
              <w:bottom w:val="nil"/>
              <w:right w:val="nil"/>
            </w:tcBorders>
          </w:tcPr>
          <w:p w:rsidR="007A7C36" w:rsidRPr="00A40DDE" w:rsidRDefault="007A7C36" w:rsidP="00E702B6">
            <w:pPr>
              <w:spacing w:after="0" w:line="259" w:lineRule="auto"/>
              <w:ind w:left="80" w:right="0" w:firstLine="0"/>
              <w:jc w:val="left"/>
              <w:rPr>
                <w:sz w:val="28"/>
                <w:szCs w:val="32"/>
              </w:rPr>
            </w:pPr>
            <w:r w:rsidRPr="00A40DDE">
              <w:rPr>
                <w:sz w:val="22"/>
                <w:szCs w:val="32"/>
              </w:rPr>
              <w:t>0.01*</w:t>
            </w:r>
          </w:p>
        </w:tc>
        <w:tc>
          <w:tcPr>
            <w:tcW w:w="374" w:type="dxa"/>
            <w:tcBorders>
              <w:top w:val="nil"/>
              <w:left w:val="nil"/>
              <w:bottom w:val="nil"/>
              <w:right w:val="nil"/>
            </w:tcBorders>
          </w:tcPr>
          <w:p w:rsidR="007A7C36" w:rsidRPr="00A40DDE" w:rsidRDefault="007A7C36" w:rsidP="00E702B6">
            <w:pPr>
              <w:spacing w:after="0" w:line="259" w:lineRule="auto"/>
              <w:ind w:left="80" w:right="0" w:firstLine="0"/>
              <w:jc w:val="left"/>
              <w:rPr>
                <w:sz w:val="28"/>
                <w:szCs w:val="32"/>
              </w:rPr>
            </w:pPr>
            <w:r w:rsidRPr="00A40DDE">
              <w:rPr>
                <w:sz w:val="22"/>
                <w:szCs w:val="32"/>
              </w:rPr>
              <w:t>1.71</w:t>
            </w:r>
          </w:p>
        </w:tc>
      </w:tr>
      <w:tr w:rsidR="007A7C36" w:rsidRPr="00A40DDE" w:rsidTr="00E702B6">
        <w:trPr>
          <w:trHeight w:val="279"/>
        </w:trPr>
        <w:tc>
          <w:tcPr>
            <w:tcW w:w="1862" w:type="dxa"/>
            <w:tcBorders>
              <w:top w:val="nil"/>
              <w:left w:val="nil"/>
              <w:bottom w:val="nil"/>
              <w:right w:val="nil"/>
            </w:tcBorders>
          </w:tcPr>
          <w:p w:rsidR="007A7C36" w:rsidRPr="00A40DDE" w:rsidRDefault="007A7C36" w:rsidP="00E702B6">
            <w:pPr>
              <w:spacing w:after="0" w:line="259" w:lineRule="auto"/>
              <w:ind w:left="159" w:right="0" w:firstLine="0"/>
              <w:jc w:val="left"/>
              <w:rPr>
                <w:sz w:val="28"/>
                <w:szCs w:val="32"/>
              </w:rPr>
            </w:pPr>
            <w:proofErr w:type="spellStart"/>
            <w:r w:rsidRPr="00A40DDE">
              <w:rPr>
                <w:rFonts w:ascii="Calibri" w:eastAsia="Calibri" w:hAnsi="Calibri" w:cs="Calibri"/>
                <w:sz w:val="22"/>
                <w:szCs w:val="32"/>
              </w:rPr>
              <w:t>NI×RegCapLow</w:t>
            </w:r>
            <w:proofErr w:type="spellEnd"/>
          </w:p>
        </w:tc>
        <w:tc>
          <w:tcPr>
            <w:tcW w:w="1206"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22"/>
                <w:szCs w:val="32"/>
              </w:rPr>
              <w:t xml:space="preserve">− </w:t>
            </w:r>
            <w:r w:rsidRPr="00A40DDE">
              <w:rPr>
                <w:sz w:val="22"/>
                <w:szCs w:val="32"/>
              </w:rPr>
              <w:t>/ +</w:t>
            </w:r>
          </w:p>
        </w:tc>
        <w:tc>
          <w:tcPr>
            <w:tcW w:w="1201"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903"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1201"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22"/>
                <w:szCs w:val="32"/>
              </w:rPr>
              <w:t>−</w:t>
            </w:r>
            <w:r w:rsidRPr="00A40DDE">
              <w:rPr>
                <w:sz w:val="22"/>
                <w:szCs w:val="32"/>
              </w:rPr>
              <w:t>0.10</w:t>
            </w:r>
          </w:p>
        </w:tc>
        <w:tc>
          <w:tcPr>
            <w:tcW w:w="374" w:type="dxa"/>
            <w:tcBorders>
              <w:top w:val="nil"/>
              <w:left w:val="nil"/>
              <w:bottom w:val="nil"/>
              <w:right w:val="nil"/>
            </w:tcBorders>
          </w:tcPr>
          <w:p w:rsidR="007A7C36" w:rsidRPr="00A40DDE" w:rsidRDefault="007A7C36" w:rsidP="00E702B6">
            <w:pPr>
              <w:spacing w:after="0" w:line="259" w:lineRule="auto"/>
              <w:ind w:right="0" w:firstLine="0"/>
              <w:rPr>
                <w:sz w:val="28"/>
                <w:szCs w:val="32"/>
              </w:rPr>
            </w:pPr>
            <w:r w:rsidRPr="00A40DDE">
              <w:rPr>
                <w:rFonts w:ascii="Calibri" w:eastAsia="Calibri" w:hAnsi="Calibri" w:cs="Calibri"/>
                <w:sz w:val="22"/>
                <w:szCs w:val="32"/>
              </w:rPr>
              <w:t>−</w:t>
            </w:r>
            <w:r w:rsidRPr="00A40DDE">
              <w:rPr>
                <w:sz w:val="22"/>
                <w:szCs w:val="32"/>
              </w:rPr>
              <w:t>0.84</w:t>
            </w:r>
          </w:p>
        </w:tc>
      </w:tr>
      <w:tr w:rsidR="007A7C36" w:rsidRPr="00A40DDE" w:rsidTr="00E702B6">
        <w:trPr>
          <w:trHeight w:val="505"/>
        </w:trPr>
        <w:tc>
          <w:tcPr>
            <w:tcW w:w="1862" w:type="dxa"/>
            <w:tcBorders>
              <w:top w:val="nil"/>
              <w:left w:val="nil"/>
              <w:bottom w:val="nil"/>
              <w:right w:val="nil"/>
            </w:tcBorders>
          </w:tcPr>
          <w:p w:rsidR="007A7C36" w:rsidRPr="00A40DDE" w:rsidRDefault="007A7C36" w:rsidP="00E702B6">
            <w:pPr>
              <w:spacing w:after="92" w:line="259" w:lineRule="auto"/>
              <w:ind w:right="0" w:firstLine="0"/>
              <w:jc w:val="left"/>
              <w:rPr>
                <w:sz w:val="28"/>
                <w:szCs w:val="32"/>
              </w:rPr>
            </w:pPr>
            <w:r w:rsidRPr="00A40DDE">
              <w:rPr>
                <w:sz w:val="22"/>
                <w:szCs w:val="32"/>
              </w:rPr>
              <w:t>Control variables:</w:t>
            </w:r>
          </w:p>
          <w:p w:rsidR="007A7C36" w:rsidRPr="00A40DDE" w:rsidRDefault="007A7C36" w:rsidP="00E702B6">
            <w:pPr>
              <w:spacing w:after="0" w:line="259" w:lineRule="auto"/>
              <w:ind w:left="159" w:right="0" w:firstLine="0"/>
              <w:jc w:val="left"/>
              <w:rPr>
                <w:sz w:val="28"/>
                <w:szCs w:val="32"/>
              </w:rPr>
            </w:pPr>
            <w:r w:rsidRPr="00A40DDE">
              <w:rPr>
                <w:rFonts w:ascii="Calibri" w:eastAsia="Calibri" w:hAnsi="Calibri" w:cs="Calibri"/>
                <w:sz w:val="22"/>
                <w:szCs w:val="32"/>
              </w:rPr>
              <w:t>UL</w:t>
            </w:r>
            <w:r w:rsidRPr="00A40DDE">
              <w:rPr>
                <w:rFonts w:ascii="Calibri" w:eastAsia="Calibri" w:hAnsi="Calibri" w:cs="Calibri"/>
                <w:sz w:val="16"/>
                <w:szCs w:val="32"/>
              </w:rPr>
              <w:t>t−</w:t>
            </w:r>
            <w:r w:rsidRPr="00A40DDE">
              <w:rPr>
                <w:sz w:val="16"/>
                <w:szCs w:val="32"/>
              </w:rPr>
              <w:t>1</w:t>
            </w:r>
          </w:p>
        </w:tc>
        <w:tc>
          <w:tcPr>
            <w:tcW w:w="1206"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1201" w:type="dxa"/>
            <w:tcBorders>
              <w:top w:val="nil"/>
              <w:left w:val="nil"/>
              <w:bottom w:val="nil"/>
              <w:right w:val="nil"/>
            </w:tcBorders>
            <w:vAlign w:val="bottom"/>
          </w:tcPr>
          <w:p w:rsidR="007A7C36" w:rsidRPr="00A40DDE" w:rsidRDefault="007A7C36" w:rsidP="00E702B6">
            <w:pPr>
              <w:spacing w:after="0" w:line="259" w:lineRule="auto"/>
              <w:ind w:left="79" w:right="0" w:firstLine="0"/>
              <w:jc w:val="left"/>
              <w:rPr>
                <w:sz w:val="28"/>
                <w:szCs w:val="32"/>
              </w:rPr>
            </w:pPr>
            <w:r w:rsidRPr="00A40DDE">
              <w:rPr>
                <w:sz w:val="22"/>
                <w:szCs w:val="32"/>
              </w:rPr>
              <w:t>1.12</w:t>
            </w:r>
          </w:p>
        </w:tc>
        <w:tc>
          <w:tcPr>
            <w:tcW w:w="903" w:type="dxa"/>
            <w:tcBorders>
              <w:top w:val="nil"/>
              <w:left w:val="nil"/>
              <w:bottom w:val="nil"/>
              <w:right w:val="nil"/>
            </w:tcBorders>
            <w:vAlign w:val="bottom"/>
          </w:tcPr>
          <w:p w:rsidR="007A7C36" w:rsidRPr="00A40DDE" w:rsidRDefault="007A7C36" w:rsidP="00E702B6">
            <w:pPr>
              <w:spacing w:after="0" w:line="259" w:lineRule="auto"/>
              <w:ind w:left="79" w:right="0" w:firstLine="0"/>
              <w:jc w:val="left"/>
              <w:rPr>
                <w:sz w:val="28"/>
                <w:szCs w:val="32"/>
              </w:rPr>
            </w:pPr>
            <w:r w:rsidRPr="00A40DDE">
              <w:rPr>
                <w:sz w:val="22"/>
                <w:szCs w:val="32"/>
              </w:rPr>
              <w:t>3.72</w:t>
            </w:r>
          </w:p>
        </w:tc>
        <w:tc>
          <w:tcPr>
            <w:tcW w:w="1201" w:type="dxa"/>
            <w:tcBorders>
              <w:top w:val="nil"/>
              <w:left w:val="nil"/>
              <w:bottom w:val="nil"/>
              <w:right w:val="nil"/>
            </w:tcBorders>
            <w:vAlign w:val="bottom"/>
          </w:tcPr>
          <w:p w:rsidR="007A7C36" w:rsidRPr="00A40DDE" w:rsidRDefault="007A7C36" w:rsidP="00E702B6">
            <w:pPr>
              <w:spacing w:after="0" w:line="259" w:lineRule="auto"/>
              <w:ind w:left="81" w:right="0" w:firstLine="0"/>
              <w:jc w:val="left"/>
              <w:rPr>
                <w:sz w:val="28"/>
                <w:szCs w:val="32"/>
              </w:rPr>
            </w:pPr>
            <w:r w:rsidRPr="00A40DDE">
              <w:rPr>
                <w:sz w:val="22"/>
                <w:szCs w:val="32"/>
              </w:rPr>
              <w:t>1.12</w:t>
            </w:r>
          </w:p>
        </w:tc>
        <w:tc>
          <w:tcPr>
            <w:tcW w:w="374" w:type="dxa"/>
            <w:tcBorders>
              <w:top w:val="nil"/>
              <w:left w:val="nil"/>
              <w:bottom w:val="nil"/>
              <w:right w:val="nil"/>
            </w:tcBorders>
            <w:vAlign w:val="bottom"/>
          </w:tcPr>
          <w:p w:rsidR="007A7C36" w:rsidRPr="00A40DDE" w:rsidRDefault="007A7C36" w:rsidP="00E702B6">
            <w:pPr>
              <w:spacing w:after="0" w:line="259" w:lineRule="auto"/>
              <w:ind w:left="80" w:right="0" w:firstLine="0"/>
              <w:jc w:val="left"/>
              <w:rPr>
                <w:sz w:val="28"/>
                <w:szCs w:val="32"/>
              </w:rPr>
            </w:pPr>
            <w:r w:rsidRPr="00A40DDE">
              <w:rPr>
                <w:sz w:val="22"/>
                <w:szCs w:val="32"/>
              </w:rPr>
              <w:t>3.72</w:t>
            </w:r>
          </w:p>
        </w:tc>
      </w:tr>
      <w:tr w:rsidR="007A7C36" w:rsidRPr="00A40DDE" w:rsidTr="00E702B6">
        <w:trPr>
          <w:trHeight w:val="248"/>
        </w:trPr>
        <w:tc>
          <w:tcPr>
            <w:tcW w:w="1862" w:type="dxa"/>
            <w:tcBorders>
              <w:top w:val="nil"/>
              <w:left w:val="nil"/>
              <w:bottom w:val="nil"/>
              <w:right w:val="nil"/>
            </w:tcBorders>
          </w:tcPr>
          <w:p w:rsidR="007A7C36" w:rsidRPr="00A40DDE" w:rsidRDefault="007A7C36" w:rsidP="00E702B6">
            <w:pPr>
              <w:spacing w:after="0" w:line="259" w:lineRule="auto"/>
              <w:ind w:left="159" w:right="0" w:firstLine="0"/>
              <w:jc w:val="left"/>
              <w:rPr>
                <w:sz w:val="28"/>
                <w:szCs w:val="32"/>
              </w:rPr>
            </w:pPr>
            <w:r w:rsidRPr="00A40DDE">
              <w:rPr>
                <w:rFonts w:ascii="Calibri" w:eastAsia="Calibri" w:hAnsi="Calibri" w:cs="Calibri"/>
                <w:sz w:val="22"/>
                <w:szCs w:val="32"/>
              </w:rPr>
              <w:t>UG</w:t>
            </w:r>
            <w:r w:rsidRPr="00A40DDE">
              <w:rPr>
                <w:rFonts w:ascii="Calibri" w:eastAsia="Calibri" w:hAnsi="Calibri" w:cs="Calibri"/>
                <w:sz w:val="16"/>
                <w:szCs w:val="32"/>
              </w:rPr>
              <w:t>t−</w:t>
            </w:r>
            <w:r w:rsidRPr="00A40DDE">
              <w:rPr>
                <w:sz w:val="16"/>
                <w:szCs w:val="32"/>
              </w:rPr>
              <w:t>1</w:t>
            </w:r>
          </w:p>
        </w:tc>
        <w:tc>
          <w:tcPr>
            <w:tcW w:w="1206"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1201" w:type="dxa"/>
            <w:tcBorders>
              <w:top w:val="nil"/>
              <w:left w:val="nil"/>
              <w:bottom w:val="nil"/>
              <w:right w:val="nil"/>
            </w:tcBorders>
          </w:tcPr>
          <w:p w:rsidR="007A7C36" w:rsidRPr="00A40DDE" w:rsidRDefault="007A7C36" w:rsidP="00E702B6">
            <w:pPr>
              <w:spacing w:after="0" w:line="259" w:lineRule="auto"/>
              <w:ind w:left="79" w:right="0" w:firstLine="0"/>
              <w:jc w:val="left"/>
              <w:rPr>
                <w:sz w:val="28"/>
                <w:szCs w:val="32"/>
              </w:rPr>
            </w:pPr>
            <w:r w:rsidRPr="00A40DDE">
              <w:rPr>
                <w:sz w:val="22"/>
                <w:szCs w:val="32"/>
              </w:rPr>
              <w:t>1.35</w:t>
            </w:r>
          </w:p>
        </w:tc>
        <w:tc>
          <w:tcPr>
            <w:tcW w:w="903"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11.23</w:t>
            </w:r>
          </w:p>
        </w:tc>
        <w:tc>
          <w:tcPr>
            <w:tcW w:w="1201" w:type="dxa"/>
            <w:tcBorders>
              <w:top w:val="nil"/>
              <w:left w:val="nil"/>
              <w:bottom w:val="nil"/>
              <w:right w:val="nil"/>
            </w:tcBorders>
          </w:tcPr>
          <w:p w:rsidR="007A7C36" w:rsidRPr="00A40DDE" w:rsidRDefault="007A7C36" w:rsidP="00E702B6">
            <w:pPr>
              <w:spacing w:after="0" w:line="259" w:lineRule="auto"/>
              <w:ind w:left="80" w:right="0" w:firstLine="0"/>
              <w:jc w:val="left"/>
              <w:rPr>
                <w:sz w:val="28"/>
                <w:szCs w:val="32"/>
              </w:rPr>
            </w:pPr>
            <w:r w:rsidRPr="00A40DDE">
              <w:rPr>
                <w:sz w:val="22"/>
                <w:szCs w:val="32"/>
              </w:rPr>
              <w:t>1.35</w:t>
            </w:r>
          </w:p>
        </w:tc>
        <w:tc>
          <w:tcPr>
            <w:tcW w:w="374" w:type="dxa"/>
            <w:tcBorders>
              <w:top w:val="nil"/>
              <w:left w:val="nil"/>
              <w:bottom w:val="nil"/>
              <w:right w:val="nil"/>
            </w:tcBorders>
          </w:tcPr>
          <w:p w:rsidR="007A7C36" w:rsidRPr="00A40DDE" w:rsidRDefault="007A7C36" w:rsidP="00E702B6">
            <w:pPr>
              <w:spacing w:after="0" w:line="259" w:lineRule="auto"/>
              <w:ind w:right="0" w:firstLine="0"/>
              <w:rPr>
                <w:sz w:val="28"/>
                <w:szCs w:val="32"/>
              </w:rPr>
            </w:pPr>
            <w:r w:rsidRPr="00A40DDE">
              <w:rPr>
                <w:sz w:val="22"/>
                <w:szCs w:val="32"/>
              </w:rPr>
              <w:t>11.24</w:t>
            </w:r>
          </w:p>
        </w:tc>
      </w:tr>
      <w:tr w:rsidR="007A7C36" w:rsidRPr="00A40DDE" w:rsidTr="00E702B6">
        <w:trPr>
          <w:trHeight w:val="239"/>
        </w:trPr>
        <w:tc>
          <w:tcPr>
            <w:tcW w:w="1862" w:type="dxa"/>
            <w:tcBorders>
              <w:top w:val="nil"/>
              <w:left w:val="nil"/>
              <w:bottom w:val="nil"/>
              <w:right w:val="nil"/>
            </w:tcBorders>
          </w:tcPr>
          <w:p w:rsidR="007A7C36" w:rsidRPr="00A40DDE" w:rsidRDefault="007A7C36" w:rsidP="00E702B6">
            <w:pPr>
              <w:spacing w:after="0" w:line="259" w:lineRule="auto"/>
              <w:ind w:left="159" w:right="0" w:firstLine="0"/>
              <w:jc w:val="left"/>
              <w:rPr>
                <w:sz w:val="28"/>
                <w:szCs w:val="32"/>
              </w:rPr>
            </w:pPr>
            <w:r w:rsidRPr="00A40DDE">
              <w:rPr>
                <w:rFonts w:ascii="Calibri" w:eastAsia="Calibri" w:hAnsi="Calibri" w:cs="Calibri"/>
                <w:sz w:val="22"/>
                <w:szCs w:val="32"/>
              </w:rPr>
              <w:t>Other controls</w:t>
            </w:r>
          </w:p>
        </w:tc>
        <w:tc>
          <w:tcPr>
            <w:tcW w:w="1206"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1201" w:type="dxa"/>
            <w:tcBorders>
              <w:top w:val="nil"/>
              <w:left w:val="nil"/>
              <w:bottom w:val="nil"/>
              <w:right w:val="nil"/>
            </w:tcBorders>
          </w:tcPr>
          <w:p w:rsidR="007A7C36" w:rsidRPr="00A40DDE" w:rsidRDefault="007A7C36" w:rsidP="00E702B6">
            <w:pPr>
              <w:spacing w:after="0" w:line="259" w:lineRule="auto"/>
              <w:ind w:left="79" w:right="0" w:firstLine="0"/>
              <w:jc w:val="left"/>
              <w:rPr>
                <w:sz w:val="28"/>
                <w:szCs w:val="32"/>
              </w:rPr>
            </w:pPr>
            <w:r w:rsidRPr="00A40DDE">
              <w:rPr>
                <w:sz w:val="22"/>
                <w:szCs w:val="32"/>
              </w:rPr>
              <w:t>Yes</w:t>
            </w:r>
          </w:p>
        </w:tc>
        <w:tc>
          <w:tcPr>
            <w:tcW w:w="903"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1201" w:type="dxa"/>
            <w:tcBorders>
              <w:top w:val="nil"/>
              <w:left w:val="nil"/>
              <w:bottom w:val="nil"/>
              <w:right w:val="nil"/>
            </w:tcBorders>
          </w:tcPr>
          <w:p w:rsidR="007A7C36" w:rsidRPr="00A40DDE" w:rsidRDefault="007A7C36" w:rsidP="00E702B6">
            <w:pPr>
              <w:spacing w:after="0" w:line="259" w:lineRule="auto"/>
              <w:ind w:left="80" w:right="0" w:firstLine="0"/>
              <w:jc w:val="left"/>
              <w:rPr>
                <w:sz w:val="28"/>
                <w:szCs w:val="32"/>
              </w:rPr>
            </w:pPr>
            <w:r w:rsidRPr="00A40DDE">
              <w:rPr>
                <w:sz w:val="22"/>
                <w:szCs w:val="32"/>
              </w:rPr>
              <w:t>Yes</w:t>
            </w:r>
          </w:p>
        </w:tc>
        <w:tc>
          <w:tcPr>
            <w:tcW w:w="374"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r>
      <w:tr w:rsidR="007A7C36" w:rsidRPr="00A40DDE" w:rsidTr="00E702B6">
        <w:trPr>
          <w:trHeight w:val="232"/>
        </w:trPr>
        <w:tc>
          <w:tcPr>
            <w:tcW w:w="1862" w:type="dxa"/>
            <w:tcBorders>
              <w:top w:val="nil"/>
              <w:left w:val="nil"/>
              <w:bottom w:val="nil"/>
              <w:right w:val="nil"/>
            </w:tcBorders>
          </w:tcPr>
          <w:p w:rsidR="007A7C36" w:rsidRPr="00A40DDE" w:rsidRDefault="007A7C36" w:rsidP="00E702B6">
            <w:pPr>
              <w:spacing w:after="0" w:line="259" w:lineRule="auto"/>
              <w:ind w:left="159" w:right="0" w:firstLine="0"/>
              <w:jc w:val="left"/>
              <w:rPr>
                <w:sz w:val="28"/>
                <w:szCs w:val="32"/>
              </w:rPr>
            </w:pPr>
            <w:r w:rsidRPr="00A40DDE">
              <w:rPr>
                <w:rFonts w:ascii="Calibri" w:eastAsia="Calibri" w:hAnsi="Calibri" w:cs="Calibri"/>
                <w:sz w:val="22"/>
                <w:szCs w:val="32"/>
              </w:rPr>
              <w:t>Bank fixed effects</w:t>
            </w:r>
          </w:p>
        </w:tc>
        <w:tc>
          <w:tcPr>
            <w:tcW w:w="1206"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1201" w:type="dxa"/>
            <w:tcBorders>
              <w:top w:val="nil"/>
              <w:left w:val="nil"/>
              <w:bottom w:val="nil"/>
              <w:right w:val="nil"/>
            </w:tcBorders>
          </w:tcPr>
          <w:p w:rsidR="007A7C36" w:rsidRPr="00A40DDE" w:rsidRDefault="007A7C36" w:rsidP="00E702B6">
            <w:pPr>
              <w:spacing w:after="0" w:line="259" w:lineRule="auto"/>
              <w:ind w:left="79" w:right="0" w:firstLine="0"/>
              <w:jc w:val="left"/>
              <w:rPr>
                <w:sz w:val="28"/>
                <w:szCs w:val="32"/>
              </w:rPr>
            </w:pPr>
            <w:r w:rsidRPr="00A40DDE">
              <w:rPr>
                <w:sz w:val="22"/>
                <w:szCs w:val="32"/>
              </w:rPr>
              <w:t>Yes</w:t>
            </w:r>
          </w:p>
        </w:tc>
        <w:tc>
          <w:tcPr>
            <w:tcW w:w="903"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1201" w:type="dxa"/>
            <w:tcBorders>
              <w:top w:val="nil"/>
              <w:left w:val="nil"/>
              <w:bottom w:val="nil"/>
              <w:right w:val="nil"/>
            </w:tcBorders>
          </w:tcPr>
          <w:p w:rsidR="007A7C36" w:rsidRPr="00A40DDE" w:rsidRDefault="007A7C36" w:rsidP="00E702B6">
            <w:pPr>
              <w:spacing w:after="0" w:line="259" w:lineRule="auto"/>
              <w:ind w:left="80" w:right="0" w:firstLine="0"/>
              <w:jc w:val="left"/>
              <w:rPr>
                <w:sz w:val="28"/>
                <w:szCs w:val="32"/>
              </w:rPr>
            </w:pPr>
            <w:r w:rsidRPr="00A40DDE">
              <w:rPr>
                <w:sz w:val="22"/>
                <w:szCs w:val="32"/>
              </w:rPr>
              <w:t>Yes</w:t>
            </w:r>
          </w:p>
        </w:tc>
        <w:tc>
          <w:tcPr>
            <w:tcW w:w="374"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r>
      <w:tr w:rsidR="007A7C36" w:rsidRPr="00A40DDE" w:rsidTr="00E702B6">
        <w:trPr>
          <w:trHeight w:val="327"/>
        </w:trPr>
        <w:tc>
          <w:tcPr>
            <w:tcW w:w="1862" w:type="dxa"/>
            <w:tcBorders>
              <w:top w:val="nil"/>
              <w:left w:val="nil"/>
              <w:bottom w:val="single" w:sz="5" w:space="0" w:color="131313"/>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Adj.R</w:t>
            </w:r>
            <w:r w:rsidRPr="00A40DDE">
              <w:rPr>
                <w:sz w:val="22"/>
                <w:szCs w:val="32"/>
                <w:vertAlign w:val="superscript"/>
              </w:rPr>
              <w:t>2</w:t>
            </w:r>
          </w:p>
        </w:tc>
        <w:tc>
          <w:tcPr>
            <w:tcW w:w="1206" w:type="dxa"/>
            <w:tcBorders>
              <w:top w:val="nil"/>
              <w:left w:val="nil"/>
              <w:bottom w:val="single" w:sz="5" w:space="0" w:color="131313"/>
              <w:right w:val="nil"/>
            </w:tcBorders>
          </w:tcPr>
          <w:p w:rsidR="007A7C36" w:rsidRPr="00A40DDE" w:rsidRDefault="007A7C36" w:rsidP="00E702B6">
            <w:pPr>
              <w:spacing w:after="160" w:line="259" w:lineRule="auto"/>
              <w:ind w:right="0" w:firstLine="0"/>
              <w:jc w:val="left"/>
              <w:rPr>
                <w:sz w:val="28"/>
                <w:szCs w:val="32"/>
              </w:rPr>
            </w:pPr>
          </w:p>
        </w:tc>
        <w:tc>
          <w:tcPr>
            <w:tcW w:w="1201" w:type="dxa"/>
            <w:tcBorders>
              <w:top w:val="nil"/>
              <w:left w:val="nil"/>
              <w:bottom w:val="single" w:sz="5" w:space="0" w:color="131313"/>
              <w:right w:val="nil"/>
            </w:tcBorders>
          </w:tcPr>
          <w:p w:rsidR="007A7C36" w:rsidRPr="00A40DDE" w:rsidRDefault="007A7C36" w:rsidP="00E702B6">
            <w:pPr>
              <w:spacing w:after="0" w:line="259" w:lineRule="auto"/>
              <w:ind w:left="79" w:right="0" w:firstLine="0"/>
              <w:jc w:val="left"/>
              <w:rPr>
                <w:sz w:val="28"/>
                <w:szCs w:val="32"/>
              </w:rPr>
            </w:pPr>
            <w:r w:rsidRPr="00A40DDE">
              <w:rPr>
                <w:sz w:val="22"/>
                <w:szCs w:val="32"/>
              </w:rPr>
              <w:t>5.4%</w:t>
            </w:r>
          </w:p>
        </w:tc>
        <w:tc>
          <w:tcPr>
            <w:tcW w:w="903" w:type="dxa"/>
            <w:tcBorders>
              <w:top w:val="nil"/>
              <w:left w:val="nil"/>
              <w:bottom w:val="single" w:sz="5" w:space="0" w:color="131313"/>
              <w:right w:val="nil"/>
            </w:tcBorders>
          </w:tcPr>
          <w:p w:rsidR="007A7C36" w:rsidRPr="00A40DDE" w:rsidRDefault="007A7C36" w:rsidP="00E702B6">
            <w:pPr>
              <w:spacing w:after="160" w:line="259" w:lineRule="auto"/>
              <w:ind w:right="0" w:firstLine="0"/>
              <w:jc w:val="left"/>
              <w:rPr>
                <w:sz w:val="28"/>
                <w:szCs w:val="32"/>
              </w:rPr>
            </w:pPr>
          </w:p>
        </w:tc>
        <w:tc>
          <w:tcPr>
            <w:tcW w:w="1201" w:type="dxa"/>
            <w:tcBorders>
              <w:top w:val="nil"/>
              <w:left w:val="nil"/>
              <w:bottom w:val="single" w:sz="5" w:space="0" w:color="131313"/>
              <w:right w:val="nil"/>
            </w:tcBorders>
          </w:tcPr>
          <w:p w:rsidR="007A7C36" w:rsidRPr="00A40DDE" w:rsidRDefault="007A7C36" w:rsidP="00E702B6">
            <w:pPr>
              <w:spacing w:after="0" w:line="259" w:lineRule="auto"/>
              <w:ind w:left="81" w:right="0" w:firstLine="0"/>
              <w:jc w:val="left"/>
              <w:rPr>
                <w:sz w:val="28"/>
                <w:szCs w:val="32"/>
              </w:rPr>
            </w:pPr>
            <w:r w:rsidRPr="00A40DDE">
              <w:rPr>
                <w:sz w:val="22"/>
                <w:szCs w:val="32"/>
              </w:rPr>
              <w:t>5.4%</w:t>
            </w:r>
          </w:p>
        </w:tc>
        <w:tc>
          <w:tcPr>
            <w:tcW w:w="374" w:type="dxa"/>
            <w:tcBorders>
              <w:top w:val="nil"/>
              <w:left w:val="nil"/>
              <w:bottom w:val="single" w:sz="5" w:space="0" w:color="131313"/>
              <w:right w:val="nil"/>
            </w:tcBorders>
          </w:tcPr>
          <w:p w:rsidR="007A7C36" w:rsidRPr="00A40DDE" w:rsidRDefault="007A7C36" w:rsidP="00E702B6">
            <w:pPr>
              <w:spacing w:after="160" w:line="259" w:lineRule="auto"/>
              <w:ind w:right="0" w:firstLine="0"/>
              <w:jc w:val="left"/>
              <w:rPr>
                <w:sz w:val="28"/>
                <w:szCs w:val="32"/>
              </w:rPr>
            </w:pPr>
          </w:p>
        </w:tc>
      </w:tr>
    </w:tbl>
    <w:p w:rsidR="007A7C36" w:rsidRPr="00A40DDE" w:rsidRDefault="007A7C36" w:rsidP="007A7C36">
      <w:pPr>
        <w:spacing w:after="48" w:line="262" w:lineRule="auto"/>
        <w:ind w:left="-15" w:right="0" w:firstLine="0"/>
        <w:rPr>
          <w:sz w:val="28"/>
          <w:szCs w:val="32"/>
        </w:rPr>
      </w:pPr>
      <w:r w:rsidRPr="00A40DDE">
        <w:rPr>
          <w:sz w:val="22"/>
          <w:szCs w:val="32"/>
        </w:rPr>
        <w:t xml:space="preserve">See Table </w:t>
      </w:r>
      <w:r w:rsidRPr="00A40DDE">
        <w:rPr>
          <w:color w:val="392A97"/>
          <w:sz w:val="22"/>
          <w:szCs w:val="32"/>
        </w:rPr>
        <w:t xml:space="preserve">1 </w:t>
      </w:r>
      <w:r w:rsidRPr="00A40DDE">
        <w:rPr>
          <w:sz w:val="22"/>
          <w:szCs w:val="32"/>
        </w:rPr>
        <w:t xml:space="preserve">for variable definitions. </w:t>
      </w:r>
      <w:r w:rsidRPr="00A40DDE">
        <w:rPr>
          <w:rFonts w:ascii="Calibri" w:eastAsia="Calibri" w:hAnsi="Calibri" w:cs="Calibri"/>
          <w:sz w:val="22"/>
          <w:szCs w:val="32"/>
        </w:rPr>
        <w:t xml:space="preserve">Other controls </w:t>
      </w:r>
      <w:r w:rsidRPr="00A40DDE">
        <w:rPr>
          <w:sz w:val="22"/>
          <w:szCs w:val="32"/>
        </w:rPr>
        <w:t xml:space="preserve">comprises </w:t>
      </w:r>
      <w:r w:rsidRPr="00A40DDE">
        <w:rPr>
          <w:rFonts w:ascii="Calibri" w:eastAsia="Calibri" w:hAnsi="Calibri" w:cs="Calibri"/>
          <w:sz w:val="22"/>
          <w:szCs w:val="32"/>
        </w:rPr>
        <w:t>Size</w:t>
      </w:r>
      <w:r w:rsidRPr="00A40DDE">
        <w:rPr>
          <w:sz w:val="22"/>
          <w:szCs w:val="32"/>
        </w:rPr>
        <w:t xml:space="preserve">, </w:t>
      </w:r>
      <w:r w:rsidRPr="00A40DDE">
        <w:rPr>
          <w:rFonts w:ascii="Calibri" w:eastAsia="Calibri" w:hAnsi="Calibri" w:cs="Calibri"/>
          <w:sz w:val="22"/>
          <w:szCs w:val="32"/>
        </w:rPr>
        <w:t>Sec</w:t>
      </w:r>
      <w:r w:rsidRPr="00A40DDE">
        <w:rPr>
          <w:sz w:val="22"/>
          <w:szCs w:val="32"/>
        </w:rPr>
        <w:t xml:space="preserve">, </w:t>
      </w:r>
      <w:r w:rsidRPr="00A40DDE">
        <w:rPr>
          <w:rFonts w:ascii="Calibri" w:eastAsia="Calibri" w:hAnsi="Calibri" w:cs="Calibri"/>
          <w:sz w:val="22"/>
          <w:szCs w:val="32"/>
        </w:rPr>
        <w:t>Liquid</w:t>
      </w:r>
      <w:r w:rsidRPr="00A40DDE">
        <w:rPr>
          <w:sz w:val="22"/>
          <w:szCs w:val="32"/>
        </w:rPr>
        <w:t xml:space="preserve">, </w:t>
      </w:r>
      <w:r w:rsidRPr="00A40DDE">
        <w:rPr>
          <w:rFonts w:ascii="Calibri" w:eastAsia="Calibri" w:hAnsi="Calibri" w:cs="Calibri"/>
          <w:sz w:val="22"/>
          <w:szCs w:val="32"/>
        </w:rPr>
        <w:t>VIX</w:t>
      </w:r>
      <w:r w:rsidRPr="00A40DDE">
        <w:rPr>
          <w:sz w:val="22"/>
          <w:szCs w:val="32"/>
        </w:rPr>
        <w:t xml:space="preserve">, </w:t>
      </w:r>
      <w:proofErr w:type="spellStart"/>
      <w:r w:rsidRPr="00A40DDE">
        <w:rPr>
          <w:rFonts w:ascii="Calibri" w:eastAsia="Calibri" w:hAnsi="Calibri" w:cs="Calibri"/>
          <w:sz w:val="22"/>
          <w:szCs w:val="32"/>
        </w:rPr>
        <w:t>Unemp</w:t>
      </w:r>
      <w:proofErr w:type="spellEnd"/>
      <w:r w:rsidRPr="00A40DDE">
        <w:rPr>
          <w:sz w:val="22"/>
          <w:szCs w:val="32"/>
        </w:rPr>
        <w:t xml:space="preserve">, and </w:t>
      </w:r>
      <w:r w:rsidRPr="00A40DDE">
        <w:rPr>
          <w:rFonts w:ascii="Calibri" w:eastAsia="Calibri" w:hAnsi="Calibri" w:cs="Calibri"/>
          <w:sz w:val="22"/>
          <w:szCs w:val="32"/>
        </w:rPr>
        <w:t>LIBOR</w:t>
      </w:r>
      <w:r w:rsidRPr="00A40DDE">
        <w:rPr>
          <w:sz w:val="22"/>
          <w:szCs w:val="32"/>
        </w:rPr>
        <w:t>. Regressions include bank fixed effects.</w:t>
      </w:r>
    </w:p>
    <w:p w:rsidR="007A7C36" w:rsidRPr="00A40DDE" w:rsidRDefault="007A7C36" w:rsidP="007A7C36">
      <w:pPr>
        <w:spacing w:after="48" w:line="262" w:lineRule="auto"/>
        <w:ind w:left="-15" w:right="0" w:firstLine="0"/>
        <w:rPr>
          <w:sz w:val="22"/>
          <w:szCs w:val="32"/>
          <w:rtl/>
        </w:rPr>
      </w:pPr>
      <w:proofErr w:type="gramStart"/>
      <w:r w:rsidRPr="00A40DDE">
        <w:rPr>
          <w:sz w:val="22"/>
          <w:szCs w:val="32"/>
        </w:rPr>
        <w:t>t-statistics</w:t>
      </w:r>
      <w:proofErr w:type="gramEnd"/>
      <w:r w:rsidRPr="00A40DDE">
        <w:rPr>
          <w:sz w:val="22"/>
          <w:szCs w:val="32"/>
        </w:rPr>
        <w:t xml:space="preserve"> are based on standard errors clustered by bank and quarter. </w:t>
      </w:r>
      <w:proofErr w:type="gramStart"/>
      <w:r w:rsidRPr="00A40DDE">
        <w:rPr>
          <w:sz w:val="22"/>
          <w:szCs w:val="32"/>
        </w:rPr>
        <w:t>Coefficient estimates are multiplied by 100 for expositional convenience</w:t>
      </w:r>
      <w:proofErr w:type="gramEnd"/>
      <w:r w:rsidRPr="00A40DDE">
        <w:rPr>
          <w:sz w:val="22"/>
          <w:szCs w:val="32"/>
        </w:rPr>
        <w:t>. Estimations are based on 136,879 bank-quarter observations (6300 banks) over the period from Q1 1996 to Q4 2007 and from Q3 2009 to Q4 2011.</w:t>
      </w:r>
    </w:p>
    <w:p w:rsidR="007A7C36" w:rsidRPr="00A40DDE" w:rsidRDefault="007A7C36" w:rsidP="007A7C36">
      <w:pPr>
        <w:spacing w:after="48" w:line="262" w:lineRule="auto"/>
        <w:ind w:left="-15" w:right="0" w:firstLine="0"/>
        <w:rPr>
          <w:sz w:val="28"/>
          <w:szCs w:val="32"/>
          <w:rtl/>
        </w:rPr>
      </w:pPr>
    </w:p>
    <w:p w:rsidR="007A7C36" w:rsidRPr="00A40DDE" w:rsidRDefault="007A7C36" w:rsidP="007A7C36">
      <w:pPr>
        <w:spacing w:after="48" w:line="262" w:lineRule="auto"/>
        <w:ind w:left="-15" w:right="0" w:firstLine="0"/>
        <w:rPr>
          <w:sz w:val="28"/>
          <w:szCs w:val="32"/>
          <w:rtl/>
        </w:rPr>
      </w:pPr>
    </w:p>
    <w:p w:rsidR="007A7C36" w:rsidRPr="00A40DDE" w:rsidRDefault="007A7C36" w:rsidP="007A7C36">
      <w:pPr>
        <w:spacing w:after="48" w:line="262" w:lineRule="auto"/>
        <w:ind w:left="-15" w:right="0" w:firstLine="0"/>
        <w:rPr>
          <w:sz w:val="28"/>
          <w:szCs w:val="32"/>
          <w:rtl/>
        </w:rPr>
      </w:pPr>
    </w:p>
    <w:p w:rsidR="007A7C36" w:rsidRPr="00A40DDE" w:rsidRDefault="007A7C36" w:rsidP="007A7C36">
      <w:pPr>
        <w:spacing w:after="48" w:line="262" w:lineRule="auto"/>
        <w:ind w:left="-15" w:right="0" w:firstLine="0"/>
        <w:rPr>
          <w:sz w:val="28"/>
          <w:szCs w:val="32"/>
          <w:rtl/>
        </w:rPr>
      </w:pPr>
    </w:p>
    <w:p w:rsidR="007A7C36" w:rsidRPr="00A40DDE" w:rsidRDefault="007A7C36" w:rsidP="007A7C36">
      <w:pPr>
        <w:spacing w:after="48" w:line="262" w:lineRule="auto"/>
        <w:ind w:left="-15" w:right="0" w:firstLine="0"/>
        <w:rPr>
          <w:sz w:val="28"/>
          <w:szCs w:val="32"/>
          <w:rtl/>
        </w:rPr>
      </w:pPr>
    </w:p>
    <w:p w:rsidR="007A7C36" w:rsidRPr="00A40DDE" w:rsidRDefault="007A7C36" w:rsidP="007A7C36">
      <w:pPr>
        <w:spacing w:after="48" w:line="262" w:lineRule="auto"/>
        <w:ind w:left="-15" w:right="0" w:firstLine="0"/>
        <w:rPr>
          <w:sz w:val="28"/>
          <w:szCs w:val="32"/>
        </w:rPr>
      </w:pPr>
    </w:p>
    <w:p w:rsidR="007A7C36" w:rsidRPr="00A40DDE" w:rsidRDefault="007A7C36" w:rsidP="007A7C36">
      <w:pPr>
        <w:spacing w:after="0" w:line="259" w:lineRule="auto"/>
        <w:ind w:right="0" w:firstLine="0"/>
        <w:jc w:val="left"/>
        <w:rPr>
          <w:sz w:val="22"/>
          <w:szCs w:val="32"/>
          <w:rtl/>
        </w:rPr>
      </w:pPr>
      <w:r w:rsidRPr="00A40DDE">
        <w:rPr>
          <w:sz w:val="22"/>
          <w:szCs w:val="32"/>
        </w:rPr>
        <w:t xml:space="preserve">Table </w:t>
      </w:r>
      <w:r w:rsidRPr="00A40DDE">
        <w:rPr>
          <w:sz w:val="28"/>
          <w:szCs w:val="32"/>
        </w:rPr>
        <w:fldChar w:fldCharType="begin"/>
      </w:r>
      <w:r w:rsidRPr="00A40DDE">
        <w:rPr>
          <w:sz w:val="28"/>
          <w:szCs w:val="32"/>
        </w:rPr>
        <w:instrText xml:space="preserve"> PAGE   \* MERGEFORMAT </w:instrText>
      </w:r>
      <w:r w:rsidRPr="00A40DDE">
        <w:rPr>
          <w:sz w:val="28"/>
          <w:szCs w:val="32"/>
        </w:rPr>
        <w:fldChar w:fldCharType="separate"/>
      </w:r>
      <w:r w:rsidR="00EF6BD9" w:rsidRPr="00EF6BD9">
        <w:rPr>
          <w:noProof/>
          <w:sz w:val="22"/>
          <w:szCs w:val="32"/>
        </w:rPr>
        <w:t>20</w:t>
      </w:r>
      <w:r w:rsidRPr="00A40DDE">
        <w:rPr>
          <w:sz w:val="22"/>
          <w:szCs w:val="32"/>
        </w:rPr>
        <w:fldChar w:fldCharType="end"/>
      </w:r>
    </w:p>
    <w:p w:rsidR="007A7C36" w:rsidRPr="00A40DDE" w:rsidRDefault="007A7C36" w:rsidP="007A7C36">
      <w:pPr>
        <w:spacing w:after="795" w:line="262" w:lineRule="auto"/>
        <w:ind w:left="-15" w:right="0" w:firstLine="0"/>
        <w:rPr>
          <w:sz w:val="28"/>
          <w:szCs w:val="32"/>
        </w:rPr>
      </w:pPr>
      <w:r w:rsidRPr="00A40DDE">
        <w:rPr>
          <w:sz w:val="22"/>
          <w:szCs w:val="32"/>
        </w:rPr>
        <w:t xml:space="preserve">*, **, and *** </w:t>
      </w:r>
      <w:proofErr w:type="spellStart"/>
      <w:r w:rsidRPr="00A40DDE">
        <w:rPr>
          <w:sz w:val="22"/>
          <w:szCs w:val="32"/>
        </w:rPr>
        <w:t>denotesignificanceof</w:t>
      </w:r>
      <w:proofErr w:type="spellEnd"/>
      <w:r w:rsidRPr="00A40DDE">
        <w:rPr>
          <w:sz w:val="22"/>
          <w:szCs w:val="32"/>
        </w:rPr>
        <w:t xml:space="preserve"> experimental variables (based on two-tail tests) at 0.10, 0.05, and 0.01 levels.</w:t>
      </w:r>
    </w:p>
    <w:p w:rsidR="007A7C36" w:rsidRPr="00A40DDE" w:rsidRDefault="007A7C36" w:rsidP="007A7C36">
      <w:pPr>
        <w:spacing w:after="256" w:line="265" w:lineRule="auto"/>
        <w:ind w:left="-5" w:right="0" w:hanging="10"/>
        <w:jc w:val="left"/>
        <w:rPr>
          <w:sz w:val="28"/>
          <w:szCs w:val="32"/>
        </w:rPr>
      </w:pPr>
      <w:r w:rsidRPr="00A40DDE">
        <w:rPr>
          <w:sz w:val="28"/>
          <w:szCs w:val="32"/>
        </w:rPr>
        <w:t>5.2 Big baths and the opportunity for managing earnings and regulatory capital</w:t>
      </w:r>
    </w:p>
    <w:p w:rsidR="007A7C36" w:rsidRPr="00A40DDE" w:rsidRDefault="007A7C36" w:rsidP="007A7C36">
      <w:pPr>
        <w:ind w:left="-15" w:right="-13" w:firstLine="0"/>
        <w:rPr>
          <w:sz w:val="28"/>
          <w:szCs w:val="32"/>
        </w:rPr>
      </w:pPr>
      <w:r w:rsidRPr="00A40DDE">
        <w:rPr>
          <w:sz w:val="28"/>
          <w:szCs w:val="32"/>
        </w:rPr>
        <w:t xml:space="preserve">Table </w:t>
      </w:r>
      <w:r w:rsidRPr="00A40DDE">
        <w:rPr>
          <w:color w:val="392A97"/>
          <w:sz w:val="28"/>
          <w:szCs w:val="32"/>
        </w:rPr>
        <w:t xml:space="preserve">3 </w:t>
      </w:r>
      <w:r w:rsidRPr="00A40DDE">
        <w:rPr>
          <w:sz w:val="28"/>
          <w:szCs w:val="32"/>
        </w:rPr>
        <w:t>presents summary statistics from estimating three versions of Eq. (</w:t>
      </w:r>
      <w:r w:rsidRPr="00A40DDE">
        <w:rPr>
          <w:color w:val="392A97"/>
          <w:sz w:val="28"/>
          <w:szCs w:val="32"/>
        </w:rPr>
        <w:t>2</w:t>
      </w:r>
      <w:r w:rsidRPr="00A40DDE">
        <w:rPr>
          <w:sz w:val="28"/>
          <w:szCs w:val="32"/>
        </w:rPr>
        <w:t xml:space="preserve">). The first two are analogous to those in Table </w:t>
      </w:r>
      <w:r w:rsidRPr="00A40DDE">
        <w:rPr>
          <w:color w:val="392A97"/>
          <w:sz w:val="28"/>
          <w:szCs w:val="32"/>
        </w:rPr>
        <w:t xml:space="preserve">2 </w:t>
      </w:r>
      <w:r w:rsidRPr="00A40DDE">
        <w:rPr>
          <w:sz w:val="28"/>
          <w:szCs w:val="32"/>
        </w:rPr>
        <w:t xml:space="preserve">but separate positive and negative </w:t>
      </w:r>
      <w:r w:rsidRPr="00A40DDE">
        <w:rPr>
          <w:rFonts w:ascii="Calibri" w:eastAsia="Calibri" w:hAnsi="Calibri" w:cs="Calibri"/>
          <w:sz w:val="28"/>
          <w:szCs w:val="32"/>
        </w:rPr>
        <w:t xml:space="preserve">NI </w:t>
      </w:r>
      <w:r w:rsidRPr="00A40DDE">
        <w:rPr>
          <w:sz w:val="28"/>
          <w:szCs w:val="32"/>
        </w:rPr>
        <w:t xml:space="preserve">observations, and the third adds the opportunity interaction variables. Table </w:t>
      </w:r>
      <w:r w:rsidRPr="00A40DDE">
        <w:rPr>
          <w:color w:val="392A97"/>
          <w:sz w:val="28"/>
          <w:szCs w:val="32"/>
        </w:rPr>
        <w:t xml:space="preserve">3 </w:t>
      </w:r>
      <w:r w:rsidRPr="00A40DDE">
        <w:rPr>
          <w:sz w:val="28"/>
          <w:szCs w:val="32"/>
        </w:rPr>
        <w:t xml:space="preserve">reveals, as predicted, that in all three versions the </w:t>
      </w:r>
      <w:proofErr w:type="spellStart"/>
      <w:r w:rsidRPr="00A40DDE">
        <w:rPr>
          <w:rFonts w:ascii="Calibri" w:eastAsia="Calibri" w:hAnsi="Calibri" w:cs="Calibri"/>
          <w:sz w:val="28"/>
          <w:szCs w:val="32"/>
        </w:rPr>
        <w:t>NIneg</w:t>
      </w:r>
      <w:proofErr w:type="spellEnd"/>
      <w:r w:rsidRPr="00A40DDE">
        <w:rPr>
          <w:rFonts w:ascii="Calibri" w:eastAsia="Calibri" w:hAnsi="Calibri" w:cs="Calibri"/>
          <w:sz w:val="28"/>
          <w:szCs w:val="32"/>
        </w:rPr>
        <w:t xml:space="preserve"> </w:t>
      </w:r>
      <w:r w:rsidRPr="00A40DDE">
        <w:rPr>
          <w:sz w:val="28"/>
          <w:szCs w:val="32"/>
        </w:rPr>
        <w:t xml:space="preserve">coefficients are positive, and significantly so in the second and third (t-stats. = 1.61, 3.50, and 4.12), which indicates that banks with more negative earnings realize more losses or fewer gains on AFS securities. That is, they take a big bath. Table </w:t>
      </w:r>
      <w:r w:rsidRPr="00A40DDE">
        <w:rPr>
          <w:color w:val="392A97"/>
          <w:sz w:val="28"/>
          <w:szCs w:val="32"/>
        </w:rPr>
        <w:t xml:space="preserve">3 </w:t>
      </w:r>
      <w:r w:rsidRPr="00A40DDE">
        <w:rPr>
          <w:sz w:val="28"/>
          <w:szCs w:val="32"/>
        </w:rPr>
        <w:t xml:space="preserve">also reveals that the </w:t>
      </w:r>
      <w:proofErr w:type="spellStart"/>
      <w:r w:rsidRPr="00A40DDE">
        <w:rPr>
          <w:rFonts w:ascii="Calibri" w:eastAsia="Calibri" w:hAnsi="Calibri" w:cs="Calibri"/>
          <w:sz w:val="28"/>
          <w:szCs w:val="32"/>
        </w:rPr>
        <w:t>NIpos</w:t>
      </w:r>
      <w:proofErr w:type="spellEnd"/>
      <w:r w:rsidRPr="00A40DDE">
        <w:rPr>
          <w:rFonts w:ascii="Calibri" w:eastAsia="Calibri" w:hAnsi="Calibri" w:cs="Calibri"/>
          <w:sz w:val="28"/>
          <w:szCs w:val="32"/>
        </w:rPr>
        <w:t xml:space="preserve"> </w:t>
      </w:r>
      <w:r w:rsidRPr="00A40DDE">
        <w:rPr>
          <w:sz w:val="28"/>
          <w:szCs w:val="32"/>
        </w:rPr>
        <w:t xml:space="preserve">coefficients are significantly negative in all three versions (t-stats. = </w:t>
      </w:r>
      <w:r w:rsidRPr="00A40DDE">
        <w:rPr>
          <w:rFonts w:ascii="Calibri" w:eastAsia="Calibri" w:hAnsi="Calibri" w:cs="Calibri"/>
          <w:sz w:val="28"/>
          <w:szCs w:val="32"/>
        </w:rPr>
        <w:t>−</w:t>
      </w:r>
      <w:r w:rsidRPr="00A40DDE">
        <w:rPr>
          <w:sz w:val="28"/>
          <w:szCs w:val="32"/>
        </w:rPr>
        <w:t xml:space="preserve">6.94, </w:t>
      </w:r>
      <w:r w:rsidRPr="00A40DDE">
        <w:rPr>
          <w:rFonts w:ascii="Calibri" w:eastAsia="Calibri" w:hAnsi="Calibri" w:cs="Calibri"/>
          <w:sz w:val="28"/>
          <w:szCs w:val="32"/>
        </w:rPr>
        <w:t>−</w:t>
      </w:r>
      <w:r w:rsidRPr="00A40DDE">
        <w:rPr>
          <w:sz w:val="28"/>
          <w:szCs w:val="32"/>
        </w:rPr>
        <w:t xml:space="preserve">7.04, and </w:t>
      </w:r>
      <w:r w:rsidRPr="00A40DDE">
        <w:rPr>
          <w:rFonts w:ascii="Calibri" w:eastAsia="Calibri" w:hAnsi="Calibri" w:cs="Calibri"/>
          <w:sz w:val="28"/>
          <w:szCs w:val="32"/>
        </w:rPr>
        <w:t>−</w:t>
      </w:r>
      <w:r w:rsidRPr="00A40DDE">
        <w:rPr>
          <w:sz w:val="28"/>
          <w:szCs w:val="32"/>
        </w:rPr>
        <w:t xml:space="preserve">7.08), which indicates that banks with more positive earnings realize fewer gains or more losses on AFS securities. That is, they smooth earnings. Together, these findings reveal that the evidence of earnings smoothing in Table </w:t>
      </w:r>
      <w:r w:rsidRPr="00A40DDE">
        <w:rPr>
          <w:color w:val="392A97"/>
          <w:sz w:val="28"/>
          <w:szCs w:val="32"/>
        </w:rPr>
        <w:t xml:space="preserve">2 </w:t>
      </w:r>
      <w:r w:rsidRPr="00A40DDE">
        <w:rPr>
          <w:sz w:val="28"/>
          <w:szCs w:val="32"/>
        </w:rPr>
        <w:t>and prior research is a net result dominated by banks with positive earnings. Banks with negative earnings take a big bath; they do not smooth earnings.</w:t>
      </w:r>
    </w:p>
    <w:p w:rsidR="007A7C36" w:rsidRPr="00A40DDE" w:rsidRDefault="007A7C36" w:rsidP="007A7C36">
      <w:pPr>
        <w:ind w:left="-15" w:right="-13"/>
        <w:rPr>
          <w:sz w:val="28"/>
          <w:szCs w:val="32"/>
        </w:rPr>
      </w:pPr>
      <w:r w:rsidRPr="00A40DDE">
        <w:rPr>
          <w:sz w:val="28"/>
          <w:szCs w:val="32"/>
        </w:rPr>
        <w:t xml:space="preserve">Table </w:t>
      </w:r>
      <w:r w:rsidRPr="00A40DDE">
        <w:rPr>
          <w:color w:val="392A97"/>
          <w:sz w:val="28"/>
          <w:szCs w:val="32"/>
        </w:rPr>
        <w:t xml:space="preserve">3 </w:t>
      </w:r>
      <w:r w:rsidRPr="00A40DDE">
        <w:rPr>
          <w:sz w:val="28"/>
          <w:szCs w:val="32"/>
        </w:rPr>
        <w:t xml:space="preserve">also reveals that the insignificant interaction between the incentives to manage earnings and regulatory capital in Table </w:t>
      </w:r>
      <w:r w:rsidRPr="00A40DDE">
        <w:rPr>
          <w:color w:val="392A97"/>
          <w:sz w:val="28"/>
          <w:szCs w:val="32"/>
        </w:rPr>
        <w:t xml:space="preserve">2 </w:t>
      </w:r>
      <w:r w:rsidRPr="00A40DDE">
        <w:rPr>
          <w:sz w:val="28"/>
          <w:szCs w:val="32"/>
        </w:rPr>
        <w:t xml:space="preserve">is attributable to not distinguishing between positive and negative </w:t>
      </w:r>
      <w:r w:rsidRPr="00A40DDE">
        <w:rPr>
          <w:rFonts w:ascii="Calibri" w:eastAsia="Calibri" w:hAnsi="Calibri" w:cs="Calibri"/>
          <w:sz w:val="28"/>
          <w:szCs w:val="32"/>
        </w:rPr>
        <w:t xml:space="preserve">NI </w:t>
      </w:r>
      <w:r w:rsidRPr="00A40DDE">
        <w:rPr>
          <w:sz w:val="28"/>
          <w:szCs w:val="32"/>
        </w:rPr>
        <w:t xml:space="preserve">banks. In particular, in Models II and III the </w:t>
      </w:r>
      <w:proofErr w:type="spellStart"/>
      <w:r w:rsidRPr="00A40DDE">
        <w:rPr>
          <w:rFonts w:ascii="Calibri" w:eastAsia="Calibri" w:hAnsi="Calibri" w:cs="Calibri"/>
          <w:sz w:val="28"/>
          <w:szCs w:val="32"/>
        </w:rPr>
        <w:t>NIneg</w:t>
      </w:r>
      <w:proofErr w:type="spellEnd"/>
      <w:r w:rsidRPr="00A40DDE">
        <w:rPr>
          <w:rFonts w:ascii="Calibri" w:eastAsia="Calibri" w:hAnsi="Calibri" w:cs="Calibri"/>
          <w:sz w:val="28"/>
          <w:szCs w:val="32"/>
        </w:rPr>
        <w:t xml:space="preserve"> × </w:t>
      </w:r>
      <w:proofErr w:type="spellStart"/>
      <w:r w:rsidRPr="00A40DDE">
        <w:rPr>
          <w:rFonts w:ascii="Calibri" w:eastAsia="Calibri" w:hAnsi="Calibri" w:cs="Calibri"/>
          <w:sz w:val="28"/>
          <w:szCs w:val="32"/>
        </w:rPr>
        <w:t>RegCapLow</w:t>
      </w:r>
      <w:proofErr w:type="spellEnd"/>
      <w:r w:rsidRPr="00A40DDE">
        <w:rPr>
          <w:rFonts w:ascii="Calibri" w:eastAsia="Calibri" w:hAnsi="Calibri" w:cs="Calibri"/>
          <w:sz w:val="28"/>
          <w:szCs w:val="32"/>
        </w:rPr>
        <w:t xml:space="preserve"> </w:t>
      </w:r>
      <w:r w:rsidRPr="00A40DDE">
        <w:rPr>
          <w:sz w:val="28"/>
          <w:szCs w:val="32"/>
        </w:rPr>
        <w:t xml:space="preserve">coefficients are significantly negative (t-stats. = </w:t>
      </w:r>
      <w:r w:rsidRPr="00A40DDE">
        <w:rPr>
          <w:rFonts w:ascii="Calibri" w:eastAsia="Calibri" w:hAnsi="Calibri" w:cs="Calibri"/>
          <w:sz w:val="28"/>
          <w:szCs w:val="32"/>
        </w:rPr>
        <w:t>−</w:t>
      </w:r>
      <w:r w:rsidRPr="00A40DDE">
        <w:rPr>
          <w:sz w:val="28"/>
          <w:szCs w:val="32"/>
        </w:rPr>
        <w:t xml:space="preserve">4.00 and </w:t>
      </w:r>
      <w:r w:rsidRPr="00A40DDE">
        <w:rPr>
          <w:rFonts w:ascii="Calibri" w:eastAsia="Calibri" w:hAnsi="Calibri" w:cs="Calibri"/>
          <w:sz w:val="28"/>
          <w:szCs w:val="32"/>
        </w:rPr>
        <w:t>−</w:t>
      </w:r>
      <w:r w:rsidRPr="00A40DDE">
        <w:rPr>
          <w:sz w:val="28"/>
          <w:szCs w:val="32"/>
        </w:rPr>
        <w:t xml:space="preserve">4.17), which indicates that negative </w:t>
      </w:r>
      <w:r w:rsidRPr="00A40DDE">
        <w:rPr>
          <w:rFonts w:ascii="Calibri" w:eastAsia="Calibri" w:hAnsi="Calibri" w:cs="Calibri"/>
          <w:sz w:val="28"/>
          <w:szCs w:val="32"/>
        </w:rPr>
        <w:t xml:space="preserve">NI </w:t>
      </w:r>
      <w:r w:rsidRPr="00A40DDE">
        <w:rPr>
          <w:sz w:val="28"/>
          <w:szCs w:val="32"/>
        </w:rPr>
        <w:t xml:space="preserve">banks with low regulatory capital engage in significantly less big bath earnings management. In Model II the total coefficient of </w:t>
      </w:r>
      <w:r w:rsidRPr="00A40DDE">
        <w:rPr>
          <w:rFonts w:ascii="Calibri" w:eastAsia="Calibri" w:hAnsi="Calibri" w:cs="Calibri"/>
          <w:sz w:val="28"/>
          <w:szCs w:val="32"/>
        </w:rPr>
        <w:t>−</w:t>
      </w:r>
      <w:r w:rsidRPr="00A40DDE">
        <w:rPr>
          <w:sz w:val="28"/>
          <w:szCs w:val="32"/>
        </w:rPr>
        <w:t xml:space="preserve">0.21, 0.43 </w:t>
      </w:r>
      <w:r w:rsidRPr="00A40DDE">
        <w:rPr>
          <w:rFonts w:ascii="Calibri" w:eastAsia="Calibri" w:hAnsi="Calibri" w:cs="Calibri"/>
          <w:sz w:val="28"/>
          <w:szCs w:val="32"/>
        </w:rPr>
        <w:t xml:space="preserve">– </w:t>
      </w:r>
      <w:r w:rsidRPr="00A40DDE">
        <w:rPr>
          <w:sz w:val="28"/>
          <w:szCs w:val="32"/>
        </w:rPr>
        <w:t xml:space="preserve">0.64, is not significantly different from zero (t-stat. = </w:t>
      </w:r>
      <w:r w:rsidRPr="00A40DDE">
        <w:rPr>
          <w:rFonts w:ascii="Calibri" w:eastAsia="Calibri" w:hAnsi="Calibri" w:cs="Calibri"/>
          <w:sz w:val="28"/>
          <w:szCs w:val="32"/>
        </w:rPr>
        <w:t>−</w:t>
      </w:r>
      <w:r w:rsidRPr="00A40DDE">
        <w:rPr>
          <w:sz w:val="28"/>
          <w:szCs w:val="32"/>
        </w:rPr>
        <w:t xml:space="preserve">1.07), which indicates that low regulatory capital eliminates the incentive for negative </w:t>
      </w:r>
      <w:r w:rsidRPr="00A40DDE">
        <w:rPr>
          <w:rFonts w:ascii="Calibri" w:eastAsia="Calibri" w:hAnsi="Calibri" w:cs="Calibri"/>
          <w:sz w:val="28"/>
          <w:szCs w:val="32"/>
        </w:rPr>
        <w:t xml:space="preserve">NI </w:t>
      </w:r>
      <w:r w:rsidRPr="00A40DDE">
        <w:rPr>
          <w:sz w:val="28"/>
          <w:szCs w:val="32"/>
        </w:rPr>
        <w:t>banks to</w:t>
      </w:r>
    </w:p>
    <w:p w:rsidR="00953FF4" w:rsidRPr="00A40DDE" w:rsidRDefault="00953FF4" w:rsidP="007A7C36">
      <w:pPr>
        <w:spacing w:after="49" w:line="262" w:lineRule="auto"/>
        <w:ind w:left="-15" w:right="0" w:firstLine="0"/>
        <w:rPr>
          <w:sz w:val="22"/>
          <w:szCs w:val="32"/>
        </w:rPr>
      </w:pPr>
      <w:r w:rsidRPr="00A40DDE">
        <w:rPr>
          <w:noProof/>
          <w:sz w:val="24"/>
          <w:szCs w:val="28"/>
        </w:rPr>
        <w:lastRenderedPageBreak/>
        <w:drawing>
          <wp:inline distT="0" distB="0" distL="0" distR="0" wp14:anchorId="0F3564A0" wp14:editId="35EE844D">
            <wp:extent cx="5286375" cy="8499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90727" cy="8506347"/>
                    </a:xfrm>
                    <a:prstGeom prst="rect">
                      <a:avLst/>
                    </a:prstGeom>
                  </pic:spPr>
                </pic:pic>
              </a:graphicData>
            </a:graphic>
          </wp:inline>
        </w:drawing>
      </w:r>
    </w:p>
    <w:p w:rsidR="00953FF4" w:rsidRPr="00A40DDE" w:rsidRDefault="00953FF4" w:rsidP="007A7C36">
      <w:pPr>
        <w:spacing w:after="49" w:line="262" w:lineRule="auto"/>
        <w:ind w:left="-15" w:right="0" w:firstLine="0"/>
        <w:rPr>
          <w:sz w:val="22"/>
          <w:szCs w:val="32"/>
        </w:rPr>
      </w:pPr>
      <w:r w:rsidRPr="00A40DDE">
        <w:rPr>
          <w:noProof/>
          <w:sz w:val="24"/>
          <w:szCs w:val="28"/>
        </w:rPr>
        <w:lastRenderedPageBreak/>
        <w:drawing>
          <wp:inline distT="0" distB="0" distL="0" distR="0" wp14:anchorId="6DA702EB" wp14:editId="47AA1F74">
            <wp:extent cx="5876925" cy="8191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76925" cy="819150"/>
                    </a:xfrm>
                    <a:prstGeom prst="rect">
                      <a:avLst/>
                    </a:prstGeom>
                  </pic:spPr>
                </pic:pic>
              </a:graphicData>
            </a:graphic>
          </wp:inline>
        </w:drawing>
      </w:r>
    </w:p>
    <w:p w:rsidR="007A7C36" w:rsidRPr="00A40DDE" w:rsidRDefault="007A7C36" w:rsidP="007A7C36">
      <w:pPr>
        <w:spacing w:after="49" w:line="262" w:lineRule="auto"/>
        <w:ind w:left="-15" w:right="0" w:firstLine="0"/>
        <w:rPr>
          <w:sz w:val="28"/>
          <w:szCs w:val="32"/>
        </w:rPr>
      </w:pPr>
      <w:r w:rsidRPr="00A40DDE">
        <w:rPr>
          <w:sz w:val="22"/>
          <w:szCs w:val="32"/>
        </w:rPr>
        <w:t xml:space="preserve">See Table </w:t>
      </w:r>
      <w:r w:rsidRPr="00A40DDE">
        <w:rPr>
          <w:color w:val="392A97"/>
          <w:sz w:val="22"/>
          <w:szCs w:val="32"/>
        </w:rPr>
        <w:t xml:space="preserve">1 </w:t>
      </w:r>
      <w:r w:rsidRPr="00A40DDE">
        <w:rPr>
          <w:sz w:val="22"/>
          <w:szCs w:val="32"/>
        </w:rPr>
        <w:t xml:space="preserve">for variable definitions. </w:t>
      </w:r>
      <w:r w:rsidRPr="00A40DDE">
        <w:rPr>
          <w:rFonts w:ascii="Calibri" w:eastAsia="Calibri" w:hAnsi="Calibri" w:cs="Calibri"/>
          <w:sz w:val="22"/>
          <w:szCs w:val="32"/>
        </w:rPr>
        <w:t xml:space="preserve">Other controls </w:t>
      </w:r>
      <w:r w:rsidRPr="00A40DDE">
        <w:rPr>
          <w:sz w:val="22"/>
          <w:szCs w:val="32"/>
        </w:rPr>
        <w:t xml:space="preserve">comprises </w:t>
      </w:r>
      <w:r w:rsidRPr="00A40DDE">
        <w:rPr>
          <w:rFonts w:ascii="Calibri" w:eastAsia="Calibri" w:hAnsi="Calibri" w:cs="Calibri"/>
          <w:sz w:val="22"/>
          <w:szCs w:val="32"/>
        </w:rPr>
        <w:t>Size</w:t>
      </w:r>
      <w:r w:rsidRPr="00A40DDE">
        <w:rPr>
          <w:sz w:val="22"/>
          <w:szCs w:val="32"/>
        </w:rPr>
        <w:t xml:space="preserve">, </w:t>
      </w:r>
      <w:r w:rsidRPr="00A40DDE">
        <w:rPr>
          <w:rFonts w:ascii="Calibri" w:eastAsia="Calibri" w:hAnsi="Calibri" w:cs="Calibri"/>
          <w:sz w:val="22"/>
          <w:szCs w:val="32"/>
        </w:rPr>
        <w:t>Sec</w:t>
      </w:r>
      <w:r w:rsidRPr="00A40DDE">
        <w:rPr>
          <w:sz w:val="22"/>
          <w:szCs w:val="32"/>
        </w:rPr>
        <w:t xml:space="preserve">, </w:t>
      </w:r>
      <w:r w:rsidRPr="00A40DDE">
        <w:rPr>
          <w:rFonts w:ascii="Calibri" w:eastAsia="Calibri" w:hAnsi="Calibri" w:cs="Calibri"/>
          <w:sz w:val="22"/>
          <w:szCs w:val="32"/>
        </w:rPr>
        <w:t>Liquid</w:t>
      </w:r>
      <w:r w:rsidRPr="00A40DDE">
        <w:rPr>
          <w:sz w:val="22"/>
          <w:szCs w:val="32"/>
        </w:rPr>
        <w:t xml:space="preserve">, </w:t>
      </w:r>
      <w:r w:rsidRPr="00A40DDE">
        <w:rPr>
          <w:rFonts w:ascii="Calibri" w:eastAsia="Calibri" w:hAnsi="Calibri" w:cs="Calibri"/>
          <w:sz w:val="22"/>
          <w:szCs w:val="32"/>
        </w:rPr>
        <w:t>VIX</w:t>
      </w:r>
      <w:r w:rsidRPr="00A40DDE">
        <w:rPr>
          <w:sz w:val="22"/>
          <w:szCs w:val="32"/>
        </w:rPr>
        <w:t xml:space="preserve">, </w:t>
      </w:r>
      <w:proofErr w:type="spellStart"/>
      <w:r w:rsidRPr="00A40DDE">
        <w:rPr>
          <w:rFonts w:ascii="Calibri" w:eastAsia="Calibri" w:hAnsi="Calibri" w:cs="Calibri"/>
          <w:sz w:val="22"/>
          <w:szCs w:val="32"/>
        </w:rPr>
        <w:t>Unemp</w:t>
      </w:r>
      <w:proofErr w:type="spellEnd"/>
      <w:r w:rsidRPr="00A40DDE">
        <w:rPr>
          <w:sz w:val="22"/>
          <w:szCs w:val="32"/>
        </w:rPr>
        <w:t xml:space="preserve">, and </w:t>
      </w:r>
      <w:r w:rsidRPr="00A40DDE">
        <w:rPr>
          <w:rFonts w:ascii="Calibri" w:eastAsia="Calibri" w:hAnsi="Calibri" w:cs="Calibri"/>
          <w:sz w:val="22"/>
          <w:szCs w:val="32"/>
        </w:rPr>
        <w:t>LIBOR</w:t>
      </w:r>
      <w:r w:rsidRPr="00A40DDE">
        <w:rPr>
          <w:sz w:val="22"/>
          <w:szCs w:val="32"/>
        </w:rPr>
        <w:t>. Regressions include bank fixed effects.</w:t>
      </w:r>
    </w:p>
    <w:p w:rsidR="007A7C36" w:rsidRPr="00A40DDE" w:rsidRDefault="007A7C36" w:rsidP="007A7C36">
      <w:pPr>
        <w:spacing w:after="51" w:line="262" w:lineRule="auto"/>
        <w:ind w:left="-15" w:right="0" w:firstLine="0"/>
        <w:rPr>
          <w:sz w:val="28"/>
          <w:szCs w:val="32"/>
        </w:rPr>
      </w:pPr>
      <w:proofErr w:type="gramStart"/>
      <w:r w:rsidRPr="00A40DDE">
        <w:rPr>
          <w:sz w:val="22"/>
          <w:szCs w:val="32"/>
        </w:rPr>
        <w:t>t-statistics</w:t>
      </w:r>
      <w:proofErr w:type="gramEnd"/>
      <w:r w:rsidRPr="00A40DDE">
        <w:rPr>
          <w:sz w:val="22"/>
          <w:szCs w:val="32"/>
        </w:rPr>
        <w:t xml:space="preserve"> are based on standard errors clustered by bank and quarter. </w:t>
      </w:r>
      <w:proofErr w:type="gramStart"/>
      <w:r w:rsidRPr="00A40DDE">
        <w:rPr>
          <w:sz w:val="22"/>
          <w:szCs w:val="32"/>
        </w:rPr>
        <w:t xml:space="preserve">Coefficient estimates, except for the interactions of </w:t>
      </w:r>
      <w:proofErr w:type="spellStart"/>
      <w:r w:rsidRPr="00A40DDE">
        <w:rPr>
          <w:rFonts w:ascii="Calibri" w:eastAsia="Calibri" w:hAnsi="Calibri" w:cs="Calibri"/>
          <w:sz w:val="22"/>
          <w:szCs w:val="32"/>
        </w:rPr>
        <w:t>NIneg</w:t>
      </w:r>
      <w:proofErr w:type="spellEnd"/>
      <w:r w:rsidRPr="00A40DDE">
        <w:rPr>
          <w:rFonts w:ascii="Calibri" w:eastAsia="Calibri" w:hAnsi="Calibri" w:cs="Calibri"/>
          <w:sz w:val="22"/>
          <w:szCs w:val="32"/>
        </w:rPr>
        <w:t xml:space="preserve"> </w:t>
      </w:r>
      <w:r w:rsidRPr="00A40DDE">
        <w:rPr>
          <w:sz w:val="22"/>
          <w:szCs w:val="32"/>
        </w:rPr>
        <w:t xml:space="preserve">and </w:t>
      </w:r>
      <w:proofErr w:type="spellStart"/>
      <w:r w:rsidRPr="00A40DDE">
        <w:rPr>
          <w:rFonts w:ascii="Calibri" w:eastAsia="Calibri" w:hAnsi="Calibri" w:cs="Calibri"/>
          <w:sz w:val="22"/>
          <w:szCs w:val="32"/>
        </w:rPr>
        <w:t>NIpos</w:t>
      </w:r>
      <w:proofErr w:type="spellEnd"/>
      <w:r w:rsidRPr="00A40DDE">
        <w:rPr>
          <w:rFonts w:ascii="Calibri" w:eastAsia="Calibri" w:hAnsi="Calibri" w:cs="Calibri"/>
          <w:sz w:val="22"/>
          <w:szCs w:val="32"/>
        </w:rPr>
        <w:t xml:space="preserve"> </w:t>
      </w:r>
      <w:r w:rsidRPr="00A40DDE">
        <w:rPr>
          <w:sz w:val="22"/>
          <w:szCs w:val="32"/>
        </w:rPr>
        <w:t xml:space="preserve">with </w:t>
      </w:r>
      <w:r w:rsidRPr="00A40DDE">
        <w:rPr>
          <w:rFonts w:ascii="Calibri" w:eastAsia="Calibri" w:hAnsi="Calibri" w:cs="Calibri"/>
          <w:sz w:val="22"/>
          <w:szCs w:val="32"/>
        </w:rPr>
        <w:t xml:space="preserve">UL </w:t>
      </w:r>
      <w:r w:rsidRPr="00A40DDE">
        <w:rPr>
          <w:sz w:val="22"/>
          <w:szCs w:val="32"/>
        </w:rPr>
        <w:t xml:space="preserve">and </w:t>
      </w:r>
      <w:r w:rsidRPr="00A40DDE">
        <w:rPr>
          <w:rFonts w:ascii="Calibri" w:eastAsia="Calibri" w:hAnsi="Calibri" w:cs="Calibri"/>
          <w:sz w:val="22"/>
          <w:szCs w:val="32"/>
        </w:rPr>
        <w:t>UG</w:t>
      </w:r>
      <w:r w:rsidRPr="00A40DDE">
        <w:rPr>
          <w:sz w:val="22"/>
          <w:szCs w:val="32"/>
        </w:rPr>
        <w:t>, are multiplied by 100 for expositional convenience</w:t>
      </w:r>
      <w:proofErr w:type="gramEnd"/>
      <w:r w:rsidRPr="00A40DDE">
        <w:rPr>
          <w:sz w:val="22"/>
          <w:szCs w:val="32"/>
        </w:rPr>
        <w:t>. Estimations are based on 136,879 bank-quarter observations (6300 banks) over the period from Q1 1996 to Q4 2007 and from Q3 2009 to Q4 2011.</w:t>
      </w:r>
    </w:p>
    <w:p w:rsidR="007A7C36" w:rsidRPr="00A40DDE" w:rsidRDefault="007A7C36" w:rsidP="007A7C36">
      <w:pPr>
        <w:spacing w:after="949" w:line="262" w:lineRule="auto"/>
        <w:ind w:left="-15" w:right="0" w:firstLine="0"/>
        <w:rPr>
          <w:sz w:val="28"/>
          <w:szCs w:val="32"/>
        </w:rPr>
      </w:pPr>
      <w:r w:rsidRPr="00A40DDE">
        <w:rPr>
          <w:sz w:val="22"/>
          <w:szCs w:val="32"/>
        </w:rPr>
        <w:t xml:space="preserve">*, **, and *** </w:t>
      </w:r>
      <w:proofErr w:type="spellStart"/>
      <w:r w:rsidRPr="00A40DDE">
        <w:rPr>
          <w:sz w:val="22"/>
          <w:szCs w:val="32"/>
        </w:rPr>
        <w:t>denotesignificanceof</w:t>
      </w:r>
      <w:proofErr w:type="spellEnd"/>
      <w:r w:rsidRPr="00A40DDE">
        <w:rPr>
          <w:sz w:val="22"/>
          <w:szCs w:val="32"/>
        </w:rPr>
        <w:t xml:space="preserve"> experimental variables (based on two-tail tests) at 0.10, 0.05, and 0.01 levels.</w:t>
      </w:r>
    </w:p>
    <w:p w:rsidR="007A7C36" w:rsidRPr="00A40DDE" w:rsidRDefault="007A7C36" w:rsidP="007A7C36">
      <w:pPr>
        <w:ind w:left="-15" w:right="-13" w:firstLine="0"/>
        <w:rPr>
          <w:sz w:val="28"/>
          <w:szCs w:val="32"/>
        </w:rPr>
      </w:pPr>
      <w:proofErr w:type="gramStart"/>
      <w:r w:rsidRPr="00A40DDE">
        <w:rPr>
          <w:sz w:val="28"/>
          <w:szCs w:val="32"/>
        </w:rPr>
        <w:t>engage</w:t>
      </w:r>
      <w:proofErr w:type="gramEnd"/>
      <w:r w:rsidRPr="00A40DDE">
        <w:rPr>
          <w:sz w:val="28"/>
          <w:szCs w:val="32"/>
        </w:rPr>
        <w:t xml:space="preserve"> in big bath earnings management. Conditional on </w:t>
      </w:r>
      <w:proofErr w:type="spellStart"/>
      <w:r w:rsidRPr="00A40DDE">
        <w:rPr>
          <w:rFonts w:ascii="Calibri" w:eastAsia="Calibri" w:hAnsi="Calibri" w:cs="Calibri"/>
          <w:sz w:val="28"/>
          <w:szCs w:val="32"/>
        </w:rPr>
        <w:t>NIneg</w:t>
      </w:r>
      <w:proofErr w:type="spellEnd"/>
      <w:r w:rsidRPr="00A40DDE">
        <w:rPr>
          <w:rFonts w:ascii="Calibri" w:eastAsia="Calibri" w:hAnsi="Calibri" w:cs="Calibri"/>
          <w:sz w:val="28"/>
          <w:szCs w:val="32"/>
        </w:rPr>
        <w:t xml:space="preserve"> × </w:t>
      </w:r>
      <w:proofErr w:type="spellStart"/>
      <w:r w:rsidRPr="00A40DDE">
        <w:rPr>
          <w:rFonts w:ascii="Calibri" w:eastAsia="Calibri" w:hAnsi="Calibri" w:cs="Calibri"/>
          <w:sz w:val="28"/>
          <w:szCs w:val="32"/>
        </w:rPr>
        <w:t>RegCapLow</w:t>
      </w:r>
      <w:proofErr w:type="spellEnd"/>
      <w:r w:rsidRPr="00A40DDE">
        <w:rPr>
          <w:sz w:val="28"/>
          <w:szCs w:val="32"/>
        </w:rPr>
        <w:t xml:space="preserve">, the </w:t>
      </w:r>
      <w:proofErr w:type="spellStart"/>
      <w:r w:rsidRPr="00A40DDE">
        <w:rPr>
          <w:rFonts w:ascii="Calibri" w:eastAsia="Calibri" w:hAnsi="Calibri" w:cs="Calibri"/>
          <w:sz w:val="28"/>
          <w:szCs w:val="32"/>
        </w:rPr>
        <w:t>RegCapLow</w:t>
      </w:r>
      <w:proofErr w:type="spellEnd"/>
      <w:r w:rsidRPr="00A40DDE">
        <w:rPr>
          <w:rFonts w:ascii="Calibri" w:eastAsia="Calibri" w:hAnsi="Calibri" w:cs="Calibri"/>
          <w:sz w:val="28"/>
          <w:szCs w:val="32"/>
        </w:rPr>
        <w:t xml:space="preserve"> </w:t>
      </w:r>
      <w:r w:rsidRPr="00A40DDE">
        <w:rPr>
          <w:sz w:val="28"/>
          <w:szCs w:val="32"/>
        </w:rPr>
        <w:t>coefficient is not significantly different from zero (t-stat. = 1.43).</w:t>
      </w:r>
    </w:p>
    <w:p w:rsidR="007A7C36" w:rsidRPr="00A40DDE" w:rsidRDefault="007A7C36" w:rsidP="007A7C36">
      <w:pPr>
        <w:rPr>
          <w:sz w:val="28"/>
          <w:szCs w:val="32"/>
          <w:rtl/>
        </w:rPr>
      </w:pPr>
      <w:r w:rsidRPr="00A40DDE">
        <w:rPr>
          <w:sz w:val="28"/>
          <w:szCs w:val="32"/>
        </w:rPr>
        <w:t xml:space="preserve">Regarding the opportunity to manage earnings and regulatory capital, in Model III the </w:t>
      </w:r>
      <w:proofErr w:type="spellStart"/>
      <w:r w:rsidRPr="00A40DDE">
        <w:rPr>
          <w:rFonts w:ascii="Calibri" w:eastAsia="Calibri" w:hAnsi="Calibri" w:cs="Calibri"/>
          <w:sz w:val="28"/>
          <w:szCs w:val="32"/>
        </w:rPr>
        <w:t>NIneg</w:t>
      </w:r>
      <w:proofErr w:type="spellEnd"/>
      <w:r w:rsidRPr="00A40DDE">
        <w:rPr>
          <w:rFonts w:ascii="Calibri" w:eastAsia="Calibri" w:hAnsi="Calibri" w:cs="Calibri"/>
          <w:sz w:val="28"/>
          <w:szCs w:val="32"/>
        </w:rPr>
        <w:t xml:space="preserve"> </w:t>
      </w:r>
      <w:r w:rsidRPr="00A40DDE">
        <w:rPr>
          <w:sz w:val="28"/>
          <w:szCs w:val="32"/>
        </w:rPr>
        <w:t xml:space="preserve">× </w:t>
      </w:r>
      <w:r w:rsidRPr="00A40DDE">
        <w:rPr>
          <w:rFonts w:ascii="Calibri" w:eastAsia="Calibri" w:hAnsi="Calibri" w:cs="Calibri"/>
          <w:sz w:val="28"/>
          <w:szCs w:val="32"/>
        </w:rPr>
        <w:t>UL</w:t>
      </w:r>
      <w:r w:rsidRPr="00A40DDE">
        <w:rPr>
          <w:rFonts w:ascii="Calibri" w:eastAsia="Calibri" w:hAnsi="Calibri" w:cs="Calibri"/>
          <w:sz w:val="28"/>
          <w:szCs w:val="32"/>
          <w:vertAlign w:val="subscript"/>
        </w:rPr>
        <w:t>t−</w:t>
      </w:r>
      <w:r w:rsidRPr="00A40DDE">
        <w:rPr>
          <w:sz w:val="28"/>
          <w:szCs w:val="32"/>
          <w:vertAlign w:val="subscript"/>
        </w:rPr>
        <w:t xml:space="preserve">1 </w:t>
      </w:r>
      <w:r w:rsidRPr="00A40DDE">
        <w:rPr>
          <w:sz w:val="28"/>
          <w:szCs w:val="32"/>
        </w:rPr>
        <w:t xml:space="preserve">coefficient is significantly negative (t-stat. = </w:t>
      </w:r>
      <w:r w:rsidRPr="00A40DDE">
        <w:rPr>
          <w:rFonts w:ascii="Calibri" w:eastAsia="Calibri" w:hAnsi="Calibri" w:cs="Calibri"/>
          <w:sz w:val="28"/>
          <w:szCs w:val="32"/>
        </w:rPr>
        <w:t>−</w:t>
      </w:r>
      <w:r w:rsidRPr="00A40DDE">
        <w:rPr>
          <w:sz w:val="28"/>
          <w:szCs w:val="32"/>
        </w:rPr>
        <w:t xml:space="preserve">3.62), which indicates that banks with more negative earnings and larger accumulated unrealized losses engage in more big bath earnings management. The </w:t>
      </w:r>
      <w:proofErr w:type="spellStart"/>
      <w:r w:rsidRPr="00A40DDE">
        <w:rPr>
          <w:rFonts w:ascii="Calibri" w:eastAsia="Calibri" w:hAnsi="Calibri" w:cs="Calibri"/>
          <w:sz w:val="28"/>
          <w:szCs w:val="32"/>
        </w:rPr>
        <w:t>NIneg</w:t>
      </w:r>
      <w:proofErr w:type="spellEnd"/>
      <w:r w:rsidRPr="00A40DDE">
        <w:rPr>
          <w:rFonts w:ascii="Calibri" w:eastAsia="Calibri" w:hAnsi="Calibri" w:cs="Calibri"/>
          <w:sz w:val="28"/>
          <w:szCs w:val="32"/>
        </w:rPr>
        <w:t xml:space="preserve"> </w:t>
      </w:r>
      <w:r w:rsidRPr="00A40DDE">
        <w:rPr>
          <w:sz w:val="28"/>
          <w:szCs w:val="32"/>
        </w:rPr>
        <w:t xml:space="preserve">× </w:t>
      </w:r>
      <w:r w:rsidRPr="00A40DDE">
        <w:rPr>
          <w:rFonts w:ascii="Calibri" w:eastAsia="Calibri" w:hAnsi="Calibri" w:cs="Calibri"/>
          <w:sz w:val="28"/>
          <w:szCs w:val="32"/>
        </w:rPr>
        <w:t>UG</w:t>
      </w:r>
      <w:r w:rsidRPr="00A40DDE">
        <w:rPr>
          <w:rFonts w:ascii="Calibri" w:eastAsia="Calibri" w:hAnsi="Calibri" w:cs="Calibri"/>
          <w:sz w:val="28"/>
          <w:szCs w:val="32"/>
          <w:vertAlign w:val="subscript"/>
        </w:rPr>
        <w:t>t−</w:t>
      </w:r>
      <w:r w:rsidRPr="00A40DDE">
        <w:rPr>
          <w:sz w:val="28"/>
          <w:szCs w:val="32"/>
          <w:vertAlign w:val="subscript"/>
        </w:rPr>
        <w:t xml:space="preserve">1 </w:t>
      </w:r>
      <w:r w:rsidRPr="00A40DDE">
        <w:rPr>
          <w:sz w:val="28"/>
          <w:szCs w:val="32"/>
        </w:rPr>
        <w:t xml:space="preserve">coefficient is significantly negative (t-stat. = </w:t>
      </w:r>
      <w:r w:rsidRPr="00A40DDE">
        <w:rPr>
          <w:rFonts w:ascii="Calibri" w:eastAsia="Calibri" w:hAnsi="Calibri" w:cs="Calibri"/>
          <w:sz w:val="28"/>
          <w:szCs w:val="32"/>
        </w:rPr>
        <w:t>−</w:t>
      </w:r>
      <w:r w:rsidRPr="00A40DDE">
        <w:rPr>
          <w:sz w:val="28"/>
          <w:szCs w:val="32"/>
        </w:rPr>
        <w:t xml:space="preserve">4.38), which indicates that banks with more negative earnings realize more net gains on AFS securities when they have more accumulated unrealized gains. That is, they engage in more earnings smoothing. The </w:t>
      </w:r>
      <w:proofErr w:type="spellStart"/>
      <w:r w:rsidRPr="00A40DDE">
        <w:rPr>
          <w:rFonts w:ascii="Calibri" w:eastAsia="Calibri" w:hAnsi="Calibri" w:cs="Calibri"/>
          <w:sz w:val="28"/>
          <w:szCs w:val="32"/>
        </w:rPr>
        <w:t>NIpos</w:t>
      </w:r>
      <w:proofErr w:type="spellEnd"/>
      <w:r w:rsidRPr="00A40DDE">
        <w:rPr>
          <w:rFonts w:ascii="Calibri" w:eastAsia="Calibri" w:hAnsi="Calibri" w:cs="Calibri"/>
          <w:sz w:val="28"/>
          <w:szCs w:val="32"/>
        </w:rPr>
        <w:t xml:space="preserve"> </w:t>
      </w:r>
      <w:r w:rsidRPr="00A40DDE">
        <w:rPr>
          <w:sz w:val="28"/>
          <w:szCs w:val="32"/>
        </w:rPr>
        <w:t xml:space="preserve">× </w:t>
      </w:r>
      <w:r w:rsidRPr="00A40DDE">
        <w:rPr>
          <w:rFonts w:ascii="Calibri" w:eastAsia="Calibri" w:hAnsi="Calibri" w:cs="Calibri"/>
          <w:sz w:val="28"/>
          <w:szCs w:val="32"/>
        </w:rPr>
        <w:t>UL</w:t>
      </w:r>
      <w:r w:rsidRPr="00A40DDE">
        <w:rPr>
          <w:rFonts w:ascii="Calibri" w:eastAsia="Calibri" w:hAnsi="Calibri" w:cs="Calibri"/>
          <w:sz w:val="28"/>
          <w:szCs w:val="32"/>
          <w:vertAlign w:val="subscript"/>
        </w:rPr>
        <w:t>t−</w:t>
      </w:r>
      <w:r w:rsidRPr="00A40DDE">
        <w:rPr>
          <w:sz w:val="28"/>
          <w:szCs w:val="32"/>
          <w:vertAlign w:val="subscript"/>
        </w:rPr>
        <w:t xml:space="preserve">1 </w:t>
      </w:r>
      <w:r w:rsidRPr="00A40DDE">
        <w:rPr>
          <w:sz w:val="28"/>
          <w:szCs w:val="32"/>
        </w:rPr>
        <w:t xml:space="preserve">coefficient is significantly negative (t-stat. = </w:t>
      </w:r>
      <w:r w:rsidRPr="00A40DDE">
        <w:rPr>
          <w:rFonts w:ascii="Calibri" w:eastAsia="Calibri" w:hAnsi="Calibri" w:cs="Calibri"/>
          <w:sz w:val="28"/>
          <w:szCs w:val="32"/>
        </w:rPr>
        <w:t>−</w:t>
      </w:r>
      <w:r w:rsidRPr="00A40DDE">
        <w:rPr>
          <w:sz w:val="28"/>
          <w:szCs w:val="32"/>
        </w:rPr>
        <w:t>3.19), which is not consistent with our prediction.</w:t>
      </w:r>
      <w:r w:rsidRPr="00A40DDE">
        <w:rPr>
          <w:sz w:val="28"/>
          <w:szCs w:val="32"/>
          <w:vertAlign w:val="superscript"/>
        </w:rPr>
        <w:footnoteReference w:id="21"/>
      </w:r>
      <w:r w:rsidRPr="00A40DDE">
        <w:rPr>
          <w:sz w:val="28"/>
          <w:szCs w:val="32"/>
          <w:vertAlign w:val="superscript"/>
        </w:rPr>
        <w:t xml:space="preserve"> </w:t>
      </w:r>
      <w:r w:rsidRPr="00A40DDE">
        <w:rPr>
          <w:sz w:val="28"/>
          <w:szCs w:val="32"/>
        </w:rPr>
        <w:t xml:space="preserve">The </w:t>
      </w:r>
      <w:proofErr w:type="spellStart"/>
      <w:r w:rsidRPr="00A40DDE">
        <w:rPr>
          <w:rFonts w:ascii="Calibri" w:eastAsia="Calibri" w:hAnsi="Calibri" w:cs="Calibri"/>
          <w:sz w:val="28"/>
          <w:szCs w:val="32"/>
        </w:rPr>
        <w:t>RegCapLow</w:t>
      </w:r>
      <w:proofErr w:type="spellEnd"/>
      <w:r w:rsidRPr="00A40DDE">
        <w:rPr>
          <w:rFonts w:ascii="Calibri" w:eastAsia="Calibri" w:hAnsi="Calibri" w:cs="Calibri"/>
          <w:sz w:val="28"/>
          <w:szCs w:val="32"/>
        </w:rPr>
        <w:t xml:space="preserve"> × UG</w:t>
      </w:r>
      <w:r w:rsidRPr="00A40DDE">
        <w:rPr>
          <w:rFonts w:ascii="Calibri" w:eastAsia="Calibri" w:hAnsi="Calibri" w:cs="Calibri"/>
          <w:sz w:val="28"/>
          <w:szCs w:val="32"/>
          <w:vertAlign w:val="subscript"/>
        </w:rPr>
        <w:t>t−</w:t>
      </w:r>
      <w:r w:rsidRPr="00A40DDE">
        <w:rPr>
          <w:sz w:val="28"/>
          <w:szCs w:val="32"/>
          <w:vertAlign w:val="subscript"/>
        </w:rPr>
        <w:t xml:space="preserve">1 </w:t>
      </w:r>
      <w:r w:rsidRPr="00A40DDE">
        <w:rPr>
          <w:sz w:val="28"/>
          <w:szCs w:val="32"/>
        </w:rPr>
        <w:t>coefficient is significantly positive (t-stat. = 4.46), as predicted, which indicates that banks with low regulatory capital realize</w:t>
      </w:r>
      <w:r w:rsidRPr="00A40DDE">
        <w:rPr>
          <w:rFonts w:hint="cs"/>
          <w:sz w:val="28"/>
          <w:szCs w:val="32"/>
          <w:rtl/>
        </w:rPr>
        <w:t>.</w:t>
      </w:r>
    </w:p>
    <w:p w:rsidR="007A7C36" w:rsidRPr="00A40DDE" w:rsidRDefault="007A7C36" w:rsidP="007A7C36">
      <w:pPr>
        <w:rPr>
          <w:sz w:val="28"/>
          <w:szCs w:val="32"/>
          <w:rtl/>
        </w:rPr>
      </w:pPr>
    </w:p>
    <w:p w:rsidR="007A7C36" w:rsidRPr="00A40DDE" w:rsidRDefault="007A7C36" w:rsidP="007A7C36">
      <w:pPr>
        <w:spacing w:after="0" w:line="259" w:lineRule="auto"/>
        <w:ind w:right="0" w:firstLine="0"/>
        <w:jc w:val="left"/>
        <w:rPr>
          <w:sz w:val="28"/>
          <w:szCs w:val="32"/>
        </w:rPr>
      </w:pPr>
      <w:r w:rsidRPr="00A40DDE">
        <w:rPr>
          <w:sz w:val="22"/>
          <w:szCs w:val="32"/>
        </w:rPr>
        <w:t xml:space="preserve">Table </w:t>
      </w:r>
      <w:r w:rsidRPr="00A40DDE">
        <w:rPr>
          <w:sz w:val="28"/>
          <w:szCs w:val="32"/>
        </w:rPr>
        <w:fldChar w:fldCharType="begin"/>
      </w:r>
      <w:r w:rsidRPr="00A40DDE">
        <w:rPr>
          <w:sz w:val="28"/>
          <w:szCs w:val="32"/>
        </w:rPr>
        <w:instrText xml:space="preserve"> PAGE   \* MERGEFORMAT </w:instrText>
      </w:r>
      <w:r w:rsidRPr="00A40DDE">
        <w:rPr>
          <w:sz w:val="28"/>
          <w:szCs w:val="32"/>
        </w:rPr>
        <w:fldChar w:fldCharType="separate"/>
      </w:r>
      <w:r w:rsidR="00EF6BD9" w:rsidRPr="00EF6BD9">
        <w:rPr>
          <w:noProof/>
          <w:sz w:val="22"/>
          <w:szCs w:val="32"/>
        </w:rPr>
        <w:t>23</w:t>
      </w:r>
      <w:r w:rsidRPr="00A40DDE">
        <w:rPr>
          <w:sz w:val="22"/>
          <w:szCs w:val="32"/>
        </w:rPr>
        <w:fldChar w:fldCharType="end"/>
      </w:r>
    </w:p>
    <w:p w:rsidR="007A7C36" w:rsidRPr="00A40DDE" w:rsidRDefault="007A7C36" w:rsidP="007A7C36">
      <w:pPr>
        <w:ind w:left="-15" w:right="-13"/>
        <w:rPr>
          <w:rFonts w:ascii="Calibri" w:eastAsia="Calibri" w:hAnsi="Calibri" w:cs="Calibri"/>
          <w:sz w:val="28"/>
          <w:szCs w:val="32"/>
          <w:rtl/>
        </w:rPr>
      </w:pPr>
      <w:proofErr w:type="gramStart"/>
      <w:r w:rsidRPr="00A40DDE">
        <w:rPr>
          <w:sz w:val="28"/>
          <w:szCs w:val="32"/>
        </w:rPr>
        <w:t>more</w:t>
      </w:r>
      <w:proofErr w:type="gramEnd"/>
      <w:r w:rsidRPr="00A40DDE">
        <w:rPr>
          <w:sz w:val="28"/>
          <w:szCs w:val="32"/>
        </w:rPr>
        <w:t xml:space="preserve"> securities gains when they have more accumulated unrealized gains. However, after inclusion of </w:t>
      </w:r>
      <w:proofErr w:type="spellStart"/>
      <w:r w:rsidRPr="00A40DDE">
        <w:rPr>
          <w:rFonts w:ascii="Calibri" w:eastAsia="Calibri" w:hAnsi="Calibri" w:cs="Calibri"/>
          <w:sz w:val="28"/>
          <w:szCs w:val="32"/>
        </w:rPr>
        <w:t>NIneg</w:t>
      </w:r>
      <w:proofErr w:type="spellEnd"/>
      <w:r w:rsidRPr="00A40DDE">
        <w:rPr>
          <w:rFonts w:ascii="Calibri" w:eastAsia="Calibri" w:hAnsi="Calibri" w:cs="Calibri"/>
          <w:sz w:val="28"/>
          <w:szCs w:val="32"/>
        </w:rPr>
        <w:t xml:space="preserve"> </w:t>
      </w:r>
      <w:r w:rsidRPr="00A40DDE">
        <w:rPr>
          <w:sz w:val="28"/>
          <w:szCs w:val="32"/>
        </w:rPr>
        <w:t xml:space="preserve">× </w:t>
      </w:r>
      <w:proofErr w:type="spellStart"/>
      <w:r w:rsidRPr="00A40DDE">
        <w:rPr>
          <w:rFonts w:ascii="Calibri" w:eastAsia="Calibri" w:hAnsi="Calibri" w:cs="Calibri"/>
          <w:sz w:val="28"/>
          <w:szCs w:val="32"/>
        </w:rPr>
        <w:t>RegCapLow</w:t>
      </w:r>
      <w:proofErr w:type="spellEnd"/>
      <w:r w:rsidRPr="00A40DDE">
        <w:rPr>
          <w:rFonts w:ascii="Calibri" w:eastAsia="Calibri" w:hAnsi="Calibri" w:cs="Calibri"/>
          <w:sz w:val="28"/>
          <w:szCs w:val="32"/>
        </w:rPr>
        <w:t xml:space="preserve"> </w:t>
      </w:r>
      <w:r w:rsidRPr="00A40DDE">
        <w:rPr>
          <w:sz w:val="28"/>
          <w:szCs w:val="32"/>
        </w:rPr>
        <w:t xml:space="preserve">and </w:t>
      </w:r>
      <w:proofErr w:type="spellStart"/>
      <w:r w:rsidRPr="00A40DDE">
        <w:rPr>
          <w:rFonts w:ascii="Calibri" w:eastAsia="Calibri" w:hAnsi="Calibri" w:cs="Calibri"/>
          <w:sz w:val="28"/>
          <w:szCs w:val="32"/>
        </w:rPr>
        <w:t>RegCapLow</w:t>
      </w:r>
      <w:proofErr w:type="spellEnd"/>
      <w:r w:rsidRPr="00A40DDE">
        <w:rPr>
          <w:rFonts w:ascii="Calibri" w:eastAsia="Calibri" w:hAnsi="Calibri" w:cs="Calibri"/>
          <w:sz w:val="28"/>
          <w:szCs w:val="32"/>
        </w:rPr>
        <w:t xml:space="preserve"> × UG</w:t>
      </w:r>
      <w:r w:rsidRPr="00A40DDE">
        <w:rPr>
          <w:rFonts w:ascii="Calibri" w:eastAsia="Calibri" w:hAnsi="Calibri" w:cs="Calibri"/>
          <w:sz w:val="28"/>
          <w:szCs w:val="32"/>
          <w:vertAlign w:val="subscript"/>
        </w:rPr>
        <w:t>t−</w:t>
      </w:r>
      <w:r w:rsidRPr="00A40DDE">
        <w:rPr>
          <w:sz w:val="28"/>
          <w:szCs w:val="32"/>
          <w:vertAlign w:val="subscript"/>
        </w:rPr>
        <w:t>1</w:t>
      </w:r>
      <w:r w:rsidRPr="00A40DDE">
        <w:rPr>
          <w:sz w:val="28"/>
          <w:szCs w:val="32"/>
        </w:rPr>
        <w:t xml:space="preserve">, the </w:t>
      </w:r>
      <w:proofErr w:type="spellStart"/>
      <w:r w:rsidRPr="00A40DDE">
        <w:rPr>
          <w:rFonts w:ascii="Calibri" w:eastAsia="Calibri" w:hAnsi="Calibri" w:cs="Calibri"/>
          <w:sz w:val="28"/>
          <w:szCs w:val="32"/>
        </w:rPr>
        <w:t>RegCapLow</w:t>
      </w:r>
      <w:proofErr w:type="spellEnd"/>
    </w:p>
    <w:p w:rsidR="007A7C36" w:rsidRPr="00A40DDE" w:rsidRDefault="007A7C36" w:rsidP="007A7C36">
      <w:pPr>
        <w:ind w:left="-15" w:right="-13"/>
        <w:rPr>
          <w:rFonts w:ascii="Calibri" w:eastAsia="Calibri" w:hAnsi="Calibri" w:cs="Calibri"/>
          <w:sz w:val="28"/>
          <w:szCs w:val="32"/>
          <w:rtl/>
        </w:rPr>
      </w:pPr>
    </w:p>
    <w:p w:rsidR="007A7C36" w:rsidRPr="00A40DDE" w:rsidRDefault="007A7C36" w:rsidP="007A7C36">
      <w:pPr>
        <w:spacing w:after="46"/>
        <w:ind w:left="-15" w:right="-13" w:firstLine="0"/>
        <w:rPr>
          <w:sz w:val="28"/>
          <w:szCs w:val="32"/>
        </w:rPr>
      </w:pPr>
      <w:proofErr w:type="gramStart"/>
      <w:r w:rsidRPr="00A40DDE">
        <w:rPr>
          <w:sz w:val="28"/>
          <w:szCs w:val="32"/>
        </w:rPr>
        <w:lastRenderedPageBreak/>
        <w:t>coefficient</w:t>
      </w:r>
      <w:proofErr w:type="gramEnd"/>
      <w:r w:rsidRPr="00A40DDE">
        <w:rPr>
          <w:sz w:val="28"/>
          <w:szCs w:val="32"/>
        </w:rPr>
        <w:t xml:space="preserve"> is significantly negative, not positive (t-stat. = </w:t>
      </w:r>
      <w:r w:rsidRPr="00A40DDE">
        <w:rPr>
          <w:rFonts w:ascii="Calibri" w:eastAsia="Calibri" w:hAnsi="Calibri" w:cs="Calibri"/>
          <w:sz w:val="28"/>
          <w:szCs w:val="32"/>
        </w:rPr>
        <w:t>−</w:t>
      </w:r>
      <w:r w:rsidRPr="00A40DDE">
        <w:rPr>
          <w:sz w:val="28"/>
          <w:szCs w:val="32"/>
        </w:rPr>
        <w:t>2.00). Taken together, these findings reveal that banks engage in more earnings management</w:t>
      </w:r>
      <w:r w:rsidRPr="00A40DDE">
        <w:rPr>
          <w:rFonts w:ascii="Calibri" w:eastAsia="Calibri" w:hAnsi="Calibri" w:cs="Calibri"/>
          <w:sz w:val="28"/>
          <w:szCs w:val="32"/>
        </w:rPr>
        <w:t>—</w:t>
      </w:r>
      <w:r w:rsidRPr="00A40DDE">
        <w:rPr>
          <w:sz w:val="28"/>
          <w:szCs w:val="32"/>
        </w:rPr>
        <w:t>either big bath or smoothing</w:t>
      </w:r>
      <w:r w:rsidRPr="00A40DDE">
        <w:rPr>
          <w:rFonts w:ascii="Calibri" w:eastAsia="Calibri" w:hAnsi="Calibri" w:cs="Calibri"/>
          <w:sz w:val="28"/>
          <w:szCs w:val="32"/>
        </w:rPr>
        <w:t>—</w:t>
      </w:r>
      <w:r w:rsidRPr="00A40DDE">
        <w:rPr>
          <w:sz w:val="28"/>
          <w:szCs w:val="32"/>
        </w:rPr>
        <w:t>and more regulatory capital management when they have more opportunity to do so.</w:t>
      </w:r>
      <w:r w:rsidRPr="00A40DDE">
        <w:rPr>
          <w:sz w:val="28"/>
          <w:szCs w:val="32"/>
          <w:vertAlign w:val="superscript"/>
        </w:rPr>
        <w:footnoteReference w:id="22"/>
      </w:r>
    </w:p>
    <w:p w:rsidR="007A7C36" w:rsidRPr="00A40DDE" w:rsidRDefault="007A7C36" w:rsidP="007A7C36">
      <w:pPr>
        <w:spacing w:after="258"/>
        <w:ind w:left="-15" w:right="-13"/>
        <w:rPr>
          <w:sz w:val="28"/>
          <w:szCs w:val="32"/>
        </w:rPr>
      </w:pPr>
      <w:r w:rsidRPr="00A40DDE">
        <w:rPr>
          <w:sz w:val="28"/>
          <w:szCs w:val="32"/>
        </w:rPr>
        <w:t xml:space="preserve">The sample underlying the tabulated findings excludes observations from the financial crisis. </w:t>
      </w:r>
      <w:proofErr w:type="spellStart"/>
      <w:r w:rsidRPr="00A40DDE">
        <w:rPr>
          <w:sz w:val="28"/>
          <w:szCs w:val="32"/>
        </w:rPr>
        <w:t>Untabulated</w:t>
      </w:r>
      <w:proofErr w:type="spellEnd"/>
      <w:r w:rsidRPr="00A40DDE">
        <w:rPr>
          <w:sz w:val="28"/>
          <w:szCs w:val="32"/>
        </w:rPr>
        <w:t xml:space="preserve"> findings reveal that including crisis observations affects the inferences we obtain from estimating Eq. (</w:t>
      </w:r>
      <w:r w:rsidRPr="00A40DDE">
        <w:rPr>
          <w:color w:val="392A97"/>
          <w:sz w:val="28"/>
          <w:szCs w:val="32"/>
        </w:rPr>
        <w:t>1</w:t>
      </w:r>
      <w:r w:rsidRPr="00A40DDE">
        <w:rPr>
          <w:sz w:val="28"/>
          <w:szCs w:val="32"/>
        </w:rPr>
        <w:t xml:space="preserve">). In particular, the </w:t>
      </w:r>
      <w:proofErr w:type="spellStart"/>
      <w:r w:rsidRPr="00A40DDE">
        <w:rPr>
          <w:sz w:val="28"/>
          <w:szCs w:val="32"/>
        </w:rPr>
        <w:t>untabulated</w:t>
      </w:r>
      <w:proofErr w:type="spellEnd"/>
      <w:r w:rsidRPr="00A40DDE">
        <w:rPr>
          <w:sz w:val="28"/>
          <w:szCs w:val="32"/>
        </w:rPr>
        <w:t xml:space="preserve"> </w:t>
      </w:r>
      <w:r w:rsidRPr="00A40DDE">
        <w:rPr>
          <w:rFonts w:ascii="Calibri" w:eastAsia="Calibri" w:hAnsi="Calibri" w:cs="Calibri"/>
          <w:sz w:val="28"/>
          <w:szCs w:val="32"/>
        </w:rPr>
        <w:t>NI</w:t>
      </w:r>
      <w:r w:rsidRPr="00A40DDE">
        <w:rPr>
          <w:sz w:val="28"/>
          <w:szCs w:val="32"/>
        </w:rPr>
        <w:t xml:space="preserve">, </w:t>
      </w:r>
      <w:proofErr w:type="spellStart"/>
      <w:r w:rsidRPr="00A40DDE">
        <w:rPr>
          <w:rFonts w:ascii="Calibri" w:eastAsia="Calibri" w:hAnsi="Calibri" w:cs="Calibri"/>
          <w:sz w:val="28"/>
          <w:szCs w:val="32"/>
        </w:rPr>
        <w:t>RegCapLow</w:t>
      </w:r>
      <w:proofErr w:type="spellEnd"/>
      <w:r w:rsidRPr="00A40DDE">
        <w:rPr>
          <w:sz w:val="28"/>
          <w:szCs w:val="32"/>
        </w:rPr>
        <w:t xml:space="preserve">, and </w:t>
      </w:r>
      <w:r w:rsidRPr="00A40DDE">
        <w:rPr>
          <w:rFonts w:ascii="Calibri" w:eastAsia="Calibri" w:hAnsi="Calibri" w:cs="Calibri"/>
          <w:sz w:val="28"/>
          <w:szCs w:val="32"/>
        </w:rPr>
        <w:t xml:space="preserve">NI × </w:t>
      </w:r>
      <w:proofErr w:type="spellStart"/>
      <w:r w:rsidRPr="00A40DDE">
        <w:rPr>
          <w:rFonts w:ascii="Calibri" w:eastAsia="Calibri" w:hAnsi="Calibri" w:cs="Calibri"/>
          <w:sz w:val="28"/>
          <w:szCs w:val="32"/>
        </w:rPr>
        <w:t>RegCapLow</w:t>
      </w:r>
      <w:proofErr w:type="spellEnd"/>
      <w:r w:rsidRPr="00A40DDE">
        <w:rPr>
          <w:rFonts w:ascii="Calibri" w:eastAsia="Calibri" w:hAnsi="Calibri" w:cs="Calibri"/>
          <w:sz w:val="28"/>
          <w:szCs w:val="32"/>
        </w:rPr>
        <w:t xml:space="preserve"> </w:t>
      </w:r>
      <w:r w:rsidRPr="00A40DDE">
        <w:rPr>
          <w:sz w:val="28"/>
          <w:szCs w:val="32"/>
        </w:rPr>
        <w:t xml:space="preserve">coefficients based on Model II in Table </w:t>
      </w:r>
      <w:r w:rsidRPr="00A40DDE">
        <w:rPr>
          <w:color w:val="392A97"/>
          <w:sz w:val="28"/>
          <w:szCs w:val="32"/>
        </w:rPr>
        <w:t xml:space="preserve">2 </w:t>
      </w:r>
      <w:r w:rsidRPr="00A40DDE">
        <w:rPr>
          <w:sz w:val="28"/>
          <w:szCs w:val="32"/>
        </w:rPr>
        <w:t xml:space="preserve">are insignificantly different from zero, significantly positive, and significantly negative (t-stats. = </w:t>
      </w:r>
      <w:r w:rsidRPr="00A40DDE">
        <w:rPr>
          <w:rFonts w:ascii="Calibri" w:eastAsia="Calibri" w:hAnsi="Calibri" w:cs="Calibri"/>
          <w:sz w:val="28"/>
          <w:szCs w:val="32"/>
        </w:rPr>
        <w:t>−</w:t>
      </w:r>
      <w:r w:rsidRPr="00A40DDE">
        <w:rPr>
          <w:sz w:val="28"/>
          <w:szCs w:val="32"/>
        </w:rPr>
        <w:t xml:space="preserve">0.13, 1.96, and </w:t>
      </w:r>
      <w:r w:rsidRPr="00A40DDE">
        <w:rPr>
          <w:rFonts w:ascii="Calibri" w:eastAsia="Calibri" w:hAnsi="Calibri" w:cs="Calibri"/>
          <w:sz w:val="28"/>
          <w:szCs w:val="32"/>
        </w:rPr>
        <w:t>−</w:t>
      </w:r>
      <w:r w:rsidRPr="00A40DDE">
        <w:rPr>
          <w:sz w:val="28"/>
          <w:szCs w:val="32"/>
        </w:rPr>
        <w:t xml:space="preserve">2.29), whereas they are significantly negative, significantly positive, and insignificantly different from zero in Table </w:t>
      </w:r>
      <w:r w:rsidRPr="00A40DDE">
        <w:rPr>
          <w:color w:val="392A97"/>
          <w:sz w:val="28"/>
          <w:szCs w:val="32"/>
        </w:rPr>
        <w:t>2</w:t>
      </w:r>
      <w:r w:rsidRPr="00A40DDE">
        <w:rPr>
          <w:sz w:val="28"/>
          <w:szCs w:val="32"/>
        </w:rPr>
        <w:t>. However, including these observations does not affect the inferences we obtain from estimating Eq. (</w:t>
      </w:r>
      <w:r w:rsidRPr="00A40DDE">
        <w:rPr>
          <w:color w:val="392A97"/>
          <w:sz w:val="28"/>
          <w:szCs w:val="32"/>
        </w:rPr>
        <w:t>2</w:t>
      </w:r>
      <w:r w:rsidRPr="00A40DDE">
        <w:rPr>
          <w:sz w:val="28"/>
          <w:szCs w:val="32"/>
        </w:rPr>
        <w:t xml:space="preserve">), except that the </w:t>
      </w:r>
      <w:proofErr w:type="spellStart"/>
      <w:r w:rsidRPr="00A40DDE">
        <w:rPr>
          <w:rFonts w:ascii="Calibri" w:eastAsia="Calibri" w:hAnsi="Calibri" w:cs="Calibri"/>
          <w:sz w:val="28"/>
          <w:szCs w:val="32"/>
        </w:rPr>
        <w:t>RegCapLow</w:t>
      </w:r>
      <w:proofErr w:type="spellEnd"/>
      <w:r w:rsidRPr="00A40DDE">
        <w:rPr>
          <w:rFonts w:ascii="Calibri" w:eastAsia="Calibri" w:hAnsi="Calibri" w:cs="Calibri"/>
          <w:sz w:val="28"/>
          <w:szCs w:val="32"/>
        </w:rPr>
        <w:t xml:space="preserve"> </w:t>
      </w:r>
      <w:r w:rsidRPr="00A40DDE">
        <w:rPr>
          <w:sz w:val="28"/>
          <w:szCs w:val="32"/>
        </w:rPr>
        <w:t xml:space="preserve">coefficient does not have an unpredicted sign (t-stat. = 0.11). These </w:t>
      </w:r>
      <w:proofErr w:type="spellStart"/>
      <w:r w:rsidRPr="00A40DDE">
        <w:rPr>
          <w:sz w:val="28"/>
          <w:szCs w:val="32"/>
        </w:rPr>
        <w:t>untabulated</w:t>
      </w:r>
      <w:proofErr w:type="spellEnd"/>
      <w:r w:rsidRPr="00A40DDE">
        <w:rPr>
          <w:sz w:val="28"/>
          <w:szCs w:val="32"/>
        </w:rPr>
        <w:t xml:space="preserve"> findings reveal that permitting coefficients to differ for positive and negative </w:t>
      </w:r>
      <w:r w:rsidRPr="00A40DDE">
        <w:rPr>
          <w:rFonts w:ascii="Calibri" w:eastAsia="Calibri" w:hAnsi="Calibri" w:cs="Calibri"/>
          <w:sz w:val="28"/>
          <w:szCs w:val="32"/>
        </w:rPr>
        <w:t>NI</w:t>
      </w:r>
      <w:r w:rsidRPr="00A40DDE">
        <w:rPr>
          <w:sz w:val="28"/>
          <w:szCs w:val="32"/>
        </w:rPr>
        <w:t xml:space="preserve">, and </w:t>
      </w:r>
      <w:r w:rsidRPr="00A40DDE">
        <w:rPr>
          <w:rFonts w:ascii="Calibri" w:eastAsia="Calibri" w:hAnsi="Calibri" w:cs="Calibri"/>
          <w:sz w:val="28"/>
          <w:szCs w:val="32"/>
        </w:rPr>
        <w:t xml:space="preserve">UG </w:t>
      </w:r>
      <w:r w:rsidRPr="00A40DDE">
        <w:rPr>
          <w:sz w:val="28"/>
          <w:szCs w:val="32"/>
        </w:rPr>
        <w:t xml:space="preserve">and </w:t>
      </w:r>
      <w:r w:rsidRPr="00A40DDE">
        <w:rPr>
          <w:rFonts w:ascii="Calibri" w:eastAsia="Calibri" w:hAnsi="Calibri" w:cs="Calibri"/>
          <w:sz w:val="28"/>
          <w:szCs w:val="32"/>
        </w:rPr>
        <w:t>UL</w:t>
      </w:r>
      <w:r w:rsidRPr="00A40DDE">
        <w:rPr>
          <w:sz w:val="28"/>
          <w:szCs w:val="32"/>
        </w:rPr>
        <w:t>, is particularly important during the crisis.</w:t>
      </w:r>
    </w:p>
    <w:p w:rsidR="007A7C36" w:rsidRPr="00A40DDE" w:rsidRDefault="007A7C36" w:rsidP="007A7C36">
      <w:pPr>
        <w:spacing w:after="256" w:line="265" w:lineRule="auto"/>
        <w:ind w:left="-5" w:right="0" w:hanging="10"/>
        <w:jc w:val="left"/>
        <w:rPr>
          <w:sz w:val="28"/>
          <w:szCs w:val="32"/>
        </w:rPr>
      </w:pPr>
      <w:r w:rsidRPr="00A40DDE">
        <w:rPr>
          <w:sz w:val="28"/>
          <w:szCs w:val="32"/>
        </w:rPr>
        <w:t>5.3 Avoiding losses</w:t>
      </w:r>
    </w:p>
    <w:p w:rsidR="007A7C36" w:rsidRPr="00A40DDE" w:rsidRDefault="007A7C36" w:rsidP="007A7C36">
      <w:pPr>
        <w:ind w:left="-15" w:right="-13" w:firstLine="0"/>
        <w:rPr>
          <w:sz w:val="28"/>
          <w:szCs w:val="32"/>
        </w:rPr>
      </w:pPr>
      <w:r w:rsidRPr="00A40DDE">
        <w:rPr>
          <w:sz w:val="28"/>
          <w:szCs w:val="32"/>
        </w:rPr>
        <w:t xml:space="preserve">Table </w:t>
      </w:r>
      <w:proofErr w:type="gramStart"/>
      <w:r w:rsidRPr="00A40DDE">
        <w:rPr>
          <w:color w:val="392A97"/>
          <w:sz w:val="28"/>
          <w:szCs w:val="32"/>
        </w:rPr>
        <w:t>4</w:t>
      </w:r>
      <w:proofErr w:type="gramEnd"/>
      <w:r w:rsidRPr="00A40DDE">
        <w:rPr>
          <w:sz w:val="28"/>
          <w:szCs w:val="32"/>
        </w:rPr>
        <w:t>, panel A, presents findings relating to banks</w:t>
      </w:r>
      <w:r w:rsidRPr="00A40DDE">
        <w:rPr>
          <w:rFonts w:ascii="Calibri" w:eastAsia="Calibri" w:hAnsi="Calibri" w:cs="Calibri"/>
          <w:sz w:val="28"/>
          <w:szCs w:val="32"/>
        </w:rPr>
        <w:t xml:space="preserve">’ </w:t>
      </w:r>
      <w:r w:rsidRPr="00A40DDE">
        <w:rPr>
          <w:sz w:val="28"/>
          <w:szCs w:val="32"/>
        </w:rPr>
        <w:t xml:space="preserve">ability to avoid a loss by realizing gains on AFS securities. Panel A </w:t>
      </w:r>
      <w:proofErr w:type="gramStart"/>
      <w:r w:rsidRPr="00A40DDE">
        <w:rPr>
          <w:sz w:val="28"/>
          <w:szCs w:val="32"/>
        </w:rPr>
        <w:t>presents</w:t>
      </w:r>
      <w:proofErr w:type="gramEnd"/>
      <w:r w:rsidRPr="00A40DDE">
        <w:rPr>
          <w:sz w:val="28"/>
          <w:szCs w:val="32"/>
        </w:rPr>
        <w:t xml:space="preserve"> summary statistics from Eq. (</w:t>
      </w:r>
      <w:r w:rsidRPr="00A40DDE">
        <w:rPr>
          <w:color w:val="392A97"/>
          <w:sz w:val="28"/>
          <w:szCs w:val="32"/>
        </w:rPr>
        <w:t>2</w:t>
      </w:r>
      <w:r w:rsidRPr="00A40DDE">
        <w:rPr>
          <w:sz w:val="28"/>
          <w:szCs w:val="32"/>
        </w:rPr>
        <w:t>) without the interaction variables for banks with: (</w:t>
      </w:r>
      <w:proofErr w:type="spellStart"/>
      <w:r w:rsidRPr="00A40DDE">
        <w:rPr>
          <w:sz w:val="28"/>
          <w:szCs w:val="32"/>
        </w:rPr>
        <w:t>i</w:t>
      </w:r>
      <w:proofErr w:type="spellEnd"/>
      <w:r w:rsidRPr="00A40DDE">
        <w:rPr>
          <w:sz w:val="28"/>
          <w:szCs w:val="32"/>
        </w:rPr>
        <w:t xml:space="preserve">) </w:t>
      </w:r>
      <w:r w:rsidRPr="00A40DDE">
        <w:rPr>
          <w:rFonts w:ascii="Calibri" w:eastAsia="Calibri" w:hAnsi="Calibri" w:cs="Calibri"/>
          <w:sz w:val="28"/>
          <w:szCs w:val="32"/>
        </w:rPr>
        <w:t xml:space="preserve">NI </w:t>
      </w:r>
      <w:r w:rsidRPr="00A40DDE">
        <w:rPr>
          <w:sz w:val="28"/>
          <w:szCs w:val="32"/>
        </w:rPr>
        <w:t xml:space="preserve">&gt; = 0, (ii) </w:t>
      </w:r>
      <w:r w:rsidRPr="00A40DDE">
        <w:rPr>
          <w:rFonts w:ascii="Calibri" w:eastAsia="Calibri" w:hAnsi="Calibri" w:cs="Calibri"/>
          <w:sz w:val="28"/>
          <w:szCs w:val="32"/>
        </w:rPr>
        <w:t xml:space="preserve">NI </w:t>
      </w:r>
      <w:r w:rsidRPr="00A40DDE">
        <w:rPr>
          <w:sz w:val="28"/>
          <w:szCs w:val="32"/>
        </w:rPr>
        <w:t xml:space="preserve">&lt; 0 and </w:t>
      </w:r>
      <w:r w:rsidRPr="00A40DDE">
        <w:rPr>
          <w:rFonts w:ascii="Calibri" w:eastAsia="Calibri" w:hAnsi="Calibri" w:cs="Calibri"/>
          <w:sz w:val="28"/>
          <w:szCs w:val="32"/>
        </w:rPr>
        <w:t xml:space="preserve">NI </w:t>
      </w:r>
      <w:r w:rsidRPr="00A40DDE">
        <w:rPr>
          <w:sz w:val="28"/>
          <w:szCs w:val="32"/>
        </w:rPr>
        <w:t xml:space="preserve">+ </w:t>
      </w:r>
      <w:r w:rsidRPr="00A40DDE">
        <w:rPr>
          <w:rFonts w:ascii="Calibri" w:eastAsia="Calibri" w:hAnsi="Calibri" w:cs="Calibri"/>
          <w:sz w:val="28"/>
          <w:szCs w:val="32"/>
        </w:rPr>
        <w:t xml:space="preserve">UG </w:t>
      </w:r>
      <w:r w:rsidRPr="00A40DDE">
        <w:rPr>
          <w:sz w:val="28"/>
          <w:szCs w:val="32"/>
        </w:rPr>
        <w:t xml:space="preserve">&lt; 0, and (iii) </w:t>
      </w:r>
      <w:r w:rsidRPr="00A40DDE">
        <w:rPr>
          <w:rFonts w:ascii="Calibri" w:eastAsia="Calibri" w:hAnsi="Calibri" w:cs="Calibri"/>
          <w:sz w:val="28"/>
          <w:szCs w:val="32"/>
        </w:rPr>
        <w:t xml:space="preserve">NI </w:t>
      </w:r>
      <w:r w:rsidRPr="00A40DDE">
        <w:rPr>
          <w:sz w:val="28"/>
          <w:szCs w:val="32"/>
        </w:rPr>
        <w:t xml:space="preserve">&lt; 0 and </w:t>
      </w:r>
      <w:r w:rsidRPr="00A40DDE">
        <w:rPr>
          <w:rFonts w:ascii="Calibri" w:eastAsia="Calibri" w:hAnsi="Calibri" w:cs="Calibri"/>
          <w:sz w:val="28"/>
          <w:szCs w:val="32"/>
        </w:rPr>
        <w:t xml:space="preserve">NI </w:t>
      </w:r>
      <w:r w:rsidRPr="00A40DDE">
        <w:rPr>
          <w:sz w:val="28"/>
          <w:szCs w:val="32"/>
        </w:rPr>
        <w:t xml:space="preserve">+ </w:t>
      </w:r>
      <w:r w:rsidRPr="00A40DDE">
        <w:rPr>
          <w:rFonts w:ascii="Calibri" w:eastAsia="Calibri" w:hAnsi="Calibri" w:cs="Calibri"/>
          <w:sz w:val="28"/>
          <w:szCs w:val="32"/>
        </w:rPr>
        <w:t xml:space="preserve">UG </w:t>
      </w:r>
      <w:r w:rsidRPr="00A40DDE">
        <w:rPr>
          <w:sz w:val="28"/>
          <w:szCs w:val="32"/>
        </w:rPr>
        <w:t xml:space="preserve">&gt; = 0. The findings for banks with </w:t>
      </w:r>
      <w:r w:rsidRPr="00A40DDE">
        <w:rPr>
          <w:rFonts w:ascii="Calibri" w:eastAsia="Calibri" w:hAnsi="Calibri" w:cs="Calibri"/>
          <w:sz w:val="28"/>
          <w:szCs w:val="32"/>
        </w:rPr>
        <w:t xml:space="preserve">NI </w:t>
      </w:r>
      <w:r w:rsidRPr="00A40DDE">
        <w:rPr>
          <w:sz w:val="28"/>
          <w:szCs w:val="32"/>
        </w:rPr>
        <w:t xml:space="preserve">&gt; = 0 confirm the Table </w:t>
      </w:r>
      <w:r w:rsidRPr="00A40DDE">
        <w:rPr>
          <w:color w:val="392A97"/>
          <w:sz w:val="28"/>
          <w:szCs w:val="32"/>
        </w:rPr>
        <w:t xml:space="preserve">3 </w:t>
      </w:r>
      <w:r w:rsidRPr="00A40DDE">
        <w:rPr>
          <w:sz w:val="28"/>
          <w:szCs w:val="32"/>
        </w:rPr>
        <w:t xml:space="preserve">finding that banks with positive </w:t>
      </w:r>
      <w:r w:rsidRPr="00A40DDE">
        <w:rPr>
          <w:rFonts w:ascii="Calibri" w:eastAsia="Calibri" w:hAnsi="Calibri" w:cs="Calibri"/>
          <w:sz w:val="28"/>
          <w:szCs w:val="32"/>
        </w:rPr>
        <w:t xml:space="preserve">NI </w:t>
      </w:r>
      <w:r w:rsidRPr="00A40DDE">
        <w:rPr>
          <w:sz w:val="28"/>
          <w:szCs w:val="32"/>
        </w:rPr>
        <w:t xml:space="preserve">smooth earnings with realized securities gains and losses; the </w:t>
      </w:r>
      <w:proofErr w:type="spellStart"/>
      <w:r w:rsidRPr="00A40DDE">
        <w:rPr>
          <w:rFonts w:ascii="Calibri" w:eastAsia="Calibri" w:hAnsi="Calibri" w:cs="Calibri"/>
          <w:sz w:val="28"/>
          <w:szCs w:val="32"/>
        </w:rPr>
        <w:t>NIpos</w:t>
      </w:r>
      <w:proofErr w:type="spellEnd"/>
      <w:r w:rsidRPr="00A40DDE">
        <w:rPr>
          <w:rFonts w:ascii="Calibri" w:eastAsia="Calibri" w:hAnsi="Calibri" w:cs="Calibri"/>
          <w:sz w:val="28"/>
          <w:szCs w:val="32"/>
        </w:rPr>
        <w:t xml:space="preserve"> </w:t>
      </w:r>
      <w:r w:rsidRPr="00A40DDE">
        <w:rPr>
          <w:sz w:val="28"/>
          <w:szCs w:val="32"/>
        </w:rPr>
        <w:t xml:space="preserve">coefficient is significantly negative (t-stat. = </w:t>
      </w:r>
      <w:r w:rsidRPr="00A40DDE">
        <w:rPr>
          <w:rFonts w:ascii="Calibri" w:eastAsia="Calibri" w:hAnsi="Calibri" w:cs="Calibri"/>
          <w:sz w:val="28"/>
          <w:szCs w:val="32"/>
        </w:rPr>
        <w:t>−</w:t>
      </w:r>
      <w:r w:rsidRPr="00A40DDE">
        <w:rPr>
          <w:sz w:val="28"/>
          <w:szCs w:val="32"/>
        </w:rPr>
        <w:t xml:space="preserve">7.41). In contrast, for banks with </w:t>
      </w:r>
      <w:r w:rsidRPr="00A40DDE">
        <w:rPr>
          <w:rFonts w:ascii="Calibri" w:eastAsia="Calibri" w:hAnsi="Calibri" w:cs="Calibri"/>
          <w:sz w:val="28"/>
          <w:szCs w:val="32"/>
        </w:rPr>
        <w:t xml:space="preserve">NI </w:t>
      </w:r>
      <w:r w:rsidRPr="00A40DDE">
        <w:rPr>
          <w:sz w:val="28"/>
          <w:szCs w:val="32"/>
        </w:rPr>
        <w:t xml:space="preserve">&lt; 0 and </w:t>
      </w:r>
      <w:r w:rsidRPr="00A40DDE">
        <w:rPr>
          <w:rFonts w:ascii="Calibri" w:eastAsia="Calibri" w:hAnsi="Calibri" w:cs="Calibri"/>
          <w:sz w:val="28"/>
          <w:szCs w:val="32"/>
        </w:rPr>
        <w:t xml:space="preserve">NI </w:t>
      </w:r>
      <w:r w:rsidRPr="00A40DDE">
        <w:rPr>
          <w:sz w:val="28"/>
          <w:szCs w:val="32"/>
        </w:rPr>
        <w:t xml:space="preserve">+ </w:t>
      </w:r>
      <w:r w:rsidRPr="00A40DDE">
        <w:rPr>
          <w:rFonts w:ascii="Calibri" w:eastAsia="Calibri" w:hAnsi="Calibri" w:cs="Calibri"/>
          <w:sz w:val="28"/>
          <w:szCs w:val="32"/>
        </w:rPr>
        <w:t xml:space="preserve">UG </w:t>
      </w:r>
      <w:r w:rsidRPr="00A40DDE">
        <w:rPr>
          <w:sz w:val="28"/>
          <w:szCs w:val="32"/>
        </w:rPr>
        <w:t xml:space="preserve">&lt; 0 the </w:t>
      </w:r>
      <w:proofErr w:type="spellStart"/>
      <w:r w:rsidRPr="00A40DDE">
        <w:rPr>
          <w:rFonts w:ascii="Calibri" w:eastAsia="Calibri" w:hAnsi="Calibri" w:cs="Calibri"/>
          <w:sz w:val="28"/>
          <w:szCs w:val="32"/>
        </w:rPr>
        <w:t>NIneg</w:t>
      </w:r>
      <w:proofErr w:type="spellEnd"/>
      <w:r w:rsidRPr="00A40DDE">
        <w:rPr>
          <w:rFonts w:ascii="Calibri" w:eastAsia="Calibri" w:hAnsi="Calibri" w:cs="Calibri"/>
          <w:sz w:val="28"/>
          <w:szCs w:val="32"/>
        </w:rPr>
        <w:t xml:space="preserve"> </w:t>
      </w:r>
      <w:r w:rsidRPr="00A40DDE">
        <w:rPr>
          <w:sz w:val="28"/>
          <w:szCs w:val="32"/>
        </w:rPr>
        <w:t xml:space="preserve">coefficient is significantly positive (t-stat. = 2.96), which indicates that banks with negative </w:t>
      </w:r>
      <w:r w:rsidRPr="00A40DDE">
        <w:rPr>
          <w:rFonts w:ascii="Calibri" w:eastAsia="Calibri" w:hAnsi="Calibri" w:cs="Calibri"/>
          <w:sz w:val="28"/>
          <w:szCs w:val="32"/>
        </w:rPr>
        <w:t xml:space="preserve">NI </w:t>
      </w:r>
      <w:r w:rsidRPr="00A40DDE">
        <w:rPr>
          <w:sz w:val="28"/>
          <w:szCs w:val="32"/>
        </w:rPr>
        <w:t xml:space="preserve">take a big bath when it is not feasible to report positive net income by realizing gains on AFS securities. This finding does not apply to banks with </w:t>
      </w:r>
      <w:r w:rsidRPr="00A40DDE">
        <w:rPr>
          <w:rFonts w:ascii="Calibri" w:eastAsia="Calibri" w:hAnsi="Calibri" w:cs="Calibri"/>
          <w:sz w:val="28"/>
          <w:szCs w:val="32"/>
        </w:rPr>
        <w:t xml:space="preserve">NI </w:t>
      </w:r>
      <w:r w:rsidRPr="00A40DDE">
        <w:rPr>
          <w:sz w:val="28"/>
          <w:szCs w:val="32"/>
        </w:rPr>
        <w:t xml:space="preserve">&lt; </w:t>
      </w:r>
      <w:proofErr w:type="gramStart"/>
      <w:r w:rsidRPr="00A40DDE">
        <w:rPr>
          <w:sz w:val="28"/>
          <w:szCs w:val="32"/>
        </w:rPr>
        <w:t>0</w:t>
      </w:r>
      <w:proofErr w:type="gramEnd"/>
      <w:r w:rsidRPr="00A40DDE">
        <w:rPr>
          <w:sz w:val="28"/>
          <w:szCs w:val="32"/>
        </w:rPr>
        <w:t xml:space="preserve"> and </w:t>
      </w:r>
      <w:r w:rsidRPr="00A40DDE">
        <w:rPr>
          <w:rFonts w:ascii="Calibri" w:eastAsia="Calibri" w:hAnsi="Calibri" w:cs="Calibri"/>
          <w:sz w:val="28"/>
          <w:szCs w:val="32"/>
        </w:rPr>
        <w:t xml:space="preserve">NI </w:t>
      </w:r>
      <w:r w:rsidRPr="00A40DDE">
        <w:rPr>
          <w:sz w:val="28"/>
          <w:szCs w:val="32"/>
        </w:rPr>
        <w:t xml:space="preserve">+ </w:t>
      </w:r>
      <w:r w:rsidRPr="00A40DDE">
        <w:rPr>
          <w:rFonts w:ascii="Calibri" w:eastAsia="Calibri" w:hAnsi="Calibri" w:cs="Calibri"/>
          <w:sz w:val="28"/>
          <w:szCs w:val="32"/>
        </w:rPr>
        <w:t xml:space="preserve">UG </w:t>
      </w:r>
      <w:r w:rsidRPr="00A40DDE">
        <w:rPr>
          <w:sz w:val="28"/>
          <w:szCs w:val="32"/>
        </w:rPr>
        <w:t xml:space="preserve">&gt; = 0, </w:t>
      </w:r>
      <w:r w:rsidRPr="00A40DDE">
        <w:rPr>
          <w:sz w:val="28"/>
          <w:szCs w:val="32"/>
        </w:rPr>
        <w:lastRenderedPageBreak/>
        <w:t xml:space="preserve">i.e., banks that have sufficient unrealized gains to avoid a loss. For these banks, there is no significant relation between </w:t>
      </w:r>
      <w:proofErr w:type="spellStart"/>
      <w:r w:rsidRPr="00A40DDE">
        <w:rPr>
          <w:rFonts w:ascii="Calibri" w:eastAsia="Calibri" w:hAnsi="Calibri" w:cs="Calibri"/>
          <w:sz w:val="28"/>
          <w:szCs w:val="32"/>
        </w:rPr>
        <w:t>NIneg</w:t>
      </w:r>
      <w:proofErr w:type="spellEnd"/>
      <w:r w:rsidRPr="00A40DDE">
        <w:rPr>
          <w:rFonts w:ascii="Calibri" w:eastAsia="Calibri" w:hAnsi="Calibri" w:cs="Calibri"/>
          <w:sz w:val="28"/>
          <w:szCs w:val="32"/>
        </w:rPr>
        <w:t xml:space="preserve"> </w:t>
      </w:r>
      <w:r w:rsidRPr="00A40DDE">
        <w:rPr>
          <w:sz w:val="28"/>
          <w:szCs w:val="32"/>
        </w:rPr>
        <w:t xml:space="preserve">and </w:t>
      </w:r>
      <w:r w:rsidRPr="00A40DDE">
        <w:rPr>
          <w:rFonts w:ascii="Calibri" w:eastAsia="Calibri" w:hAnsi="Calibri" w:cs="Calibri"/>
          <w:sz w:val="28"/>
          <w:szCs w:val="32"/>
        </w:rPr>
        <w:t xml:space="preserve">RGL </w:t>
      </w:r>
      <w:r w:rsidRPr="00A40DDE">
        <w:rPr>
          <w:sz w:val="28"/>
          <w:szCs w:val="32"/>
        </w:rPr>
        <w:t>(t-stat. = 0.25).</w:t>
      </w:r>
    </w:p>
    <w:p w:rsidR="007A7C36" w:rsidRPr="00A40DDE" w:rsidRDefault="007A7C36" w:rsidP="007A7C36">
      <w:pPr>
        <w:ind w:left="-15" w:right="-13"/>
        <w:rPr>
          <w:sz w:val="28"/>
          <w:szCs w:val="32"/>
        </w:rPr>
      </w:pPr>
    </w:p>
    <w:p w:rsidR="007A7C36" w:rsidRPr="00A40DDE" w:rsidRDefault="007A7C36" w:rsidP="007A7C36">
      <w:pPr>
        <w:ind w:left="-15" w:right="-13"/>
        <w:rPr>
          <w:sz w:val="28"/>
          <w:szCs w:val="32"/>
        </w:rPr>
      </w:pPr>
      <w:r w:rsidRPr="00A40DDE">
        <w:rPr>
          <w:sz w:val="28"/>
          <w:szCs w:val="32"/>
        </w:rPr>
        <w:t xml:space="preserve">Table </w:t>
      </w:r>
      <w:r w:rsidRPr="00A40DDE">
        <w:rPr>
          <w:color w:val="392A97"/>
          <w:sz w:val="28"/>
          <w:szCs w:val="32"/>
        </w:rPr>
        <w:t>4</w:t>
      </w:r>
      <w:r w:rsidRPr="00A40DDE">
        <w:rPr>
          <w:sz w:val="28"/>
          <w:szCs w:val="32"/>
        </w:rPr>
        <w:t xml:space="preserve">, panel B, presents summary statistics relating to banks that realized gains on AFS securities to avoid a loss, i.e., banks with negative </w:t>
      </w:r>
      <w:r w:rsidRPr="00A40DDE">
        <w:rPr>
          <w:rFonts w:ascii="Calibri" w:eastAsia="Calibri" w:hAnsi="Calibri" w:cs="Calibri"/>
          <w:sz w:val="28"/>
          <w:szCs w:val="32"/>
        </w:rPr>
        <w:t xml:space="preserve">NI </w:t>
      </w:r>
      <w:r w:rsidRPr="00A40DDE">
        <w:rPr>
          <w:sz w:val="28"/>
          <w:szCs w:val="32"/>
        </w:rPr>
        <w:t xml:space="preserve">but </w:t>
      </w:r>
      <w:r w:rsidRPr="00A40DDE">
        <w:rPr>
          <w:rFonts w:ascii="Calibri" w:eastAsia="Calibri" w:hAnsi="Calibri" w:cs="Calibri"/>
          <w:sz w:val="28"/>
          <w:szCs w:val="32"/>
        </w:rPr>
        <w:t xml:space="preserve">NI </w:t>
      </w:r>
      <w:r w:rsidRPr="00A40DDE">
        <w:rPr>
          <w:sz w:val="28"/>
          <w:szCs w:val="32"/>
        </w:rPr>
        <w:t xml:space="preserve">+ </w:t>
      </w:r>
      <w:r w:rsidRPr="00A40DDE">
        <w:rPr>
          <w:rFonts w:ascii="Calibri" w:eastAsia="Calibri" w:hAnsi="Calibri" w:cs="Calibri"/>
          <w:sz w:val="28"/>
          <w:szCs w:val="32"/>
        </w:rPr>
        <w:t xml:space="preserve">RGL </w:t>
      </w:r>
      <w:r w:rsidRPr="00A40DDE">
        <w:rPr>
          <w:sz w:val="28"/>
          <w:szCs w:val="32"/>
        </w:rPr>
        <w:t xml:space="preserve">&gt; = 0. Panel B presents findings based on an equation with </w:t>
      </w:r>
      <w:proofErr w:type="spellStart"/>
      <w:r w:rsidRPr="00A40DDE">
        <w:rPr>
          <w:rFonts w:ascii="Calibri" w:eastAsia="Calibri" w:hAnsi="Calibri" w:cs="Calibri"/>
          <w:sz w:val="28"/>
          <w:szCs w:val="32"/>
        </w:rPr>
        <w:t>NIneg</w:t>
      </w:r>
      <w:proofErr w:type="spellEnd"/>
      <w:r w:rsidRPr="00A40DDE">
        <w:rPr>
          <w:rFonts w:ascii="Calibri" w:eastAsia="Calibri" w:hAnsi="Calibri" w:cs="Calibri"/>
          <w:sz w:val="28"/>
          <w:szCs w:val="32"/>
        </w:rPr>
        <w:t xml:space="preserve"> </w:t>
      </w:r>
      <w:r w:rsidRPr="00A40DDE">
        <w:rPr>
          <w:sz w:val="28"/>
          <w:szCs w:val="32"/>
        </w:rPr>
        <w:t>as the only explanatory variable, Model I, and based on Eq. (</w:t>
      </w:r>
      <w:r w:rsidRPr="00A40DDE">
        <w:rPr>
          <w:color w:val="392A97"/>
          <w:sz w:val="28"/>
          <w:szCs w:val="32"/>
        </w:rPr>
        <w:t>2</w:t>
      </w:r>
      <w:r w:rsidRPr="00A40DDE">
        <w:rPr>
          <w:sz w:val="28"/>
          <w:szCs w:val="32"/>
        </w:rPr>
        <w:t xml:space="preserve">) without the interaction terms, Model II. As expected by construction, panel B reveals that the </w:t>
      </w:r>
      <w:proofErr w:type="spellStart"/>
      <w:r w:rsidRPr="00A40DDE">
        <w:rPr>
          <w:rFonts w:ascii="Calibri" w:eastAsia="Calibri" w:hAnsi="Calibri" w:cs="Calibri"/>
          <w:sz w:val="28"/>
          <w:szCs w:val="32"/>
        </w:rPr>
        <w:t>NIneg</w:t>
      </w:r>
      <w:proofErr w:type="spellEnd"/>
      <w:r w:rsidRPr="00A40DDE">
        <w:rPr>
          <w:rFonts w:ascii="Calibri" w:eastAsia="Calibri" w:hAnsi="Calibri" w:cs="Calibri"/>
          <w:sz w:val="28"/>
          <w:szCs w:val="32"/>
        </w:rPr>
        <w:t xml:space="preserve"> </w:t>
      </w:r>
      <w:r w:rsidRPr="00A40DDE">
        <w:rPr>
          <w:sz w:val="28"/>
          <w:szCs w:val="32"/>
        </w:rPr>
        <w:t xml:space="preserve">coefficient is significantly negative in both specifications (t-stats. = </w:t>
      </w:r>
      <w:r w:rsidRPr="00A40DDE">
        <w:rPr>
          <w:rFonts w:ascii="Calibri" w:eastAsia="Calibri" w:hAnsi="Calibri" w:cs="Calibri"/>
          <w:sz w:val="28"/>
          <w:szCs w:val="32"/>
        </w:rPr>
        <w:t>−</w:t>
      </w:r>
      <w:r w:rsidRPr="00A40DDE">
        <w:rPr>
          <w:sz w:val="28"/>
          <w:szCs w:val="32"/>
        </w:rPr>
        <w:t xml:space="preserve">38.03 and </w:t>
      </w:r>
      <w:r w:rsidRPr="00A40DDE">
        <w:rPr>
          <w:rFonts w:ascii="Calibri" w:eastAsia="Calibri" w:hAnsi="Calibri" w:cs="Calibri"/>
          <w:sz w:val="28"/>
          <w:szCs w:val="32"/>
        </w:rPr>
        <w:t>−</w:t>
      </w:r>
      <w:r w:rsidRPr="00A40DDE">
        <w:rPr>
          <w:sz w:val="28"/>
          <w:szCs w:val="32"/>
        </w:rPr>
        <w:t xml:space="preserve">36.78). However, panel B also reveals that in Model I the </w:t>
      </w:r>
      <w:proofErr w:type="spellStart"/>
      <w:r w:rsidRPr="00A40DDE">
        <w:rPr>
          <w:rFonts w:ascii="Calibri" w:eastAsia="Calibri" w:hAnsi="Calibri" w:cs="Calibri"/>
          <w:sz w:val="28"/>
          <w:szCs w:val="32"/>
        </w:rPr>
        <w:t>NIneg</w:t>
      </w:r>
      <w:proofErr w:type="spellEnd"/>
      <w:r w:rsidRPr="00A40DDE">
        <w:rPr>
          <w:rFonts w:ascii="Calibri" w:eastAsia="Calibri" w:hAnsi="Calibri" w:cs="Calibri"/>
          <w:sz w:val="28"/>
          <w:szCs w:val="32"/>
        </w:rPr>
        <w:t xml:space="preserve"> </w:t>
      </w:r>
      <w:r w:rsidRPr="00A40DDE">
        <w:rPr>
          <w:sz w:val="28"/>
          <w:szCs w:val="32"/>
        </w:rPr>
        <w:t xml:space="preserve">coefficient is </w:t>
      </w:r>
      <w:r w:rsidRPr="00A40DDE">
        <w:rPr>
          <w:rFonts w:ascii="Calibri" w:eastAsia="Calibri" w:hAnsi="Calibri" w:cs="Calibri"/>
          <w:sz w:val="28"/>
          <w:szCs w:val="32"/>
        </w:rPr>
        <w:t>−</w:t>
      </w:r>
      <w:r w:rsidRPr="00A40DDE">
        <w:rPr>
          <w:sz w:val="28"/>
          <w:szCs w:val="32"/>
        </w:rPr>
        <w:t xml:space="preserve">96.33, which is not significantly different from </w:t>
      </w:r>
      <w:r w:rsidRPr="00A40DDE">
        <w:rPr>
          <w:rFonts w:ascii="Calibri" w:eastAsia="Calibri" w:hAnsi="Calibri" w:cs="Calibri"/>
          <w:sz w:val="28"/>
          <w:szCs w:val="32"/>
        </w:rPr>
        <w:t>−</w:t>
      </w:r>
      <w:r w:rsidRPr="00A40DDE">
        <w:rPr>
          <w:sz w:val="28"/>
          <w:szCs w:val="32"/>
        </w:rPr>
        <w:t xml:space="preserve">100 (t-stat. = 1.45). This finding is not by construction and indicates that these banks realized just enough gains on AFS securities to turn negative </w:t>
      </w:r>
      <w:r w:rsidRPr="00A40DDE">
        <w:rPr>
          <w:rFonts w:ascii="Calibri" w:eastAsia="Calibri" w:hAnsi="Calibri" w:cs="Calibri"/>
          <w:sz w:val="28"/>
          <w:szCs w:val="32"/>
        </w:rPr>
        <w:t xml:space="preserve">NI </w:t>
      </w:r>
      <w:r w:rsidRPr="00A40DDE">
        <w:rPr>
          <w:sz w:val="28"/>
          <w:szCs w:val="32"/>
        </w:rPr>
        <w:t xml:space="preserve">into positive net income, even though </w:t>
      </w:r>
      <w:proofErr w:type="spellStart"/>
      <w:r w:rsidRPr="00A40DDE">
        <w:rPr>
          <w:sz w:val="28"/>
          <w:szCs w:val="32"/>
        </w:rPr>
        <w:t>untabulated</w:t>
      </w:r>
      <w:proofErr w:type="spellEnd"/>
      <w:r w:rsidRPr="00A40DDE">
        <w:rPr>
          <w:sz w:val="28"/>
          <w:szCs w:val="32"/>
        </w:rPr>
        <w:t xml:space="preserve"> statistics reveal that mean </w:t>
      </w:r>
      <w:r w:rsidRPr="00A40DDE">
        <w:rPr>
          <w:rFonts w:ascii="Calibri" w:eastAsia="Calibri" w:hAnsi="Calibri" w:cs="Calibri"/>
          <w:sz w:val="28"/>
          <w:szCs w:val="32"/>
        </w:rPr>
        <w:t xml:space="preserve">UG </w:t>
      </w:r>
      <w:r w:rsidRPr="00A40DDE">
        <w:rPr>
          <w:sz w:val="28"/>
          <w:szCs w:val="32"/>
        </w:rPr>
        <w:t xml:space="preserve">for these banks is more than eight times mean </w:t>
      </w:r>
      <w:r w:rsidRPr="00A40DDE">
        <w:rPr>
          <w:rFonts w:ascii="Calibri" w:eastAsia="Calibri" w:hAnsi="Calibri" w:cs="Calibri"/>
          <w:sz w:val="28"/>
          <w:szCs w:val="32"/>
        </w:rPr>
        <w:t>NI</w:t>
      </w:r>
      <w:r w:rsidRPr="00A40DDE">
        <w:rPr>
          <w:sz w:val="28"/>
          <w:szCs w:val="32"/>
        </w:rPr>
        <w:t xml:space="preserve">, 0.43 versus </w:t>
      </w:r>
      <w:r w:rsidRPr="00A40DDE">
        <w:rPr>
          <w:rFonts w:ascii="Calibri" w:eastAsia="Calibri" w:hAnsi="Calibri" w:cs="Calibri"/>
          <w:sz w:val="28"/>
          <w:szCs w:val="32"/>
        </w:rPr>
        <w:t>−</w:t>
      </w:r>
      <w:r w:rsidRPr="00A40DDE">
        <w:rPr>
          <w:sz w:val="28"/>
          <w:szCs w:val="32"/>
        </w:rPr>
        <w:t xml:space="preserve">0.05. In Model II, the </w:t>
      </w:r>
      <w:proofErr w:type="spellStart"/>
      <w:r w:rsidRPr="00A40DDE">
        <w:rPr>
          <w:rFonts w:ascii="Calibri" w:eastAsia="Calibri" w:hAnsi="Calibri" w:cs="Calibri"/>
          <w:sz w:val="28"/>
          <w:szCs w:val="32"/>
        </w:rPr>
        <w:t>NIneg</w:t>
      </w:r>
      <w:proofErr w:type="spellEnd"/>
      <w:r w:rsidRPr="00A40DDE">
        <w:rPr>
          <w:rFonts w:ascii="Calibri" w:eastAsia="Calibri" w:hAnsi="Calibri" w:cs="Calibri"/>
          <w:sz w:val="28"/>
          <w:szCs w:val="32"/>
        </w:rPr>
        <w:t xml:space="preserve"> </w:t>
      </w:r>
      <w:r w:rsidRPr="00A40DDE">
        <w:rPr>
          <w:sz w:val="28"/>
          <w:szCs w:val="32"/>
        </w:rPr>
        <w:t xml:space="preserve">coefficient is smaller, </w:t>
      </w:r>
      <w:r w:rsidRPr="00A40DDE">
        <w:rPr>
          <w:rFonts w:ascii="Calibri" w:eastAsia="Calibri" w:hAnsi="Calibri" w:cs="Calibri"/>
          <w:sz w:val="28"/>
          <w:szCs w:val="32"/>
        </w:rPr>
        <w:t>−</w:t>
      </w:r>
      <w:r w:rsidRPr="00A40DDE">
        <w:rPr>
          <w:sz w:val="28"/>
          <w:szCs w:val="32"/>
        </w:rPr>
        <w:t xml:space="preserve">84.15 versus </w:t>
      </w:r>
      <w:r w:rsidRPr="00A40DDE">
        <w:rPr>
          <w:rFonts w:ascii="Calibri" w:eastAsia="Calibri" w:hAnsi="Calibri" w:cs="Calibri"/>
          <w:sz w:val="28"/>
          <w:szCs w:val="32"/>
        </w:rPr>
        <w:t>−</w:t>
      </w:r>
      <w:r w:rsidRPr="00A40DDE">
        <w:rPr>
          <w:sz w:val="28"/>
          <w:szCs w:val="32"/>
        </w:rPr>
        <w:t xml:space="preserve">96.33, which indicates </w:t>
      </w:r>
      <w:proofErr w:type="spellStart"/>
      <w:r w:rsidRPr="00A40DDE">
        <w:rPr>
          <w:rFonts w:ascii="Calibri" w:eastAsia="Calibri" w:hAnsi="Calibri" w:cs="Calibri"/>
          <w:sz w:val="28"/>
          <w:szCs w:val="32"/>
        </w:rPr>
        <w:t>NIneg</w:t>
      </w:r>
      <w:proofErr w:type="spellEnd"/>
      <w:r w:rsidRPr="00A40DDE">
        <w:rPr>
          <w:rFonts w:ascii="Calibri" w:eastAsia="Calibri" w:hAnsi="Calibri" w:cs="Calibri"/>
          <w:sz w:val="28"/>
          <w:szCs w:val="32"/>
        </w:rPr>
        <w:t xml:space="preserve"> </w:t>
      </w:r>
      <w:proofErr w:type="gramStart"/>
      <w:r w:rsidRPr="00A40DDE">
        <w:rPr>
          <w:sz w:val="28"/>
          <w:szCs w:val="32"/>
        </w:rPr>
        <w:t>is correlated</w:t>
      </w:r>
      <w:proofErr w:type="gramEnd"/>
      <w:r w:rsidRPr="00A40DDE">
        <w:rPr>
          <w:sz w:val="28"/>
          <w:szCs w:val="32"/>
        </w:rPr>
        <w:t xml:space="preserve"> with the control variables.</w:t>
      </w:r>
    </w:p>
    <w:p w:rsidR="007A7C36" w:rsidRPr="00A40DDE" w:rsidRDefault="007A7C36" w:rsidP="007A7C36">
      <w:pPr>
        <w:spacing w:after="265"/>
        <w:ind w:left="-15" w:right="-13"/>
        <w:rPr>
          <w:sz w:val="28"/>
          <w:szCs w:val="32"/>
        </w:rPr>
      </w:pPr>
      <w:proofErr w:type="spellStart"/>
      <w:r w:rsidRPr="00A40DDE">
        <w:rPr>
          <w:sz w:val="28"/>
          <w:szCs w:val="32"/>
        </w:rPr>
        <w:t>Untabulated</w:t>
      </w:r>
      <w:proofErr w:type="spellEnd"/>
      <w:r w:rsidRPr="00A40DDE">
        <w:rPr>
          <w:sz w:val="28"/>
          <w:szCs w:val="32"/>
        </w:rPr>
        <w:t xml:space="preserve"> statistics reveal that 818 of the 917 panel B observations have not only </w:t>
      </w:r>
      <w:r w:rsidRPr="00A40DDE">
        <w:rPr>
          <w:rFonts w:ascii="Calibri" w:eastAsia="Calibri" w:hAnsi="Calibri" w:cs="Calibri"/>
          <w:sz w:val="28"/>
          <w:szCs w:val="32"/>
        </w:rPr>
        <w:t xml:space="preserve">NI </w:t>
      </w:r>
      <w:r w:rsidRPr="00A40DDE">
        <w:rPr>
          <w:sz w:val="28"/>
          <w:szCs w:val="32"/>
        </w:rPr>
        <w:t xml:space="preserve">&lt; 0 and </w:t>
      </w:r>
      <w:r w:rsidRPr="00A40DDE">
        <w:rPr>
          <w:rFonts w:ascii="Calibri" w:eastAsia="Calibri" w:hAnsi="Calibri" w:cs="Calibri"/>
          <w:sz w:val="28"/>
          <w:szCs w:val="32"/>
        </w:rPr>
        <w:t xml:space="preserve">NI </w:t>
      </w:r>
      <w:r w:rsidRPr="00A40DDE">
        <w:rPr>
          <w:sz w:val="28"/>
          <w:szCs w:val="32"/>
        </w:rPr>
        <w:t xml:space="preserve">+ </w:t>
      </w:r>
      <w:r w:rsidRPr="00A40DDE">
        <w:rPr>
          <w:rFonts w:ascii="Calibri" w:eastAsia="Calibri" w:hAnsi="Calibri" w:cs="Calibri"/>
          <w:sz w:val="28"/>
          <w:szCs w:val="32"/>
        </w:rPr>
        <w:t xml:space="preserve">RGL </w:t>
      </w:r>
      <w:r w:rsidRPr="00A40DDE">
        <w:rPr>
          <w:sz w:val="28"/>
          <w:szCs w:val="32"/>
        </w:rPr>
        <w:t xml:space="preserve">&gt; 0, but also </w:t>
      </w:r>
      <w:r w:rsidRPr="00A40DDE">
        <w:rPr>
          <w:rFonts w:ascii="Calibri" w:eastAsia="Calibri" w:hAnsi="Calibri" w:cs="Calibri"/>
          <w:sz w:val="28"/>
          <w:szCs w:val="32"/>
        </w:rPr>
        <w:t xml:space="preserve">NI </w:t>
      </w:r>
      <w:r w:rsidRPr="00A40DDE">
        <w:rPr>
          <w:sz w:val="28"/>
          <w:szCs w:val="32"/>
        </w:rPr>
        <w:t xml:space="preserve">+ </w:t>
      </w:r>
      <w:r w:rsidRPr="00A40DDE">
        <w:rPr>
          <w:rFonts w:ascii="Calibri" w:eastAsia="Calibri" w:hAnsi="Calibri" w:cs="Calibri"/>
          <w:sz w:val="28"/>
          <w:szCs w:val="32"/>
        </w:rPr>
        <w:t xml:space="preserve">UG </w:t>
      </w:r>
      <w:r w:rsidRPr="00A40DDE">
        <w:rPr>
          <w:sz w:val="28"/>
          <w:szCs w:val="32"/>
        </w:rPr>
        <w:t xml:space="preserve">&gt; = </w:t>
      </w:r>
      <w:proofErr w:type="gramStart"/>
      <w:r w:rsidRPr="00A40DDE">
        <w:rPr>
          <w:sz w:val="28"/>
          <w:szCs w:val="32"/>
        </w:rPr>
        <w:t>0</w:t>
      </w:r>
      <w:proofErr w:type="gramEnd"/>
      <w:r w:rsidRPr="00A40DDE">
        <w:rPr>
          <w:sz w:val="28"/>
          <w:szCs w:val="32"/>
        </w:rPr>
        <w:t xml:space="preserve">, and are included in panel A, Model III. Thus, to provide insights into whether the presence of loss avoiders masks the relation between </w:t>
      </w:r>
      <w:r w:rsidRPr="00A40DDE">
        <w:rPr>
          <w:rFonts w:ascii="Calibri" w:eastAsia="Calibri" w:hAnsi="Calibri" w:cs="Calibri"/>
          <w:sz w:val="28"/>
          <w:szCs w:val="32"/>
        </w:rPr>
        <w:t xml:space="preserve">RGL </w:t>
      </w:r>
      <w:r w:rsidRPr="00A40DDE">
        <w:rPr>
          <w:sz w:val="28"/>
          <w:szCs w:val="32"/>
        </w:rPr>
        <w:t xml:space="preserve">and </w:t>
      </w:r>
      <w:proofErr w:type="spellStart"/>
      <w:r w:rsidRPr="00A40DDE">
        <w:rPr>
          <w:rFonts w:ascii="Calibri" w:eastAsia="Calibri" w:hAnsi="Calibri" w:cs="Calibri"/>
          <w:sz w:val="28"/>
          <w:szCs w:val="32"/>
        </w:rPr>
        <w:t>NIneg</w:t>
      </w:r>
      <w:proofErr w:type="spellEnd"/>
      <w:r w:rsidRPr="00A40DDE">
        <w:rPr>
          <w:sz w:val="28"/>
          <w:szCs w:val="32"/>
        </w:rPr>
        <w:t xml:space="preserve">, we re-estimate the specification in panel A permitting the </w:t>
      </w:r>
      <w:proofErr w:type="spellStart"/>
      <w:r w:rsidRPr="00A40DDE">
        <w:rPr>
          <w:rFonts w:ascii="Calibri" w:eastAsia="Calibri" w:hAnsi="Calibri" w:cs="Calibri"/>
          <w:sz w:val="28"/>
          <w:szCs w:val="32"/>
        </w:rPr>
        <w:t>NIneg</w:t>
      </w:r>
      <w:proofErr w:type="spellEnd"/>
      <w:r w:rsidRPr="00A40DDE">
        <w:rPr>
          <w:rFonts w:ascii="Calibri" w:eastAsia="Calibri" w:hAnsi="Calibri" w:cs="Calibri"/>
          <w:sz w:val="28"/>
          <w:szCs w:val="32"/>
        </w:rPr>
        <w:t xml:space="preserve"> </w:t>
      </w:r>
      <w:r w:rsidRPr="00A40DDE">
        <w:rPr>
          <w:sz w:val="28"/>
          <w:szCs w:val="32"/>
        </w:rPr>
        <w:t xml:space="preserve">coefficient to vary for banks that avoided a loss by realizing securities gains. Panel C presents the results. The </w:t>
      </w:r>
      <w:proofErr w:type="spellStart"/>
      <w:r w:rsidRPr="00A40DDE">
        <w:rPr>
          <w:rFonts w:ascii="Calibri" w:eastAsia="Calibri" w:hAnsi="Calibri" w:cs="Calibri"/>
          <w:sz w:val="28"/>
          <w:szCs w:val="32"/>
        </w:rPr>
        <w:t>NIneg</w:t>
      </w:r>
      <w:proofErr w:type="spellEnd"/>
      <w:r w:rsidRPr="00A40DDE">
        <w:rPr>
          <w:rFonts w:ascii="Calibri" w:eastAsia="Calibri" w:hAnsi="Calibri" w:cs="Calibri"/>
          <w:sz w:val="28"/>
          <w:szCs w:val="32"/>
        </w:rPr>
        <w:t xml:space="preserve"> </w:t>
      </w:r>
      <w:r w:rsidRPr="00A40DDE">
        <w:rPr>
          <w:sz w:val="28"/>
          <w:szCs w:val="32"/>
        </w:rPr>
        <w:t>coefficient is significantly negative for banks that did not avoid a loss using realized gains (</w:t>
      </w:r>
      <w:proofErr w:type="spellStart"/>
      <w:r w:rsidRPr="00A40DDE">
        <w:rPr>
          <w:sz w:val="28"/>
          <w:szCs w:val="32"/>
        </w:rPr>
        <w:t>coef</w:t>
      </w:r>
      <w:proofErr w:type="spellEnd"/>
      <w:r w:rsidRPr="00A40DDE">
        <w:rPr>
          <w:sz w:val="28"/>
          <w:szCs w:val="32"/>
        </w:rPr>
        <w:t xml:space="preserve">. = </w:t>
      </w:r>
      <w:r w:rsidRPr="00A40DDE">
        <w:rPr>
          <w:rFonts w:ascii="Calibri" w:eastAsia="Calibri" w:hAnsi="Calibri" w:cs="Calibri"/>
          <w:sz w:val="28"/>
          <w:szCs w:val="32"/>
        </w:rPr>
        <w:t>−</w:t>
      </w:r>
      <w:r w:rsidRPr="00A40DDE">
        <w:rPr>
          <w:sz w:val="28"/>
          <w:szCs w:val="32"/>
        </w:rPr>
        <w:t xml:space="preserve">6.13; t-stat. = </w:t>
      </w:r>
      <w:r w:rsidRPr="00A40DDE">
        <w:rPr>
          <w:rFonts w:ascii="Calibri" w:eastAsia="Calibri" w:hAnsi="Calibri" w:cs="Calibri"/>
          <w:sz w:val="28"/>
          <w:szCs w:val="32"/>
        </w:rPr>
        <w:t>−</w:t>
      </w:r>
      <w:r w:rsidRPr="00A40DDE">
        <w:rPr>
          <w:sz w:val="28"/>
          <w:szCs w:val="32"/>
        </w:rPr>
        <w:t xml:space="preserve">8.97), which is consistent with </w:t>
      </w:r>
      <w:proofErr w:type="spellStart"/>
      <w:r w:rsidRPr="00A40DDE">
        <w:rPr>
          <w:sz w:val="28"/>
          <w:szCs w:val="32"/>
        </w:rPr>
        <w:t>earningssmoothing</w:t>
      </w:r>
      <w:proofErr w:type="spellEnd"/>
      <w:r w:rsidRPr="00A40DDE">
        <w:rPr>
          <w:sz w:val="28"/>
          <w:szCs w:val="32"/>
        </w:rPr>
        <w:t xml:space="preserve">. As expected based on panel B, the </w:t>
      </w:r>
      <w:proofErr w:type="spellStart"/>
      <w:r w:rsidRPr="00A40DDE">
        <w:rPr>
          <w:rFonts w:ascii="Calibri" w:eastAsia="Calibri" w:hAnsi="Calibri" w:cs="Calibri"/>
          <w:sz w:val="28"/>
          <w:szCs w:val="32"/>
        </w:rPr>
        <w:t>NIneg</w:t>
      </w:r>
      <w:proofErr w:type="spellEnd"/>
      <w:r w:rsidRPr="00A40DDE">
        <w:rPr>
          <w:rFonts w:ascii="Calibri" w:eastAsia="Calibri" w:hAnsi="Calibri" w:cs="Calibri"/>
          <w:sz w:val="28"/>
          <w:szCs w:val="32"/>
        </w:rPr>
        <w:t xml:space="preserve"> </w:t>
      </w:r>
      <w:proofErr w:type="spellStart"/>
      <w:r w:rsidRPr="00A40DDE">
        <w:rPr>
          <w:sz w:val="28"/>
          <w:szCs w:val="32"/>
        </w:rPr>
        <w:t>coefficientfor</w:t>
      </w:r>
      <w:proofErr w:type="spellEnd"/>
      <w:r w:rsidRPr="00A40DDE">
        <w:rPr>
          <w:sz w:val="28"/>
          <w:szCs w:val="32"/>
        </w:rPr>
        <w:t xml:space="preserve"> loss avoiders is even more negative (incremental </w:t>
      </w:r>
      <w:proofErr w:type="spellStart"/>
      <w:r w:rsidRPr="00A40DDE">
        <w:rPr>
          <w:sz w:val="28"/>
          <w:szCs w:val="32"/>
        </w:rPr>
        <w:t>coef</w:t>
      </w:r>
      <w:proofErr w:type="spellEnd"/>
      <w:r w:rsidRPr="00A40DDE">
        <w:rPr>
          <w:sz w:val="28"/>
          <w:szCs w:val="32"/>
        </w:rPr>
        <w:t xml:space="preserve">. = </w:t>
      </w:r>
      <w:r w:rsidRPr="00A40DDE">
        <w:rPr>
          <w:rFonts w:ascii="Calibri" w:eastAsia="Calibri" w:hAnsi="Calibri" w:cs="Calibri"/>
          <w:sz w:val="28"/>
          <w:szCs w:val="32"/>
        </w:rPr>
        <w:t>−</w:t>
      </w:r>
      <w:r w:rsidRPr="00A40DDE">
        <w:rPr>
          <w:sz w:val="28"/>
          <w:szCs w:val="32"/>
        </w:rPr>
        <w:t xml:space="preserve">78.29; t-stat. = </w:t>
      </w:r>
      <w:r w:rsidRPr="00A40DDE">
        <w:rPr>
          <w:rFonts w:ascii="Calibri" w:eastAsia="Calibri" w:hAnsi="Calibri" w:cs="Calibri"/>
          <w:sz w:val="28"/>
          <w:szCs w:val="32"/>
        </w:rPr>
        <w:t>−</w:t>
      </w:r>
      <w:r w:rsidRPr="00A40DDE">
        <w:rPr>
          <w:sz w:val="28"/>
          <w:szCs w:val="32"/>
        </w:rPr>
        <w:t xml:space="preserve">19.48); the total </w:t>
      </w:r>
      <w:proofErr w:type="spellStart"/>
      <w:r w:rsidRPr="00A40DDE">
        <w:rPr>
          <w:rFonts w:ascii="Calibri" w:eastAsia="Calibri" w:hAnsi="Calibri" w:cs="Calibri"/>
          <w:sz w:val="28"/>
          <w:szCs w:val="32"/>
        </w:rPr>
        <w:t>NIneg</w:t>
      </w:r>
      <w:proofErr w:type="spellEnd"/>
      <w:r w:rsidRPr="00A40DDE">
        <w:rPr>
          <w:rFonts w:ascii="Calibri" w:eastAsia="Calibri" w:hAnsi="Calibri" w:cs="Calibri"/>
          <w:sz w:val="28"/>
          <w:szCs w:val="32"/>
        </w:rPr>
        <w:t xml:space="preserve"> </w:t>
      </w:r>
      <w:r w:rsidRPr="00A40DDE">
        <w:rPr>
          <w:sz w:val="28"/>
          <w:szCs w:val="32"/>
        </w:rPr>
        <w:t xml:space="preserve">coefficient for loss avoiders of </w:t>
      </w:r>
      <w:r w:rsidRPr="00A40DDE">
        <w:rPr>
          <w:rFonts w:ascii="Calibri" w:eastAsia="Calibri" w:hAnsi="Calibri" w:cs="Calibri"/>
          <w:sz w:val="28"/>
          <w:szCs w:val="32"/>
        </w:rPr>
        <w:t>−</w:t>
      </w:r>
      <w:r w:rsidRPr="00A40DDE">
        <w:rPr>
          <w:sz w:val="28"/>
          <w:szCs w:val="32"/>
        </w:rPr>
        <w:t xml:space="preserve">84.42, i.e., </w:t>
      </w:r>
      <w:r w:rsidRPr="00A40DDE">
        <w:rPr>
          <w:rFonts w:ascii="Calibri" w:eastAsia="Calibri" w:hAnsi="Calibri" w:cs="Calibri"/>
          <w:sz w:val="28"/>
          <w:szCs w:val="32"/>
        </w:rPr>
        <w:t>−</w:t>
      </w:r>
      <w:r w:rsidRPr="00A40DDE">
        <w:rPr>
          <w:sz w:val="28"/>
          <w:szCs w:val="32"/>
        </w:rPr>
        <w:t xml:space="preserve">6.13 </w:t>
      </w:r>
      <w:r w:rsidRPr="00A40DDE">
        <w:rPr>
          <w:rFonts w:ascii="Calibri" w:eastAsia="Calibri" w:hAnsi="Calibri" w:cs="Calibri"/>
          <w:sz w:val="28"/>
          <w:szCs w:val="32"/>
        </w:rPr>
        <w:t xml:space="preserve">– </w:t>
      </w:r>
      <w:r w:rsidRPr="00A40DDE">
        <w:rPr>
          <w:sz w:val="28"/>
          <w:szCs w:val="32"/>
        </w:rPr>
        <w:t xml:space="preserve">78.29, is close to the </w:t>
      </w:r>
      <w:r w:rsidRPr="00A40DDE">
        <w:rPr>
          <w:rFonts w:ascii="Calibri" w:eastAsia="Calibri" w:hAnsi="Calibri" w:cs="Calibri"/>
          <w:sz w:val="28"/>
          <w:szCs w:val="32"/>
        </w:rPr>
        <w:t>−</w:t>
      </w:r>
      <w:r w:rsidRPr="00A40DDE">
        <w:rPr>
          <w:sz w:val="28"/>
          <w:szCs w:val="32"/>
        </w:rPr>
        <w:t xml:space="preserve">84.15 coefficient in panel B, which is essentially a 100% offset. Panel C also reveals that loss avoiders have significantly higher </w:t>
      </w:r>
      <w:r w:rsidRPr="00A40DDE">
        <w:rPr>
          <w:rFonts w:ascii="Calibri" w:eastAsia="Calibri" w:hAnsi="Calibri" w:cs="Calibri"/>
          <w:sz w:val="28"/>
          <w:szCs w:val="32"/>
        </w:rPr>
        <w:t xml:space="preserve">RGL </w:t>
      </w:r>
      <w:r w:rsidRPr="00A40DDE">
        <w:rPr>
          <w:sz w:val="28"/>
          <w:szCs w:val="32"/>
        </w:rPr>
        <w:t xml:space="preserve">(incremental intercept = 0.05; t-stat. = 16.86), which likely explains the insignificant </w:t>
      </w:r>
      <w:proofErr w:type="spellStart"/>
      <w:r w:rsidRPr="00A40DDE">
        <w:rPr>
          <w:rFonts w:ascii="Calibri" w:eastAsia="Calibri" w:hAnsi="Calibri" w:cs="Calibri"/>
          <w:sz w:val="28"/>
          <w:szCs w:val="32"/>
        </w:rPr>
        <w:t>NIneg</w:t>
      </w:r>
      <w:proofErr w:type="spellEnd"/>
      <w:r w:rsidRPr="00A40DDE">
        <w:rPr>
          <w:rFonts w:ascii="Calibri" w:eastAsia="Calibri" w:hAnsi="Calibri" w:cs="Calibri"/>
          <w:sz w:val="28"/>
          <w:szCs w:val="32"/>
        </w:rPr>
        <w:t xml:space="preserve"> </w:t>
      </w:r>
      <w:r w:rsidRPr="00A40DDE">
        <w:rPr>
          <w:sz w:val="28"/>
          <w:szCs w:val="32"/>
        </w:rPr>
        <w:t>coefficient in panel A.</w:t>
      </w:r>
      <w:r w:rsidRPr="00A40DDE">
        <w:rPr>
          <w:sz w:val="28"/>
          <w:szCs w:val="32"/>
          <w:vertAlign w:val="superscript"/>
        </w:rPr>
        <w:footnoteReference w:id="23"/>
      </w:r>
    </w:p>
    <w:p w:rsidR="007A7C36" w:rsidRPr="00A40DDE" w:rsidRDefault="007A7C36" w:rsidP="007A7C36">
      <w:pPr>
        <w:spacing w:after="256" w:line="265" w:lineRule="auto"/>
        <w:ind w:left="-5" w:right="0" w:hanging="10"/>
        <w:jc w:val="left"/>
        <w:rPr>
          <w:sz w:val="28"/>
          <w:szCs w:val="32"/>
        </w:rPr>
      </w:pPr>
      <w:r w:rsidRPr="00A40DDE">
        <w:rPr>
          <w:sz w:val="28"/>
          <w:szCs w:val="32"/>
        </w:rPr>
        <w:t>5.4 Listed versus non-listed banks</w:t>
      </w:r>
    </w:p>
    <w:p w:rsidR="007A7C36" w:rsidRPr="00A40DDE" w:rsidRDefault="007A7C36" w:rsidP="007A7C36">
      <w:pPr>
        <w:ind w:left="-15" w:right="-13" w:firstLine="0"/>
        <w:rPr>
          <w:sz w:val="28"/>
          <w:szCs w:val="32"/>
        </w:rPr>
      </w:pPr>
      <w:r w:rsidRPr="00A40DDE">
        <w:rPr>
          <w:sz w:val="28"/>
          <w:szCs w:val="32"/>
        </w:rPr>
        <w:lastRenderedPageBreak/>
        <w:t xml:space="preserve">As noted in section </w:t>
      </w:r>
      <w:r w:rsidRPr="00A40DDE">
        <w:rPr>
          <w:color w:val="392A97"/>
          <w:sz w:val="28"/>
          <w:szCs w:val="32"/>
        </w:rPr>
        <w:t>2.2</w:t>
      </w:r>
      <w:r w:rsidRPr="00A40DDE">
        <w:rPr>
          <w:sz w:val="28"/>
          <w:szCs w:val="32"/>
        </w:rPr>
        <w:t>, Beatty and Harris (</w:t>
      </w:r>
      <w:r w:rsidRPr="00A40DDE">
        <w:rPr>
          <w:color w:val="392A97"/>
          <w:sz w:val="28"/>
          <w:szCs w:val="32"/>
        </w:rPr>
        <w:t>1998</w:t>
      </w:r>
      <w:r w:rsidRPr="00A40DDE">
        <w:rPr>
          <w:sz w:val="28"/>
          <w:szCs w:val="32"/>
        </w:rPr>
        <w:t xml:space="preserve">) finds that both listed and non-listed banks engage in earnings smoothing using realized securities gains and losses, but that listed banks do so to a greater extent. Thus, we estimate </w:t>
      </w:r>
      <w:proofErr w:type="spellStart"/>
      <w:r w:rsidRPr="00A40DDE">
        <w:rPr>
          <w:sz w:val="28"/>
          <w:szCs w:val="32"/>
        </w:rPr>
        <w:t>Eqs</w:t>
      </w:r>
      <w:proofErr w:type="spellEnd"/>
      <w:r w:rsidRPr="00A40DDE">
        <w:rPr>
          <w:sz w:val="28"/>
          <w:szCs w:val="32"/>
        </w:rPr>
        <w:t>. (</w:t>
      </w:r>
      <w:r w:rsidRPr="00A40DDE">
        <w:rPr>
          <w:color w:val="392A97"/>
          <w:sz w:val="28"/>
          <w:szCs w:val="32"/>
        </w:rPr>
        <w:t>1</w:t>
      </w:r>
      <w:r w:rsidRPr="00A40DDE">
        <w:rPr>
          <w:sz w:val="28"/>
          <w:szCs w:val="32"/>
        </w:rPr>
        <w:t xml:space="preserve">) </w:t>
      </w:r>
      <w:proofErr w:type="gramStart"/>
      <w:r w:rsidRPr="00A40DDE">
        <w:rPr>
          <w:sz w:val="28"/>
          <w:szCs w:val="32"/>
        </w:rPr>
        <w:t>and</w:t>
      </w:r>
      <w:proofErr w:type="gramEnd"/>
      <w:r w:rsidRPr="00A40DDE">
        <w:rPr>
          <w:sz w:val="28"/>
          <w:szCs w:val="32"/>
        </w:rPr>
        <w:t xml:space="preserve"> (</w:t>
      </w:r>
      <w:r w:rsidRPr="00A40DDE">
        <w:rPr>
          <w:color w:val="392A97"/>
          <w:sz w:val="28"/>
          <w:szCs w:val="32"/>
        </w:rPr>
        <w:t>2</w:t>
      </w:r>
      <w:r w:rsidRPr="00A40DDE">
        <w:rPr>
          <w:sz w:val="28"/>
          <w:szCs w:val="32"/>
        </w:rPr>
        <w:t>) separately for listed and non-listed banks and test whether they differ in the extent to which, and how, they manage earnings and regulatory capital. We tabulate these separate estimations to facilitate comparison of coefficients, but test for coefficient equality by pooling observations and permitting the coefficients to differ for listed and non-listed banks.</w:t>
      </w:r>
    </w:p>
    <w:p w:rsidR="007A7C36" w:rsidRPr="00A40DDE" w:rsidRDefault="007A7C36" w:rsidP="007A7C36">
      <w:pPr>
        <w:ind w:left="-15" w:right="-13"/>
        <w:rPr>
          <w:sz w:val="28"/>
          <w:szCs w:val="32"/>
        </w:rPr>
      </w:pPr>
      <w:r w:rsidRPr="00A40DDE">
        <w:rPr>
          <w:sz w:val="28"/>
          <w:szCs w:val="32"/>
        </w:rPr>
        <w:t xml:space="preserve">Table </w:t>
      </w:r>
      <w:r w:rsidRPr="00A40DDE">
        <w:rPr>
          <w:color w:val="392A97"/>
          <w:sz w:val="28"/>
          <w:szCs w:val="32"/>
        </w:rPr>
        <w:t xml:space="preserve">5 </w:t>
      </w:r>
      <w:r w:rsidRPr="00A40DDE">
        <w:rPr>
          <w:sz w:val="28"/>
          <w:szCs w:val="32"/>
        </w:rPr>
        <w:t>presents regression summary statistics from Eq. (</w:t>
      </w:r>
      <w:r w:rsidRPr="00A40DDE">
        <w:rPr>
          <w:color w:val="392A97"/>
          <w:sz w:val="28"/>
          <w:szCs w:val="32"/>
        </w:rPr>
        <w:t>1</w:t>
      </w:r>
      <w:r w:rsidRPr="00A40DDE">
        <w:rPr>
          <w:sz w:val="28"/>
          <w:szCs w:val="32"/>
        </w:rPr>
        <w:t>), in panel A, and Eq. (</w:t>
      </w:r>
      <w:r w:rsidRPr="00A40DDE">
        <w:rPr>
          <w:color w:val="392A97"/>
          <w:sz w:val="28"/>
          <w:szCs w:val="32"/>
        </w:rPr>
        <w:t>2</w:t>
      </w:r>
      <w:r w:rsidRPr="00A40DDE">
        <w:rPr>
          <w:sz w:val="28"/>
          <w:szCs w:val="32"/>
        </w:rPr>
        <w:t xml:space="preserve">), in panel B, separately for listed and non-listed banks. Panel A reveals inferences for both types of banks consistent with those revealed by Table </w:t>
      </w:r>
      <w:r w:rsidRPr="00A40DDE">
        <w:rPr>
          <w:color w:val="392A97"/>
          <w:sz w:val="28"/>
          <w:szCs w:val="32"/>
        </w:rPr>
        <w:t>2</w:t>
      </w:r>
      <w:r w:rsidRPr="00A40DDE">
        <w:rPr>
          <w:sz w:val="28"/>
          <w:szCs w:val="32"/>
        </w:rPr>
        <w:t xml:space="preserve">. The only exception is that there is no evidence that non-listed banks with low regulatory capital realize more net securities </w:t>
      </w:r>
      <w:proofErr w:type="spellStart"/>
      <w:r w:rsidRPr="00A40DDE">
        <w:rPr>
          <w:sz w:val="28"/>
          <w:szCs w:val="32"/>
        </w:rPr>
        <w:t>gains.However,untabulatedstatisticspermitting</w:t>
      </w:r>
      <w:proofErr w:type="spellEnd"/>
      <w:r w:rsidRPr="00A40DDE">
        <w:rPr>
          <w:sz w:val="28"/>
          <w:szCs w:val="32"/>
        </w:rPr>
        <w:t xml:space="preserve"> </w:t>
      </w:r>
      <w:proofErr w:type="spellStart"/>
      <w:r w:rsidRPr="00A40DDE">
        <w:rPr>
          <w:sz w:val="28"/>
          <w:szCs w:val="32"/>
        </w:rPr>
        <w:t>allcoefficientsto</w:t>
      </w:r>
      <w:proofErr w:type="spellEnd"/>
      <w:r w:rsidRPr="00A40DDE">
        <w:rPr>
          <w:sz w:val="28"/>
          <w:szCs w:val="32"/>
        </w:rPr>
        <w:t xml:space="preserve"> vary for </w:t>
      </w:r>
      <w:proofErr w:type="spellStart"/>
      <w:r w:rsidRPr="00A40DDE">
        <w:rPr>
          <w:sz w:val="28"/>
          <w:szCs w:val="32"/>
        </w:rPr>
        <w:t>listedand</w:t>
      </w:r>
      <w:proofErr w:type="spellEnd"/>
      <w:r w:rsidRPr="00A40DDE">
        <w:rPr>
          <w:sz w:val="28"/>
          <w:szCs w:val="32"/>
        </w:rPr>
        <w:t xml:space="preserve"> </w:t>
      </w:r>
      <w:proofErr w:type="spellStart"/>
      <w:r w:rsidRPr="00A40DDE">
        <w:rPr>
          <w:sz w:val="28"/>
          <w:szCs w:val="32"/>
        </w:rPr>
        <w:t>nonlisted</w:t>
      </w:r>
      <w:proofErr w:type="spellEnd"/>
      <w:r w:rsidRPr="00A40DDE">
        <w:rPr>
          <w:sz w:val="28"/>
          <w:szCs w:val="32"/>
        </w:rPr>
        <w:t xml:space="preserve"> banks reveal no differences in the </w:t>
      </w:r>
      <w:r w:rsidRPr="00A40DDE">
        <w:rPr>
          <w:rFonts w:ascii="Calibri" w:eastAsia="Calibri" w:hAnsi="Calibri" w:cs="Calibri"/>
          <w:sz w:val="28"/>
          <w:szCs w:val="32"/>
        </w:rPr>
        <w:t xml:space="preserve">NI </w:t>
      </w:r>
      <w:r w:rsidRPr="00A40DDE">
        <w:rPr>
          <w:sz w:val="28"/>
          <w:szCs w:val="32"/>
        </w:rPr>
        <w:t xml:space="preserve">and </w:t>
      </w:r>
      <w:proofErr w:type="spellStart"/>
      <w:r w:rsidRPr="00A40DDE">
        <w:rPr>
          <w:rFonts w:ascii="Calibri" w:eastAsia="Calibri" w:hAnsi="Calibri" w:cs="Calibri"/>
          <w:sz w:val="28"/>
          <w:szCs w:val="32"/>
        </w:rPr>
        <w:t>RegCapLow</w:t>
      </w:r>
      <w:proofErr w:type="spellEnd"/>
      <w:r w:rsidRPr="00A40DDE">
        <w:rPr>
          <w:rFonts w:ascii="Calibri" w:eastAsia="Calibri" w:hAnsi="Calibri" w:cs="Calibri"/>
          <w:sz w:val="28"/>
          <w:szCs w:val="32"/>
        </w:rPr>
        <w:t xml:space="preserve"> </w:t>
      </w:r>
      <w:r w:rsidRPr="00A40DDE">
        <w:rPr>
          <w:sz w:val="28"/>
          <w:szCs w:val="32"/>
        </w:rPr>
        <w:t xml:space="preserve">coefficients for the two types of banks. The </w:t>
      </w:r>
      <w:proofErr w:type="spellStart"/>
      <w:r w:rsidRPr="00A40DDE">
        <w:rPr>
          <w:sz w:val="28"/>
          <w:szCs w:val="32"/>
        </w:rPr>
        <w:t>untabulated</w:t>
      </w:r>
      <w:proofErr w:type="spellEnd"/>
      <w:r w:rsidRPr="00A40DDE">
        <w:rPr>
          <w:sz w:val="28"/>
          <w:szCs w:val="32"/>
        </w:rPr>
        <w:t xml:space="preserve"> t-statistics relating to Models I and II are </w:t>
      </w:r>
      <w:r w:rsidRPr="00A40DDE">
        <w:rPr>
          <w:rFonts w:ascii="Calibri" w:eastAsia="Calibri" w:hAnsi="Calibri" w:cs="Calibri"/>
          <w:sz w:val="28"/>
          <w:szCs w:val="32"/>
        </w:rPr>
        <w:t>−</w:t>
      </w:r>
      <w:r w:rsidRPr="00A40DDE">
        <w:rPr>
          <w:sz w:val="28"/>
          <w:szCs w:val="32"/>
        </w:rPr>
        <w:t xml:space="preserve">0.55 and </w:t>
      </w:r>
      <w:r w:rsidRPr="00A40DDE">
        <w:rPr>
          <w:rFonts w:ascii="Calibri" w:eastAsia="Calibri" w:hAnsi="Calibri" w:cs="Calibri"/>
          <w:sz w:val="28"/>
          <w:szCs w:val="32"/>
        </w:rPr>
        <w:t>−</w:t>
      </w:r>
      <w:r w:rsidRPr="00A40DDE">
        <w:rPr>
          <w:sz w:val="28"/>
          <w:szCs w:val="32"/>
        </w:rPr>
        <w:t xml:space="preserve">0.82 (1.37 and 0.76) for the </w:t>
      </w:r>
      <w:r w:rsidRPr="00A40DDE">
        <w:rPr>
          <w:rFonts w:ascii="Calibri" w:eastAsia="Calibri" w:hAnsi="Calibri" w:cs="Calibri"/>
          <w:sz w:val="28"/>
          <w:szCs w:val="32"/>
        </w:rPr>
        <w:t xml:space="preserve">NI </w:t>
      </w:r>
      <w:r w:rsidRPr="00A40DDE">
        <w:rPr>
          <w:sz w:val="28"/>
          <w:szCs w:val="32"/>
        </w:rPr>
        <w:t>(</w:t>
      </w:r>
      <w:proofErr w:type="spellStart"/>
      <w:r w:rsidRPr="00A40DDE">
        <w:rPr>
          <w:rFonts w:ascii="Calibri" w:eastAsia="Calibri" w:hAnsi="Calibri" w:cs="Calibri"/>
          <w:sz w:val="28"/>
          <w:szCs w:val="32"/>
        </w:rPr>
        <w:t>RegCapLow</w:t>
      </w:r>
      <w:proofErr w:type="spellEnd"/>
      <w:r w:rsidRPr="00A40DDE">
        <w:rPr>
          <w:sz w:val="28"/>
          <w:szCs w:val="32"/>
        </w:rPr>
        <w:t xml:space="preserve">) coefficients for listed banks, and there is no difference for the </w:t>
      </w:r>
      <w:r w:rsidRPr="00A40DDE">
        <w:rPr>
          <w:rFonts w:ascii="Calibri" w:eastAsia="Calibri" w:hAnsi="Calibri" w:cs="Calibri"/>
          <w:sz w:val="28"/>
          <w:szCs w:val="32"/>
        </w:rPr>
        <w:t xml:space="preserve">NI × </w:t>
      </w:r>
      <w:proofErr w:type="spellStart"/>
      <w:r w:rsidRPr="00A40DDE">
        <w:rPr>
          <w:rFonts w:ascii="Calibri" w:eastAsia="Calibri" w:hAnsi="Calibri" w:cs="Calibri"/>
          <w:sz w:val="28"/>
          <w:szCs w:val="32"/>
        </w:rPr>
        <w:t>RegCapLow</w:t>
      </w:r>
      <w:proofErr w:type="spellEnd"/>
      <w:r w:rsidRPr="00A40DDE">
        <w:rPr>
          <w:rFonts w:ascii="Calibri" w:eastAsia="Calibri" w:hAnsi="Calibri" w:cs="Calibri"/>
          <w:sz w:val="28"/>
          <w:szCs w:val="32"/>
        </w:rPr>
        <w:t xml:space="preserve"> </w:t>
      </w:r>
      <w:r w:rsidRPr="00A40DDE">
        <w:rPr>
          <w:sz w:val="28"/>
          <w:szCs w:val="32"/>
        </w:rPr>
        <w:t>coefficient in Model II (t-stat. = 0.59).</w:t>
      </w:r>
      <w:r w:rsidRPr="00A40DDE">
        <w:rPr>
          <w:sz w:val="28"/>
          <w:szCs w:val="32"/>
          <w:vertAlign w:val="superscript"/>
        </w:rPr>
        <w:footnoteReference w:id="24"/>
      </w:r>
    </w:p>
    <w:p w:rsidR="007A7C36" w:rsidRPr="00A40DDE" w:rsidRDefault="007A7C36" w:rsidP="007A7C36">
      <w:pPr>
        <w:ind w:left="-15" w:right="-13"/>
        <w:rPr>
          <w:sz w:val="28"/>
          <w:szCs w:val="32"/>
        </w:rPr>
      </w:pPr>
      <w:r w:rsidRPr="00A40DDE">
        <w:rPr>
          <w:sz w:val="28"/>
          <w:szCs w:val="32"/>
        </w:rPr>
        <w:t>Regarding Eq. (</w:t>
      </w:r>
      <w:r w:rsidRPr="00A40DDE">
        <w:rPr>
          <w:color w:val="392A97"/>
          <w:sz w:val="28"/>
          <w:szCs w:val="32"/>
        </w:rPr>
        <w:t>2</w:t>
      </w:r>
      <w:r w:rsidRPr="00A40DDE">
        <w:rPr>
          <w:sz w:val="28"/>
          <w:szCs w:val="32"/>
        </w:rPr>
        <w:t xml:space="preserve">), panel B reveals the same inferences as Table </w:t>
      </w:r>
      <w:r w:rsidRPr="00A40DDE">
        <w:rPr>
          <w:color w:val="392A97"/>
          <w:sz w:val="28"/>
          <w:szCs w:val="32"/>
        </w:rPr>
        <w:t xml:space="preserve">3 </w:t>
      </w:r>
      <w:r w:rsidRPr="00A40DDE">
        <w:rPr>
          <w:sz w:val="28"/>
          <w:szCs w:val="32"/>
        </w:rPr>
        <w:t xml:space="preserve">for both types of banks, with the following exceptions: In Model I, the </w:t>
      </w:r>
      <w:proofErr w:type="spellStart"/>
      <w:r w:rsidRPr="00A40DDE">
        <w:rPr>
          <w:rFonts w:ascii="Calibri" w:eastAsia="Calibri" w:hAnsi="Calibri" w:cs="Calibri"/>
          <w:sz w:val="28"/>
          <w:szCs w:val="32"/>
        </w:rPr>
        <w:t>NIneg</w:t>
      </w:r>
      <w:proofErr w:type="spellEnd"/>
      <w:r w:rsidRPr="00A40DDE">
        <w:rPr>
          <w:rFonts w:ascii="Calibri" w:eastAsia="Calibri" w:hAnsi="Calibri" w:cs="Calibri"/>
          <w:sz w:val="28"/>
          <w:szCs w:val="32"/>
        </w:rPr>
        <w:t xml:space="preserve"> </w:t>
      </w:r>
      <w:r w:rsidRPr="00A40DDE">
        <w:rPr>
          <w:sz w:val="28"/>
          <w:szCs w:val="32"/>
        </w:rPr>
        <w:t>coefficient is significantly</w:t>
      </w:r>
    </w:p>
    <w:p w:rsidR="007A7C36" w:rsidRPr="00A40DDE" w:rsidRDefault="007A7C36" w:rsidP="007A7C36">
      <w:pPr>
        <w:spacing w:line="262" w:lineRule="auto"/>
        <w:ind w:left="-15" w:right="0" w:firstLine="0"/>
        <w:rPr>
          <w:sz w:val="22"/>
          <w:szCs w:val="32"/>
        </w:rPr>
      </w:pPr>
      <w:r w:rsidRPr="00A40DDE">
        <w:rPr>
          <w:sz w:val="22"/>
          <w:szCs w:val="32"/>
        </w:rPr>
        <w:t xml:space="preserve">Table </w:t>
      </w:r>
      <w:proofErr w:type="gramStart"/>
      <w:r w:rsidRPr="00A40DDE">
        <w:rPr>
          <w:sz w:val="22"/>
          <w:szCs w:val="32"/>
        </w:rPr>
        <w:t>4</w:t>
      </w:r>
      <w:proofErr w:type="gramEnd"/>
      <w:r w:rsidRPr="00A40DDE">
        <w:rPr>
          <w:sz w:val="22"/>
          <w:szCs w:val="32"/>
        </w:rPr>
        <w:t xml:space="preserve"> Summary statistics from regressions of realized AFS securities gains and losses, </w:t>
      </w:r>
      <w:r w:rsidRPr="00A40DDE">
        <w:rPr>
          <w:rFonts w:ascii="Calibri" w:eastAsia="Calibri" w:hAnsi="Calibri" w:cs="Calibri"/>
          <w:sz w:val="22"/>
          <w:szCs w:val="32"/>
        </w:rPr>
        <w:t>RGL</w:t>
      </w:r>
      <w:r w:rsidRPr="00A40DDE">
        <w:rPr>
          <w:sz w:val="22"/>
          <w:szCs w:val="32"/>
        </w:rPr>
        <w:t>, on proxies for incentives and opportunities for loss avoidance</w:t>
      </w:r>
    </w:p>
    <w:p w:rsidR="009B4A34" w:rsidRPr="00A40DDE" w:rsidRDefault="009B4A34" w:rsidP="007A7C36">
      <w:pPr>
        <w:spacing w:line="262" w:lineRule="auto"/>
        <w:ind w:left="-15" w:right="0" w:firstLine="0"/>
        <w:rPr>
          <w:sz w:val="22"/>
          <w:szCs w:val="32"/>
        </w:rPr>
      </w:pPr>
    </w:p>
    <w:p w:rsidR="009B4A34" w:rsidRPr="00A40DDE" w:rsidRDefault="009B4A34" w:rsidP="007A7C36">
      <w:pPr>
        <w:spacing w:line="262" w:lineRule="auto"/>
        <w:ind w:left="-15" w:right="0" w:firstLine="0"/>
        <w:rPr>
          <w:sz w:val="22"/>
          <w:szCs w:val="32"/>
        </w:rPr>
      </w:pPr>
    </w:p>
    <w:p w:rsidR="009B4A34" w:rsidRPr="00A40DDE" w:rsidRDefault="009B4A34" w:rsidP="007A7C36">
      <w:pPr>
        <w:spacing w:line="262" w:lineRule="auto"/>
        <w:ind w:left="-15" w:right="0" w:firstLine="0"/>
        <w:rPr>
          <w:sz w:val="22"/>
          <w:szCs w:val="32"/>
        </w:rPr>
      </w:pPr>
    </w:p>
    <w:p w:rsidR="009B4A34" w:rsidRPr="00A40DDE" w:rsidRDefault="009B4A34" w:rsidP="007A7C36">
      <w:pPr>
        <w:spacing w:line="262" w:lineRule="auto"/>
        <w:ind w:left="-15" w:right="0" w:firstLine="0"/>
        <w:rPr>
          <w:sz w:val="22"/>
          <w:szCs w:val="32"/>
        </w:rPr>
      </w:pPr>
    </w:p>
    <w:p w:rsidR="009B4A34" w:rsidRPr="00A40DDE" w:rsidRDefault="009B4A34" w:rsidP="007A7C36">
      <w:pPr>
        <w:spacing w:line="262" w:lineRule="auto"/>
        <w:ind w:left="-15" w:right="0" w:firstLine="0"/>
        <w:rPr>
          <w:sz w:val="22"/>
          <w:szCs w:val="32"/>
        </w:rPr>
      </w:pPr>
    </w:p>
    <w:p w:rsidR="009B4A34" w:rsidRPr="00A40DDE" w:rsidRDefault="009B4A34" w:rsidP="007A7C36">
      <w:pPr>
        <w:spacing w:line="262" w:lineRule="auto"/>
        <w:ind w:left="-15" w:right="0" w:firstLine="0"/>
        <w:rPr>
          <w:sz w:val="22"/>
          <w:szCs w:val="32"/>
        </w:rPr>
      </w:pPr>
    </w:p>
    <w:p w:rsidR="009B4A34" w:rsidRPr="00A40DDE" w:rsidRDefault="009B4A34" w:rsidP="007A7C36">
      <w:pPr>
        <w:spacing w:line="262" w:lineRule="auto"/>
        <w:ind w:left="-15" w:right="0" w:firstLine="0"/>
        <w:rPr>
          <w:sz w:val="22"/>
          <w:szCs w:val="32"/>
        </w:rPr>
      </w:pPr>
    </w:p>
    <w:p w:rsidR="009B4A34" w:rsidRPr="00A40DDE" w:rsidRDefault="009B4A34" w:rsidP="007A7C36">
      <w:pPr>
        <w:spacing w:line="262" w:lineRule="auto"/>
        <w:ind w:left="-15" w:right="0" w:firstLine="0"/>
        <w:rPr>
          <w:sz w:val="22"/>
          <w:szCs w:val="32"/>
        </w:rPr>
      </w:pPr>
    </w:p>
    <w:p w:rsidR="009B4A34" w:rsidRPr="00A40DDE" w:rsidRDefault="009B4A34" w:rsidP="007A7C36">
      <w:pPr>
        <w:spacing w:line="262" w:lineRule="auto"/>
        <w:ind w:left="-15" w:right="0" w:firstLine="0"/>
        <w:rPr>
          <w:sz w:val="28"/>
          <w:szCs w:val="32"/>
        </w:rPr>
      </w:pPr>
    </w:p>
    <w:p w:rsidR="007A7C36" w:rsidRPr="00A40DDE" w:rsidRDefault="007A7C36" w:rsidP="007A7C36">
      <w:pPr>
        <w:spacing w:after="142" w:line="259" w:lineRule="auto"/>
        <w:ind w:right="0" w:firstLine="0"/>
        <w:jc w:val="left"/>
        <w:rPr>
          <w:sz w:val="28"/>
          <w:szCs w:val="32"/>
        </w:rPr>
      </w:pPr>
      <w:r w:rsidRPr="00A40DDE">
        <w:rPr>
          <w:rFonts w:ascii="Calibri" w:eastAsia="Calibri" w:hAnsi="Calibri" w:cs="Calibri"/>
          <w:noProof/>
          <w:color w:val="000000"/>
          <w:sz w:val="32"/>
          <w:szCs w:val="32"/>
        </w:rPr>
        <mc:AlternateContent>
          <mc:Choice Requires="wpg">
            <w:drawing>
              <wp:inline distT="0" distB="0" distL="0" distR="0" wp14:anchorId="6F5BD0B5" wp14:editId="30629462">
                <wp:extent cx="4284002" cy="6480"/>
                <wp:effectExtent l="0" t="0" r="0" b="0"/>
                <wp:docPr id="60827" name="Group 60827"/>
                <wp:cNvGraphicFramePr/>
                <a:graphic xmlns:a="http://schemas.openxmlformats.org/drawingml/2006/main">
                  <a:graphicData uri="http://schemas.microsoft.com/office/word/2010/wordprocessingGroup">
                    <wpg:wgp>
                      <wpg:cNvGrpSpPr/>
                      <wpg:grpSpPr>
                        <a:xfrm>
                          <a:off x="0" y="0"/>
                          <a:ext cx="4284002" cy="6480"/>
                          <a:chOff x="0" y="0"/>
                          <a:chExt cx="4284002" cy="6480"/>
                        </a:xfrm>
                      </wpg:grpSpPr>
                      <wps:wsp>
                        <wps:cNvPr id="69656" name="Shape 69656"/>
                        <wps:cNvSpPr/>
                        <wps:spPr>
                          <a:xfrm>
                            <a:off x="0" y="0"/>
                            <a:ext cx="4284002" cy="9144"/>
                          </a:xfrm>
                          <a:custGeom>
                            <a:avLst/>
                            <a:gdLst/>
                            <a:ahLst/>
                            <a:cxnLst/>
                            <a:rect l="0" t="0" r="0" b="0"/>
                            <a:pathLst>
                              <a:path w="4284002" h="9144">
                                <a:moveTo>
                                  <a:pt x="0" y="0"/>
                                </a:moveTo>
                                <a:lnTo>
                                  <a:pt x="4284002" y="0"/>
                                </a:lnTo>
                                <a:lnTo>
                                  <a:pt x="4284002" y="9144"/>
                                </a:lnTo>
                                <a:lnTo>
                                  <a:pt x="0" y="9144"/>
                                </a:lnTo>
                                <a:lnTo>
                                  <a:pt x="0" y="0"/>
                                </a:lnTo>
                              </a:path>
                            </a:pathLst>
                          </a:custGeom>
                          <a:ln w="0" cap="rnd">
                            <a:round/>
                          </a:ln>
                        </wps:spPr>
                        <wps:style>
                          <a:lnRef idx="1">
                            <a:srgbClr val="131313"/>
                          </a:lnRef>
                          <a:fillRef idx="1">
                            <a:srgbClr val="131313"/>
                          </a:fillRef>
                          <a:effectRef idx="0">
                            <a:scrgbClr r="0" g="0" b="0"/>
                          </a:effectRef>
                          <a:fontRef idx="none"/>
                        </wps:style>
                        <wps:bodyPr/>
                      </wps:wsp>
                    </wpg:wgp>
                  </a:graphicData>
                </a:graphic>
              </wp:inline>
            </w:drawing>
          </mc:Choice>
          <mc:Fallback>
            <w:pict>
              <v:group w14:anchorId="70B4E2F5" id="Group 60827" o:spid="_x0000_s1026" style="width:337.3pt;height:.5pt;mso-position-horizontal-relative:char;mso-position-vertical-relative:line" coordsize="428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">
                <v:shape id="Shape 69656" o:spid="_x0000_s1027" style="position:absolute;width:42840;height:91;visibility:visible;mso-wrap-style:square;v-text-anchor:top" coordsize="42840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" path="m,l4284002,r,9144l,9144,,e" fillcolor="#131313" strokecolor="#131313" strokeweight="0">
                  <v:stroke endcap="round"/>
                  <v:path arrowok="t" textboxrect="0,0,4284002,9144"/>
                </v:shape>
                <w10:anchorlock/>
              </v:group>
            </w:pict>
          </mc:Fallback>
        </mc:AlternateContent>
      </w:r>
    </w:p>
    <w:p w:rsidR="007A7C36" w:rsidRPr="00A40DDE" w:rsidRDefault="007A7C36" w:rsidP="007A7C36">
      <w:pPr>
        <w:spacing w:after="0" w:line="259" w:lineRule="auto"/>
        <w:ind w:left="-5" w:right="0" w:hanging="10"/>
        <w:jc w:val="left"/>
        <w:rPr>
          <w:sz w:val="28"/>
          <w:szCs w:val="32"/>
        </w:rPr>
      </w:pPr>
      <w:r w:rsidRPr="00A40DDE">
        <w:rPr>
          <w:sz w:val="22"/>
          <w:szCs w:val="32"/>
        </w:rPr>
        <w:t xml:space="preserve">Panel A: Subsamples based on incentives and opportunity to use </w:t>
      </w:r>
      <w:r w:rsidRPr="00A40DDE">
        <w:rPr>
          <w:rFonts w:ascii="Calibri" w:eastAsia="Calibri" w:hAnsi="Calibri" w:cs="Calibri"/>
          <w:sz w:val="22"/>
          <w:szCs w:val="32"/>
        </w:rPr>
        <w:t xml:space="preserve">RGL </w:t>
      </w:r>
      <w:r w:rsidRPr="00A40DDE">
        <w:rPr>
          <w:sz w:val="22"/>
          <w:szCs w:val="32"/>
        </w:rPr>
        <w:t>for loss avoidance</w:t>
      </w:r>
    </w:p>
    <w:tbl>
      <w:tblPr>
        <w:tblStyle w:val="TableGrid"/>
        <w:tblW w:w="6745" w:type="dxa"/>
        <w:tblInd w:w="0" w:type="dxa"/>
        <w:tblCellMar>
          <w:top w:w="7" w:type="dxa"/>
          <w:bottom w:w="13" w:type="dxa"/>
        </w:tblCellMar>
        <w:tblLook w:val="04A0" w:firstRow="1" w:lastRow="0" w:firstColumn="1" w:lastColumn="0" w:noHBand="0" w:noVBand="1"/>
      </w:tblPr>
      <w:tblGrid>
        <w:gridCol w:w="1592"/>
        <w:gridCol w:w="905"/>
        <w:gridCol w:w="848"/>
        <w:gridCol w:w="611"/>
        <w:gridCol w:w="775"/>
        <w:gridCol w:w="934"/>
        <w:gridCol w:w="613"/>
        <w:gridCol w:w="467"/>
      </w:tblGrid>
      <w:tr w:rsidR="007A7C36" w:rsidRPr="00A40DDE" w:rsidTr="00E702B6">
        <w:trPr>
          <w:trHeight w:val="426"/>
        </w:trPr>
        <w:tc>
          <w:tcPr>
            <w:tcW w:w="1614"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840"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849"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22"/>
                <w:szCs w:val="32"/>
              </w:rPr>
              <w:t xml:space="preserve">NI &gt;= </w:t>
            </w:r>
            <w:r w:rsidRPr="00A40DDE">
              <w:rPr>
                <w:sz w:val="22"/>
                <w:szCs w:val="32"/>
              </w:rPr>
              <w:t>0</w:t>
            </w:r>
          </w:p>
        </w:tc>
        <w:tc>
          <w:tcPr>
            <w:tcW w:w="616"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1741" w:type="dxa"/>
            <w:gridSpan w:val="2"/>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22"/>
                <w:szCs w:val="32"/>
              </w:rPr>
              <w:t xml:space="preserve">NI </w:t>
            </w:r>
            <w:r w:rsidRPr="00A40DDE">
              <w:rPr>
                <w:sz w:val="22"/>
                <w:szCs w:val="32"/>
              </w:rPr>
              <w:t xml:space="preserve">&lt; 0 and </w:t>
            </w:r>
            <w:r w:rsidRPr="00A40DDE">
              <w:rPr>
                <w:rFonts w:ascii="Calibri" w:eastAsia="Calibri" w:hAnsi="Calibri" w:cs="Calibri"/>
                <w:sz w:val="22"/>
                <w:szCs w:val="32"/>
              </w:rPr>
              <w:t xml:space="preserve">NI </w:t>
            </w:r>
            <w:r w:rsidRPr="00A40DDE">
              <w:rPr>
                <w:sz w:val="22"/>
                <w:szCs w:val="32"/>
              </w:rPr>
              <w:t xml:space="preserve">+ </w:t>
            </w:r>
            <w:r w:rsidRPr="00A40DDE">
              <w:rPr>
                <w:rFonts w:ascii="Calibri" w:eastAsia="Calibri" w:hAnsi="Calibri" w:cs="Calibri"/>
                <w:sz w:val="22"/>
                <w:szCs w:val="32"/>
              </w:rPr>
              <w:t xml:space="preserve">UG </w:t>
            </w:r>
            <w:r w:rsidRPr="00A40DDE">
              <w:rPr>
                <w:sz w:val="22"/>
                <w:szCs w:val="32"/>
              </w:rPr>
              <w:t>&lt; 0</w:t>
            </w:r>
          </w:p>
        </w:tc>
        <w:tc>
          <w:tcPr>
            <w:tcW w:w="1086" w:type="dxa"/>
            <w:gridSpan w:val="2"/>
            <w:tcBorders>
              <w:top w:val="nil"/>
              <w:left w:val="nil"/>
              <w:bottom w:val="nil"/>
              <w:right w:val="nil"/>
            </w:tcBorders>
          </w:tcPr>
          <w:p w:rsidR="007A7C36" w:rsidRPr="00A40DDE" w:rsidRDefault="007A7C36" w:rsidP="00E702B6">
            <w:pPr>
              <w:spacing w:after="0" w:line="259" w:lineRule="auto"/>
              <w:ind w:left="170" w:right="0" w:hanging="170"/>
              <w:jc w:val="left"/>
              <w:rPr>
                <w:sz w:val="28"/>
                <w:szCs w:val="32"/>
              </w:rPr>
            </w:pPr>
            <w:r w:rsidRPr="00A40DDE">
              <w:rPr>
                <w:rFonts w:ascii="Calibri" w:eastAsia="Calibri" w:hAnsi="Calibri" w:cs="Calibri"/>
                <w:sz w:val="22"/>
                <w:szCs w:val="32"/>
              </w:rPr>
              <w:t xml:space="preserve">NI </w:t>
            </w:r>
            <w:r w:rsidRPr="00A40DDE">
              <w:rPr>
                <w:sz w:val="22"/>
                <w:szCs w:val="32"/>
              </w:rPr>
              <w:t xml:space="preserve">&lt; 0 and </w:t>
            </w:r>
            <w:r w:rsidRPr="00A40DDE">
              <w:rPr>
                <w:rFonts w:ascii="Calibri" w:eastAsia="Calibri" w:hAnsi="Calibri" w:cs="Calibri"/>
                <w:sz w:val="22"/>
                <w:szCs w:val="32"/>
              </w:rPr>
              <w:t xml:space="preserve">NI </w:t>
            </w:r>
            <w:r w:rsidRPr="00A40DDE">
              <w:rPr>
                <w:sz w:val="22"/>
                <w:szCs w:val="32"/>
              </w:rPr>
              <w:t xml:space="preserve">+ </w:t>
            </w:r>
            <w:r w:rsidRPr="00A40DDE">
              <w:rPr>
                <w:rFonts w:ascii="Calibri" w:eastAsia="Calibri" w:hAnsi="Calibri" w:cs="Calibri"/>
                <w:sz w:val="22"/>
                <w:szCs w:val="32"/>
              </w:rPr>
              <w:t xml:space="preserve">UG </w:t>
            </w:r>
            <w:r w:rsidRPr="00A40DDE">
              <w:rPr>
                <w:sz w:val="22"/>
                <w:szCs w:val="32"/>
              </w:rPr>
              <w:t>&gt;= 0</w:t>
            </w:r>
          </w:p>
        </w:tc>
      </w:tr>
      <w:tr w:rsidR="007A7C36" w:rsidRPr="00A40DDE" w:rsidTr="00E702B6">
        <w:trPr>
          <w:trHeight w:val="470"/>
        </w:trPr>
        <w:tc>
          <w:tcPr>
            <w:tcW w:w="1614" w:type="dxa"/>
            <w:tcBorders>
              <w:top w:val="nil"/>
              <w:left w:val="nil"/>
              <w:bottom w:val="nil"/>
              <w:right w:val="nil"/>
            </w:tcBorders>
          </w:tcPr>
          <w:p w:rsidR="007A7C36" w:rsidRPr="00A40DDE" w:rsidRDefault="007A7C36" w:rsidP="00E702B6">
            <w:pPr>
              <w:spacing w:after="50" w:line="259" w:lineRule="auto"/>
              <w:ind w:right="0" w:firstLine="0"/>
              <w:jc w:val="left"/>
              <w:rPr>
                <w:sz w:val="28"/>
                <w:szCs w:val="32"/>
              </w:rPr>
            </w:pPr>
            <w:r w:rsidRPr="00A40DDE">
              <w:rPr>
                <w:sz w:val="22"/>
                <w:szCs w:val="32"/>
              </w:rPr>
              <w:t>Variables</w:t>
            </w:r>
          </w:p>
          <w:p w:rsidR="007A7C36" w:rsidRPr="00A40DDE" w:rsidRDefault="007A7C36" w:rsidP="00E702B6">
            <w:pPr>
              <w:spacing w:after="0" w:line="259" w:lineRule="auto"/>
              <w:ind w:right="0" w:firstLine="0"/>
              <w:jc w:val="left"/>
              <w:rPr>
                <w:sz w:val="28"/>
                <w:szCs w:val="32"/>
              </w:rPr>
            </w:pPr>
            <w:r w:rsidRPr="00A40DDE">
              <w:rPr>
                <w:sz w:val="22"/>
                <w:szCs w:val="32"/>
              </w:rPr>
              <w:t>Experimental variables:</w:t>
            </w:r>
          </w:p>
        </w:tc>
        <w:tc>
          <w:tcPr>
            <w:tcW w:w="840"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Prediction</w:t>
            </w:r>
          </w:p>
        </w:tc>
        <w:tc>
          <w:tcPr>
            <w:tcW w:w="849"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proofErr w:type="spellStart"/>
            <w:r w:rsidRPr="00A40DDE">
              <w:rPr>
                <w:sz w:val="22"/>
                <w:szCs w:val="32"/>
              </w:rPr>
              <w:t>Coeff</w:t>
            </w:r>
            <w:proofErr w:type="spellEnd"/>
            <w:r w:rsidRPr="00A40DDE">
              <w:rPr>
                <w:sz w:val="22"/>
                <w:szCs w:val="32"/>
              </w:rPr>
              <w:t>.</w:t>
            </w:r>
          </w:p>
        </w:tc>
        <w:tc>
          <w:tcPr>
            <w:tcW w:w="616"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t-stat.</w:t>
            </w:r>
          </w:p>
        </w:tc>
        <w:tc>
          <w:tcPr>
            <w:tcW w:w="778"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proofErr w:type="spellStart"/>
            <w:r w:rsidRPr="00A40DDE">
              <w:rPr>
                <w:sz w:val="22"/>
                <w:szCs w:val="32"/>
              </w:rPr>
              <w:t>Coeff</w:t>
            </w:r>
            <w:proofErr w:type="spellEnd"/>
            <w:r w:rsidRPr="00A40DDE">
              <w:rPr>
                <w:sz w:val="22"/>
                <w:szCs w:val="32"/>
              </w:rPr>
              <w:t>.</w:t>
            </w:r>
          </w:p>
        </w:tc>
        <w:tc>
          <w:tcPr>
            <w:tcW w:w="963"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t-stat.</w:t>
            </w:r>
          </w:p>
        </w:tc>
        <w:tc>
          <w:tcPr>
            <w:tcW w:w="616"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proofErr w:type="spellStart"/>
            <w:r w:rsidRPr="00A40DDE">
              <w:rPr>
                <w:sz w:val="22"/>
                <w:szCs w:val="32"/>
              </w:rPr>
              <w:t>Coeff</w:t>
            </w:r>
            <w:proofErr w:type="spellEnd"/>
            <w:r w:rsidRPr="00A40DDE">
              <w:rPr>
                <w:sz w:val="22"/>
                <w:szCs w:val="32"/>
              </w:rPr>
              <w:t>.</w:t>
            </w:r>
          </w:p>
        </w:tc>
        <w:tc>
          <w:tcPr>
            <w:tcW w:w="471"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t-stat.</w:t>
            </w:r>
          </w:p>
        </w:tc>
      </w:tr>
      <w:tr w:rsidR="007A7C36" w:rsidRPr="00A40DDE" w:rsidTr="00E702B6">
        <w:trPr>
          <w:trHeight w:val="253"/>
        </w:trPr>
        <w:tc>
          <w:tcPr>
            <w:tcW w:w="1614" w:type="dxa"/>
            <w:tcBorders>
              <w:top w:val="nil"/>
              <w:left w:val="nil"/>
              <w:bottom w:val="nil"/>
              <w:right w:val="nil"/>
            </w:tcBorders>
          </w:tcPr>
          <w:p w:rsidR="007A7C36" w:rsidRPr="00A40DDE" w:rsidRDefault="007A7C36" w:rsidP="00E702B6">
            <w:pPr>
              <w:spacing w:after="0" w:line="259" w:lineRule="auto"/>
              <w:ind w:left="159" w:right="0" w:firstLine="0"/>
              <w:jc w:val="left"/>
              <w:rPr>
                <w:sz w:val="28"/>
                <w:szCs w:val="32"/>
              </w:rPr>
            </w:pPr>
            <w:proofErr w:type="spellStart"/>
            <w:r w:rsidRPr="00A40DDE">
              <w:rPr>
                <w:rFonts w:ascii="Calibri" w:eastAsia="Calibri" w:hAnsi="Calibri" w:cs="Calibri"/>
                <w:sz w:val="22"/>
                <w:szCs w:val="32"/>
              </w:rPr>
              <w:t>NIneg</w:t>
            </w:r>
            <w:proofErr w:type="spellEnd"/>
          </w:p>
        </w:tc>
        <w:tc>
          <w:tcPr>
            <w:tcW w:w="840" w:type="dxa"/>
            <w:tcBorders>
              <w:top w:val="nil"/>
              <w:left w:val="nil"/>
              <w:bottom w:val="nil"/>
              <w:right w:val="nil"/>
            </w:tcBorders>
          </w:tcPr>
          <w:p w:rsidR="007A7C36" w:rsidRPr="00A40DDE" w:rsidRDefault="007A7C36" w:rsidP="00E702B6">
            <w:pPr>
              <w:spacing w:after="0" w:line="259" w:lineRule="auto"/>
              <w:ind w:left="120" w:right="0" w:firstLine="0"/>
              <w:jc w:val="left"/>
              <w:rPr>
                <w:sz w:val="28"/>
                <w:szCs w:val="32"/>
              </w:rPr>
            </w:pPr>
            <w:r w:rsidRPr="00A40DDE">
              <w:rPr>
                <w:sz w:val="22"/>
                <w:szCs w:val="32"/>
              </w:rPr>
              <w:t xml:space="preserve">+ / </w:t>
            </w:r>
            <w:r w:rsidRPr="00A40DDE">
              <w:rPr>
                <w:rFonts w:ascii="Calibri" w:eastAsia="Calibri" w:hAnsi="Calibri" w:cs="Calibri"/>
                <w:sz w:val="22"/>
                <w:szCs w:val="32"/>
              </w:rPr>
              <w:t>−</w:t>
            </w:r>
          </w:p>
        </w:tc>
        <w:tc>
          <w:tcPr>
            <w:tcW w:w="849"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16"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778"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0.49***</w:t>
            </w:r>
          </w:p>
        </w:tc>
        <w:tc>
          <w:tcPr>
            <w:tcW w:w="963"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2.96</w:t>
            </w:r>
          </w:p>
        </w:tc>
        <w:tc>
          <w:tcPr>
            <w:tcW w:w="616"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0.20</w:t>
            </w:r>
          </w:p>
        </w:tc>
        <w:tc>
          <w:tcPr>
            <w:tcW w:w="471"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0.25</w:t>
            </w:r>
          </w:p>
        </w:tc>
      </w:tr>
      <w:tr w:rsidR="007A7C36" w:rsidRPr="00A40DDE" w:rsidTr="00E702B6">
        <w:trPr>
          <w:trHeight w:val="520"/>
        </w:trPr>
        <w:tc>
          <w:tcPr>
            <w:tcW w:w="1614" w:type="dxa"/>
            <w:tcBorders>
              <w:top w:val="nil"/>
              <w:left w:val="nil"/>
              <w:bottom w:val="nil"/>
              <w:right w:val="nil"/>
            </w:tcBorders>
          </w:tcPr>
          <w:p w:rsidR="007A7C36" w:rsidRPr="00A40DDE" w:rsidRDefault="007A7C36" w:rsidP="00E702B6">
            <w:pPr>
              <w:spacing w:after="39" w:line="259" w:lineRule="auto"/>
              <w:ind w:left="159" w:right="0" w:firstLine="0"/>
              <w:jc w:val="left"/>
              <w:rPr>
                <w:sz w:val="28"/>
                <w:szCs w:val="32"/>
              </w:rPr>
            </w:pPr>
            <w:proofErr w:type="spellStart"/>
            <w:r w:rsidRPr="00A40DDE">
              <w:rPr>
                <w:rFonts w:ascii="Calibri" w:eastAsia="Calibri" w:hAnsi="Calibri" w:cs="Calibri"/>
                <w:sz w:val="22"/>
                <w:szCs w:val="32"/>
              </w:rPr>
              <w:t>NIpos</w:t>
            </w:r>
            <w:proofErr w:type="spellEnd"/>
          </w:p>
          <w:p w:rsidR="007A7C36" w:rsidRPr="00A40DDE" w:rsidRDefault="007A7C36" w:rsidP="00E702B6">
            <w:pPr>
              <w:spacing w:after="0" w:line="259" w:lineRule="auto"/>
              <w:ind w:right="0" w:firstLine="0"/>
              <w:jc w:val="left"/>
              <w:rPr>
                <w:sz w:val="28"/>
                <w:szCs w:val="32"/>
              </w:rPr>
            </w:pPr>
            <w:r w:rsidRPr="00A40DDE">
              <w:rPr>
                <w:sz w:val="22"/>
                <w:szCs w:val="32"/>
              </w:rPr>
              <w:t>Control variables:</w:t>
            </w:r>
          </w:p>
        </w:tc>
        <w:tc>
          <w:tcPr>
            <w:tcW w:w="840" w:type="dxa"/>
            <w:tcBorders>
              <w:top w:val="nil"/>
              <w:left w:val="nil"/>
              <w:bottom w:val="nil"/>
              <w:right w:val="nil"/>
            </w:tcBorders>
          </w:tcPr>
          <w:p w:rsidR="007A7C36" w:rsidRPr="00A40DDE" w:rsidRDefault="007A7C36" w:rsidP="00E702B6">
            <w:pPr>
              <w:spacing w:after="0" w:line="259" w:lineRule="auto"/>
              <w:ind w:left="120" w:right="0" w:firstLine="0"/>
              <w:jc w:val="left"/>
              <w:rPr>
                <w:sz w:val="28"/>
                <w:szCs w:val="32"/>
              </w:rPr>
            </w:pPr>
            <w:r w:rsidRPr="00A40DDE">
              <w:rPr>
                <w:rFonts w:ascii="Calibri" w:eastAsia="Calibri" w:hAnsi="Calibri" w:cs="Calibri"/>
                <w:sz w:val="22"/>
                <w:szCs w:val="32"/>
              </w:rPr>
              <w:t>−</w:t>
            </w:r>
          </w:p>
        </w:tc>
        <w:tc>
          <w:tcPr>
            <w:tcW w:w="849"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22"/>
                <w:szCs w:val="32"/>
              </w:rPr>
              <w:t>−</w:t>
            </w:r>
            <w:r w:rsidRPr="00A40DDE">
              <w:rPr>
                <w:sz w:val="22"/>
                <w:szCs w:val="32"/>
              </w:rPr>
              <w:t>1.33***</w:t>
            </w:r>
          </w:p>
        </w:tc>
        <w:tc>
          <w:tcPr>
            <w:tcW w:w="616"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22"/>
                <w:szCs w:val="32"/>
              </w:rPr>
              <w:t>−</w:t>
            </w:r>
            <w:r w:rsidRPr="00A40DDE">
              <w:rPr>
                <w:sz w:val="22"/>
                <w:szCs w:val="32"/>
              </w:rPr>
              <w:t>7.41</w:t>
            </w:r>
          </w:p>
        </w:tc>
        <w:tc>
          <w:tcPr>
            <w:tcW w:w="778"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963"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16"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471"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r>
      <w:tr w:rsidR="007A7C36" w:rsidRPr="00A40DDE" w:rsidTr="00E702B6">
        <w:trPr>
          <w:trHeight w:val="249"/>
        </w:trPr>
        <w:tc>
          <w:tcPr>
            <w:tcW w:w="1614" w:type="dxa"/>
            <w:tcBorders>
              <w:top w:val="nil"/>
              <w:left w:val="nil"/>
              <w:bottom w:val="nil"/>
              <w:right w:val="nil"/>
            </w:tcBorders>
          </w:tcPr>
          <w:p w:rsidR="007A7C36" w:rsidRPr="00A40DDE" w:rsidRDefault="007A7C36" w:rsidP="00E702B6">
            <w:pPr>
              <w:spacing w:after="0" w:line="259" w:lineRule="auto"/>
              <w:ind w:left="159" w:right="0" w:firstLine="0"/>
              <w:jc w:val="left"/>
              <w:rPr>
                <w:sz w:val="28"/>
                <w:szCs w:val="32"/>
              </w:rPr>
            </w:pPr>
            <w:proofErr w:type="spellStart"/>
            <w:r w:rsidRPr="00A40DDE">
              <w:rPr>
                <w:rFonts w:ascii="Calibri" w:eastAsia="Calibri" w:hAnsi="Calibri" w:cs="Calibri"/>
                <w:sz w:val="22"/>
                <w:szCs w:val="32"/>
              </w:rPr>
              <w:t>RegCapLow</w:t>
            </w:r>
            <w:proofErr w:type="spellEnd"/>
          </w:p>
        </w:tc>
        <w:tc>
          <w:tcPr>
            <w:tcW w:w="840"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849" w:type="dxa"/>
            <w:tcBorders>
              <w:top w:val="nil"/>
              <w:left w:val="nil"/>
              <w:bottom w:val="nil"/>
              <w:right w:val="nil"/>
            </w:tcBorders>
          </w:tcPr>
          <w:p w:rsidR="007A7C36" w:rsidRPr="00A40DDE" w:rsidRDefault="007A7C36" w:rsidP="00E702B6">
            <w:pPr>
              <w:spacing w:after="0" w:line="259" w:lineRule="auto"/>
              <w:ind w:left="80" w:right="0" w:firstLine="0"/>
              <w:jc w:val="left"/>
              <w:rPr>
                <w:sz w:val="28"/>
                <w:szCs w:val="32"/>
              </w:rPr>
            </w:pPr>
            <w:r w:rsidRPr="00A40DDE">
              <w:rPr>
                <w:sz w:val="22"/>
                <w:szCs w:val="32"/>
              </w:rPr>
              <w:t>0.01</w:t>
            </w:r>
          </w:p>
        </w:tc>
        <w:tc>
          <w:tcPr>
            <w:tcW w:w="616" w:type="dxa"/>
            <w:tcBorders>
              <w:top w:val="nil"/>
              <w:left w:val="nil"/>
              <w:bottom w:val="nil"/>
              <w:right w:val="nil"/>
            </w:tcBorders>
          </w:tcPr>
          <w:p w:rsidR="007A7C36" w:rsidRPr="00A40DDE" w:rsidRDefault="007A7C36" w:rsidP="00E702B6">
            <w:pPr>
              <w:spacing w:after="0" w:line="259" w:lineRule="auto"/>
              <w:ind w:left="79" w:right="0" w:firstLine="0"/>
              <w:jc w:val="left"/>
              <w:rPr>
                <w:sz w:val="28"/>
                <w:szCs w:val="32"/>
              </w:rPr>
            </w:pPr>
            <w:r w:rsidRPr="00A40DDE">
              <w:rPr>
                <w:sz w:val="22"/>
                <w:szCs w:val="32"/>
              </w:rPr>
              <w:t>1.42</w:t>
            </w:r>
          </w:p>
        </w:tc>
        <w:tc>
          <w:tcPr>
            <w:tcW w:w="778"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0.01</w:t>
            </w:r>
          </w:p>
        </w:tc>
        <w:tc>
          <w:tcPr>
            <w:tcW w:w="963"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1.09</w:t>
            </w:r>
          </w:p>
        </w:tc>
        <w:tc>
          <w:tcPr>
            <w:tcW w:w="616"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0.01</w:t>
            </w:r>
          </w:p>
        </w:tc>
        <w:tc>
          <w:tcPr>
            <w:tcW w:w="471"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1.08</w:t>
            </w:r>
          </w:p>
        </w:tc>
      </w:tr>
      <w:tr w:rsidR="007A7C36" w:rsidRPr="00A40DDE" w:rsidTr="00E702B6">
        <w:trPr>
          <w:trHeight w:val="260"/>
        </w:trPr>
        <w:tc>
          <w:tcPr>
            <w:tcW w:w="1614" w:type="dxa"/>
            <w:tcBorders>
              <w:top w:val="nil"/>
              <w:left w:val="nil"/>
              <w:bottom w:val="nil"/>
              <w:right w:val="nil"/>
            </w:tcBorders>
          </w:tcPr>
          <w:p w:rsidR="007A7C36" w:rsidRPr="00A40DDE" w:rsidRDefault="007A7C36" w:rsidP="00E702B6">
            <w:pPr>
              <w:spacing w:after="0" w:line="259" w:lineRule="auto"/>
              <w:ind w:left="159" w:right="0" w:firstLine="0"/>
              <w:jc w:val="left"/>
              <w:rPr>
                <w:sz w:val="28"/>
                <w:szCs w:val="32"/>
              </w:rPr>
            </w:pPr>
            <w:r w:rsidRPr="00A40DDE">
              <w:rPr>
                <w:rFonts w:ascii="Calibri" w:eastAsia="Calibri" w:hAnsi="Calibri" w:cs="Calibri"/>
                <w:sz w:val="22"/>
                <w:szCs w:val="32"/>
              </w:rPr>
              <w:t>UL</w:t>
            </w:r>
            <w:r w:rsidRPr="00A40DDE">
              <w:rPr>
                <w:rFonts w:ascii="Calibri" w:eastAsia="Calibri" w:hAnsi="Calibri" w:cs="Calibri"/>
                <w:sz w:val="16"/>
                <w:szCs w:val="32"/>
              </w:rPr>
              <w:t>t−</w:t>
            </w:r>
            <w:r w:rsidRPr="00A40DDE">
              <w:rPr>
                <w:sz w:val="16"/>
                <w:szCs w:val="32"/>
              </w:rPr>
              <w:t>1</w:t>
            </w:r>
          </w:p>
        </w:tc>
        <w:tc>
          <w:tcPr>
            <w:tcW w:w="840"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849" w:type="dxa"/>
            <w:tcBorders>
              <w:top w:val="nil"/>
              <w:left w:val="nil"/>
              <w:bottom w:val="nil"/>
              <w:right w:val="nil"/>
            </w:tcBorders>
          </w:tcPr>
          <w:p w:rsidR="007A7C36" w:rsidRPr="00A40DDE" w:rsidRDefault="007A7C36" w:rsidP="00E702B6">
            <w:pPr>
              <w:spacing w:after="0" w:line="259" w:lineRule="auto"/>
              <w:ind w:left="81" w:right="0" w:firstLine="0"/>
              <w:jc w:val="left"/>
              <w:rPr>
                <w:sz w:val="28"/>
                <w:szCs w:val="32"/>
              </w:rPr>
            </w:pPr>
            <w:r w:rsidRPr="00A40DDE">
              <w:rPr>
                <w:sz w:val="22"/>
                <w:szCs w:val="32"/>
              </w:rPr>
              <w:t>0.94</w:t>
            </w:r>
          </w:p>
        </w:tc>
        <w:tc>
          <w:tcPr>
            <w:tcW w:w="616" w:type="dxa"/>
            <w:tcBorders>
              <w:top w:val="nil"/>
              <w:left w:val="nil"/>
              <w:bottom w:val="nil"/>
              <w:right w:val="nil"/>
            </w:tcBorders>
          </w:tcPr>
          <w:p w:rsidR="007A7C36" w:rsidRPr="00A40DDE" w:rsidRDefault="007A7C36" w:rsidP="00E702B6">
            <w:pPr>
              <w:spacing w:after="0" w:line="259" w:lineRule="auto"/>
              <w:ind w:left="79" w:right="0" w:firstLine="0"/>
              <w:jc w:val="left"/>
              <w:rPr>
                <w:sz w:val="28"/>
                <w:szCs w:val="32"/>
              </w:rPr>
            </w:pPr>
            <w:r w:rsidRPr="00A40DDE">
              <w:rPr>
                <w:sz w:val="22"/>
                <w:szCs w:val="32"/>
              </w:rPr>
              <w:t>4.38</w:t>
            </w:r>
          </w:p>
        </w:tc>
        <w:tc>
          <w:tcPr>
            <w:tcW w:w="778"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1.49</w:t>
            </w:r>
          </w:p>
        </w:tc>
        <w:tc>
          <w:tcPr>
            <w:tcW w:w="963"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2.80</w:t>
            </w:r>
          </w:p>
        </w:tc>
        <w:tc>
          <w:tcPr>
            <w:tcW w:w="616"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4.07</w:t>
            </w:r>
          </w:p>
        </w:tc>
        <w:tc>
          <w:tcPr>
            <w:tcW w:w="471"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4.52</w:t>
            </w:r>
          </w:p>
        </w:tc>
      </w:tr>
      <w:tr w:rsidR="007A7C36" w:rsidRPr="00A40DDE" w:rsidTr="00E702B6">
        <w:trPr>
          <w:trHeight w:val="249"/>
        </w:trPr>
        <w:tc>
          <w:tcPr>
            <w:tcW w:w="1614" w:type="dxa"/>
            <w:tcBorders>
              <w:top w:val="nil"/>
              <w:left w:val="nil"/>
              <w:bottom w:val="nil"/>
              <w:right w:val="nil"/>
            </w:tcBorders>
          </w:tcPr>
          <w:p w:rsidR="007A7C36" w:rsidRPr="00A40DDE" w:rsidRDefault="007A7C36" w:rsidP="00E702B6">
            <w:pPr>
              <w:spacing w:after="0" w:line="259" w:lineRule="auto"/>
              <w:ind w:left="159" w:right="0" w:firstLine="0"/>
              <w:jc w:val="left"/>
              <w:rPr>
                <w:sz w:val="28"/>
                <w:szCs w:val="32"/>
              </w:rPr>
            </w:pPr>
            <w:r w:rsidRPr="00A40DDE">
              <w:rPr>
                <w:rFonts w:ascii="Calibri" w:eastAsia="Calibri" w:hAnsi="Calibri" w:cs="Calibri"/>
                <w:sz w:val="22"/>
                <w:szCs w:val="32"/>
              </w:rPr>
              <w:t>UG</w:t>
            </w:r>
            <w:r w:rsidRPr="00A40DDE">
              <w:rPr>
                <w:rFonts w:ascii="Calibri" w:eastAsia="Calibri" w:hAnsi="Calibri" w:cs="Calibri"/>
                <w:sz w:val="16"/>
                <w:szCs w:val="32"/>
              </w:rPr>
              <w:t>t−</w:t>
            </w:r>
            <w:r w:rsidRPr="00A40DDE">
              <w:rPr>
                <w:sz w:val="16"/>
                <w:szCs w:val="32"/>
              </w:rPr>
              <w:t>1</w:t>
            </w:r>
          </w:p>
        </w:tc>
        <w:tc>
          <w:tcPr>
            <w:tcW w:w="840"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849" w:type="dxa"/>
            <w:tcBorders>
              <w:top w:val="nil"/>
              <w:left w:val="nil"/>
              <w:bottom w:val="nil"/>
              <w:right w:val="nil"/>
            </w:tcBorders>
          </w:tcPr>
          <w:p w:rsidR="007A7C36" w:rsidRPr="00A40DDE" w:rsidRDefault="007A7C36" w:rsidP="00E702B6">
            <w:pPr>
              <w:spacing w:after="0" w:line="259" w:lineRule="auto"/>
              <w:ind w:left="81" w:right="0" w:firstLine="0"/>
              <w:jc w:val="left"/>
              <w:rPr>
                <w:sz w:val="28"/>
                <w:szCs w:val="32"/>
              </w:rPr>
            </w:pPr>
            <w:r w:rsidRPr="00A40DDE">
              <w:rPr>
                <w:sz w:val="22"/>
                <w:szCs w:val="32"/>
              </w:rPr>
              <w:t>1.21</w:t>
            </w:r>
          </w:p>
        </w:tc>
        <w:tc>
          <w:tcPr>
            <w:tcW w:w="616" w:type="dxa"/>
            <w:tcBorders>
              <w:top w:val="nil"/>
              <w:left w:val="nil"/>
              <w:bottom w:val="nil"/>
              <w:right w:val="nil"/>
            </w:tcBorders>
          </w:tcPr>
          <w:p w:rsidR="007A7C36" w:rsidRPr="00A40DDE" w:rsidRDefault="007A7C36" w:rsidP="00E702B6">
            <w:pPr>
              <w:spacing w:after="0" w:line="259" w:lineRule="auto"/>
              <w:ind w:left="19" w:right="0" w:firstLine="0"/>
              <w:jc w:val="left"/>
              <w:rPr>
                <w:sz w:val="28"/>
                <w:szCs w:val="32"/>
              </w:rPr>
            </w:pPr>
            <w:r w:rsidRPr="00A40DDE">
              <w:rPr>
                <w:sz w:val="22"/>
                <w:szCs w:val="32"/>
              </w:rPr>
              <w:t>11.08</w:t>
            </w:r>
          </w:p>
        </w:tc>
        <w:tc>
          <w:tcPr>
            <w:tcW w:w="778"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8.71</w:t>
            </w:r>
          </w:p>
        </w:tc>
        <w:tc>
          <w:tcPr>
            <w:tcW w:w="963"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5.85</w:t>
            </w:r>
          </w:p>
        </w:tc>
        <w:tc>
          <w:tcPr>
            <w:tcW w:w="616"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3.04</w:t>
            </w:r>
          </w:p>
        </w:tc>
        <w:tc>
          <w:tcPr>
            <w:tcW w:w="471"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5.99</w:t>
            </w:r>
          </w:p>
        </w:tc>
      </w:tr>
      <w:tr w:rsidR="007A7C36" w:rsidRPr="00A40DDE" w:rsidTr="00E702B6">
        <w:trPr>
          <w:trHeight w:val="239"/>
        </w:trPr>
        <w:tc>
          <w:tcPr>
            <w:tcW w:w="1614" w:type="dxa"/>
            <w:tcBorders>
              <w:top w:val="nil"/>
              <w:left w:val="nil"/>
              <w:bottom w:val="nil"/>
              <w:right w:val="nil"/>
            </w:tcBorders>
          </w:tcPr>
          <w:p w:rsidR="007A7C36" w:rsidRPr="00A40DDE" w:rsidRDefault="007A7C36" w:rsidP="00E702B6">
            <w:pPr>
              <w:spacing w:after="0" w:line="259" w:lineRule="auto"/>
              <w:ind w:left="159" w:right="0" w:firstLine="0"/>
              <w:jc w:val="left"/>
              <w:rPr>
                <w:sz w:val="28"/>
                <w:szCs w:val="32"/>
              </w:rPr>
            </w:pPr>
            <w:r w:rsidRPr="00A40DDE">
              <w:rPr>
                <w:rFonts w:ascii="Calibri" w:eastAsia="Calibri" w:hAnsi="Calibri" w:cs="Calibri"/>
                <w:sz w:val="22"/>
                <w:szCs w:val="32"/>
              </w:rPr>
              <w:t>Other controls</w:t>
            </w:r>
          </w:p>
        </w:tc>
        <w:tc>
          <w:tcPr>
            <w:tcW w:w="840"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849"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Yes</w:t>
            </w:r>
          </w:p>
        </w:tc>
        <w:tc>
          <w:tcPr>
            <w:tcW w:w="616"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778"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Yes</w:t>
            </w:r>
          </w:p>
        </w:tc>
        <w:tc>
          <w:tcPr>
            <w:tcW w:w="963"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16"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Yes</w:t>
            </w:r>
          </w:p>
        </w:tc>
        <w:tc>
          <w:tcPr>
            <w:tcW w:w="471"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r>
      <w:tr w:rsidR="007A7C36" w:rsidRPr="00A40DDE" w:rsidTr="00E702B6">
        <w:trPr>
          <w:trHeight w:val="249"/>
        </w:trPr>
        <w:tc>
          <w:tcPr>
            <w:tcW w:w="1614" w:type="dxa"/>
            <w:tcBorders>
              <w:top w:val="nil"/>
              <w:left w:val="nil"/>
              <w:bottom w:val="nil"/>
              <w:right w:val="nil"/>
            </w:tcBorders>
          </w:tcPr>
          <w:p w:rsidR="007A7C36" w:rsidRPr="00A40DDE" w:rsidRDefault="007A7C36" w:rsidP="00E702B6">
            <w:pPr>
              <w:spacing w:after="0" w:line="259" w:lineRule="auto"/>
              <w:ind w:left="159" w:right="0" w:firstLine="0"/>
              <w:jc w:val="left"/>
              <w:rPr>
                <w:sz w:val="28"/>
                <w:szCs w:val="32"/>
              </w:rPr>
            </w:pPr>
            <w:r w:rsidRPr="00A40DDE">
              <w:rPr>
                <w:rFonts w:ascii="Calibri" w:eastAsia="Calibri" w:hAnsi="Calibri" w:cs="Calibri"/>
                <w:sz w:val="22"/>
                <w:szCs w:val="32"/>
              </w:rPr>
              <w:t>Bank fixed effects</w:t>
            </w:r>
          </w:p>
        </w:tc>
        <w:tc>
          <w:tcPr>
            <w:tcW w:w="840"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849"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Yes</w:t>
            </w:r>
          </w:p>
        </w:tc>
        <w:tc>
          <w:tcPr>
            <w:tcW w:w="616"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778"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Yes</w:t>
            </w:r>
          </w:p>
        </w:tc>
        <w:tc>
          <w:tcPr>
            <w:tcW w:w="963"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16"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Yes</w:t>
            </w:r>
          </w:p>
        </w:tc>
        <w:tc>
          <w:tcPr>
            <w:tcW w:w="471"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r>
      <w:tr w:rsidR="007A7C36" w:rsidRPr="00A40DDE" w:rsidTr="00E702B6">
        <w:trPr>
          <w:trHeight w:val="232"/>
        </w:trPr>
        <w:tc>
          <w:tcPr>
            <w:tcW w:w="1614"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N</w:t>
            </w:r>
          </w:p>
        </w:tc>
        <w:tc>
          <w:tcPr>
            <w:tcW w:w="840"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849"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121,345</w:t>
            </w:r>
          </w:p>
        </w:tc>
        <w:tc>
          <w:tcPr>
            <w:tcW w:w="616"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778"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11,312</w:t>
            </w:r>
          </w:p>
        </w:tc>
        <w:tc>
          <w:tcPr>
            <w:tcW w:w="963"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16"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4222</w:t>
            </w:r>
          </w:p>
        </w:tc>
        <w:tc>
          <w:tcPr>
            <w:tcW w:w="471"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r>
      <w:tr w:rsidR="007A7C36" w:rsidRPr="00A40DDE" w:rsidTr="00E702B6">
        <w:trPr>
          <w:trHeight w:val="342"/>
        </w:trPr>
        <w:tc>
          <w:tcPr>
            <w:tcW w:w="1614"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Adj.R</w:t>
            </w:r>
            <w:r w:rsidRPr="00A40DDE">
              <w:rPr>
                <w:sz w:val="22"/>
                <w:szCs w:val="32"/>
                <w:vertAlign w:val="superscript"/>
              </w:rPr>
              <w:t>2</w:t>
            </w:r>
          </w:p>
        </w:tc>
        <w:tc>
          <w:tcPr>
            <w:tcW w:w="840" w:type="dxa"/>
            <w:tcBorders>
              <w:top w:val="nil"/>
              <w:left w:val="nil"/>
              <w:bottom w:val="nil"/>
              <w:right w:val="nil"/>
            </w:tcBorders>
            <w:vAlign w:val="bottom"/>
          </w:tcPr>
          <w:p w:rsidR="007A7C36" w:rsidRPr="00A40DDE" w:rsidRDefault="007A7C36" w:rsidP="00E702B6">
            <w:pPr>
              <w:spacing w:after="160" w:line="259" w:lineRule="auto"/>
              <w:ind w:right="0" w:firstLine="0"/>
              <w:jc w:val="left"/>
              <w:rPr>
                <w:sz w:val="28"/>
                <w:szCs w:val="32"/>
              </w:rPr>
            </w:pPr>
          </w:p>
        </w:tc>
        <w:tc>
          <w:tcPr>
            <w:tcW w:w="849" w:type="dxa"/>
            <w:tcBorders>
              <w:top w:val="nil"/>
              <w:left w:val="nil"/>
              <w:bottom w:val="nil"/>
              <w:right w:val="nil"/>
            </w:tcBorders>
          </w:tcPr>
          <w:p w:rsidR="007A7C36" w:rsidRPr="00A40DDE" w:rsidRDefault="007A7C36" w:rsidP="00E702B6">
            <w:pPr>
              <w:spacing w:after="0" w:line="259" w:lineRule="auto"/>
              <w:ind w:left="81" w:right="0" w:firstLine="0"/>
              <w:jc w:val="left"/>
              <w:rPr>
                <w:sz w:val="28"/>
                <w:szCs w:val="32"/>
              </w:rPr>
            </w:pPr>
            <w:r w:rsidRPr="00A40DDE">
              <w:rPr>
                <w:sz w:val="22"/>
                <w:szCs w:val="32"/>
              </w:rPr>
              <w:t>5.3%</w:t>
            </w:r>
          </w:p>
        </w:tc>
        <w:tc>
          <w:tcPr>
            <w:tcW w:w="616"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778"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7.4%</w:t>
            </w:r>
          </w:p>
        </w:tc>
        <w:tc>
          <w:tcPr>
            <w:tcW w:w="963"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616"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6.4%</w:t>
            </w:r>
          </w:p>
        </w:tc>
        <w:tc>
          <w:tcPr>
            <w:tcW w:w="471"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r>
    </w:tbl>
    <w:p w:rsidR="007A7C36" w:rsidRPr="00A40DDE" w:rsidRDefault="007A7C36" w:rsidP="007A7C36">
      <w:pPr>
        <w:rPr>
          <w:sz w:val="28"/>
          <w:szCs w:val="32"/>
          <w:rtl/>
          <w:lang w:bidi="fa-IR"/>
        </w:rPr>
      </w:pPr>
    </w:p>
    <w:p w:rsidR="007A7C36" w:rsidRPr="00A40DDE" w:rsidRDefault="007A7C36" w:rsidP="007A7C36">
      <w:pPr>
        <w:rPr>
          <w:sz w:val="28"/>
          <w:szCs w:val="32"/>
          <w:rtl/>
          <w:lang w:bidi="fa-IR"/>
        </w:rPr>
      </w:pPr>
    </w:p>
    <w:p w:rsidR="007A7C36" w:rsidRPr="00A40DDE" w:rsidRDefault="007A7C36" w:rsidP="007A7C36">
      <w:pPr>
        <w:rPr>
          <w:sz w:val="28"/>
          <w:szCs w:val="32"/>
          <w:rtl/>
          <w:lang w:bidi="fa-IR"/>
        </w:rPr>
      </w:pPr>
    </w:p>
    <w:tbl>
      <w:tblPr>
        <w:tblStyle w:val="TableGrid"/>
        <w:tblW w:w="6745" w:type="dxa"/>
        <w:tblInd w:w="0" w:type="dxa"/>
        <w:tblCellMar>
          <w:top w:w="7" w:type="dxa"/>
          <w:bottom w:w="13" w:type="dxa"/>
        </w:tblCellMar>
        <w:tblLook w:val="04A0" w:firstRow="1" w:lastRow="0" w:firstColumn="1" w:lastColumn="0" w:noHBand="0" w:noVBand="1"/>
      </w:tblPr>
      <w:tblGrid>
        <w:gridCol w:w="1613"/>
        <w:gridCol w:w="4045"/>
        <w:gridCol w:w="616"/>
        <w:gridCol w:w="471"/>
      </w:tblGrid>
      <w:tr w:rsidR="007A7C36" w:rsidRPr="00A40DDE" w:rsidTr="00E702B6">
        <w:trPr>
          <w:trHeight w:val="614"/>
        </w:trPr>
        <w:tc>
          <w:tcPr>
            <w:tcW w:w="1614" w:type="dxa"/>
            <w:tcBorders>
              <w:top w:val="nil"/>
              <w:left w:val="nil"/>
              <w:bottom w:val="nil"/>
              <w:right w:val="nil"/>
            </w:tcBorders>
          </w:tcPr>
          <w:p w:rsidR="007A7C36" w:rsidRPr="00A40DDE" w:rsidRDefault="007A7C36" w:rsidP="00E702B6">
            <w:pPr>
              <w:spacing w:after="0" w:line="259" w:lineRule="auto"/>
              <w:ind w:right="0" w:firstLine="0"/>
              <w:rPr>
                <w:sz w:val="28"/>
                <w:szCs w:val="32"/>
              </w:rPr>
            </w:pPr>
            <w:r w:rsidRPr="00A40DDE">
              <w:rPr>
                <w:sz w:val="22"/>
                <w:szCs w:val="32"/>
              </w:rPr>
              <w:t xml:space="preserve">Panel B: Banks with </w:t>
            </w:r>
            <w:r w:rsidRPr="00A40DDE">
              <w:rPr>
                <w:rFonts w:ascii="Calibri" w:eastAsia="Calibri" w:hAnsi="Calibri" w:cs="Calibri"/>
                <w:sz w:val="22"/>
                <w:szCs w:val="32"/>
              </w:rPr>
              <w:t>NI</w:t>
            </w:r>
          </w:p>
        </w:tc>
        <w:tc>
          <w:tcPr>
            <w:tcW w:w="4046" w:type="dxa"/>
            <w:tcBorders>
              <w:top w:val="nil"/>
              <w:left w:val="nil"/>
              <w:bottom w:val="nil"/>
              <w:right w:val="nil"/>
            </w:tcBorders>
            <w:vAlign w:val="bottom"/>
          </w:tcPr>
          <w:p w:rsidR="007A7C36" w:rsidRPr="00A40DDE" w:rsidRDefault="007A7C36" w:rsidP="00E702B6">
            <w:pPr>
              <w:spacing w:after="67" w:line="259" w:lineRule="auto"/>
              <w:ind w:left="17" w:right="0" w:firstLine="0"/>
              <w:jc w:val="left"/>
              <w:rPr>
                <w:sz w:val="28"/>
                <w:szCs w:val="32"/>
              </w:rPr>
            </w:pPr>
            <w:r w:rsidRPr="00A40DDE">
              <w:rPr>
                <w:sz w:val="22"/>
                <w:szCs w:val="32"/>
              </w:rPr>
              <w:t xml:space="preserve">&lt; 0 and </w:t>
            </w:r>
            <w:r w:rsidRPr="00A40DDE">
              <w:rPr>
                <w:rFonts w:ascii="Calibri" w:eastAsia="Calibri" w:hAnsi="Calibri" w:cs="Calibri"/>
                <w:sz w:val="22"/>
                <w:szCs w:val="32"/>
              </w:rPr>
              <w:t xml:space="preserve">NI </w:t>
            </w:r>
            <w:r w:rsidRPr="00A40DDE">
              <w:rPr>
                <w:sz w:val="22"/>
                <w:szCs w:val="32"/>
              </w:rPr>
              <w:t xml:space="preserve">+ </w:t>
            </w:r>
            <w:r w:rsidRPr="00A40DDE">
              <w:rPr>
                <w:rFonts w:ascii="Calibri" w:eastAsia="Calibri" w:hAnsi="Calibri" w:cs="Calibri"/>
                <w:sz w:val="22"/>
                <w:szCs w:val="32"/>
              </w:rPr>
              <w:t xml:space="preserve">RGL </w:t>
            </w:r>
            <w:r w:rsidRPr="00A40DDE">
              <w:rPr>
                <w:sz w:val="22"/>
                <w:szCs w:val="32"/>
              </w:rPr>
              <w:t xml:space="preserve">&gt;= 0 (i.e., loss avoiders using </w:t>
            </w:r>
            <w:r w:rsidRPr="00A40DDE">
              <w:rPr>
                <w:rFonts w:ascii="Calibri" w:eastAsia="Calibri" w:hAnsi="Calibri" w:cs="Calibri"/>
                <w:sz w:val="22"/>
                <w:szCs w:val="32"/>
              </w:rPr>
              <w:t>RGL</w:t>
            </w:r>
            <w:r w:rsidRPr="00A40DDE">
              <w:rPr>
                <w:sz w:val="22"/>
                <w:szCs w:val="32"/>
              </w:rPr>
              <w:t>)</w:t>
            </w:r>
          </w:p>
          <w:p w:rsidR="007A7C36" w:rsidRPr="00A40DDE" w:rsidRDefault="007A7C36" w:rsidP="00E702B6">
            <w:pPr>
              <w:tabs>
                <w:tab w:val="center" w:pos="1104"/>
                <w:tab w:val="center" w:pos="3377"/>
              </w:tabs>
              <w:spacing w:after="0" w:line="259" w:lineRule="auto"/>
              <w:ind w:right="0" w:firstLine="0"/>
              <w:jc w:val="left"/>
              <w:rPr>
                <w:sz w:val="28"/>
                <w:szCs w:val="32"/>
              </w:rPr>
            </w:pPr>
            <w:r w:rsidRPr="00A40DDE">
              <w:rPr>
                <w:rFonts w:ascii="Calibri" w:eastAsia="Calibri" w:hAnsi="Calibri" w:cs="Calibri"/>
                <w:color w:val="000000"/>
                <w:sz w:val="32"/>
                <w:szCs w:val="32"/>
              </w:rPr>
              <w:tab/>
            </w:r>
            <w:r w:rsidRPr="00A40DDE">
              <w:rPr>
                <w:sz w:val="22"/>
                <w:szCs w:val="32"/>
              </w:rPr>
              <w:t>Model I</w:t>
            </w:r>
            <w:r w:rsidRPr="00A40DDE">
              <w:rPr>
                <w:sz w:val="22"/>
                <w:szCs w:val="32"/>
              </w:rPr>
              <w:tab/>
              <w:t>Model II</w:t>
            </w:r>
          </w:p>
        </w:tc>
        <w:tc>
          <w:tcPr>
            <w:tcW w:w="616"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471"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r>
      <w:tr w:rsidR="007A7C36" w:rsidRPr="00A40DDE" w:rsidTr="00E702B6">
        <w:trPr>
          <w:trHeight w:val="470"/>
        </w:trPr>
        <w:tc>
          <w:tcPr>
            <w:tcW w:w="1614" w:type="dxa"/>
            <w:tcBorders>
              <w:top w:val="nil"/>
              <w:left w:val="nil"/>
              <w:bottom w:val="nil"/>
              <w:right w:val="nil"/>
            </w:tcBorders>
          </w:tcPr>
          <w:p w:rsidR="007A7C36" w:rsidRPr="00A40DDE" w:rsidRDefault="007A7C36" w:rsidP="00E702B6">
            <w:pPr>
              <w:spacing w:after="50" w:line="259" w:lineRule="auto"/>
              <w:ind w:right="0" w:firstLine="0"/>
              <w:jc w:val="left"/>
              <w:rPr>
                <w:sz w:val="28"/>
                <w:szCs w:val="32"/>
              </w:rPr>
            </w:pPr>
            <w:r w:rsidRPr="00A40DDE">
              <w:rPr>
                <w:sz w:val="22"/>
                <w:szCs w:val="32"/>
              </w:rPr>
              <w:t>Variables</w:t>
            </w:r>
          </w:p>
          <w:p w:rsidR="007A7C36" w:rsidRPr="00A40DDE" w:rsidRDefault="007A7C36" w:rsidP="00E702B6">
            <w:pPr>
              <w:spacing w:after="0" w:line="259" w:lineRule="auto"/>
              <w:ind w:right="0" w:firstLine="0"/>
              <w:jc w:val="left"/>
              <w:rPr>
                <w:sz w:val="28"/>
                <w:szCs w:val="32"/>
              </w:rPr>
            </w:pPr>
            <w:r w:rsidRPr="00A40DDE">
              <w:rPr>
                <w:sz w:val="22"/>
                <w:szCs w:val="32"/>
              </w:rPr>
              <w:t>Experimental variables:</w:t>
            </w:r>
          </w:p>
        </w:tc>
        <w:tc>
          <w:tcPr>
            <w:tcW w:w="4046" w:type="dxa"/>
            <w:tcBorders>
              <w:top w:val="nil"/>
              <w:left w:val="nil"/>
              <w:bottom w:val="nil"/>
              <w:right w:val="nil"/>
            </w:tcBorders>
          </w:tcPr>
          <w:p w:rsidR="007A7C36" w:rsidRPr="00A40DDE" w:rsidRDefault="007A7C36" w:rsidP="00E702B6">
            <w:pPr>
              <w:tabs>
                <w:tab w:val="center" w:pos="1038"/>
                <w:tab w:val="center" w:pos="1876"/>
                <w:tab w:val="center" w:pos="3281"/>
              </w:tabs>
              <w:spacing w:after="0" w:line="259" w:lineRule="auto"/>
              <w:ind w:right="0" w:firstLine="0"/>
              <w:jc w:val="left"/>
              <w:rPr>
                <w:sz w:val="28"/>
                <w:szCs w:val="32"/>
              </w:rPr>
            </w:pPr>
            <w:r w:rsidRPr="00A40DDE">
              <w:rPr>
                <w:sz w:val="22"/>
                <w:szCs w:val="32"/>
              </w:rPr>
              <w:t>Prediction</w:t>
            </w:r>
            <w:r w:rsidRPr="00A40DDE">
              <w:rPr>
                <w:sz w:val="22"/>
                <w:szCs w:val="32"/>
              </w:rPr>
              <w:tab/>
            </w:r>
            <w:proofErr w:type="spellStart"/>
            <w:r w:rsidRPr="00A40DDE">
              <w:rPr>
                <w:sz w:val="22"/>
                <w:szCs w:val="32"/>
              </w:rPr>
              <w:t>Coeff</w:t>
            </w:r>
            <w:proofErr w:type="spellEnd"/>
            <w:r w:rsidRPr="00A40DDE">
              <w:rPr>
                <w:sz w:val="22"/>
                <w:szCs w:val="32"/>
              </w:rPr>
              <w:t>.</w:t>
            </w:r>
            <w:r w:rsidRPr="00A40DDE">
              <w:rPr>
                <w:sz w:val="22"/>
                <w:szCs w:val="32"/>
              </w:rPr>
              <w:tab/>
            </w:r>
            <w:proofErr w:type="gramStart"/>
            <w:r w:rsidRPr="00A40DDE">
              <w:rPr>
                <w:sz w:val="22"/>
                <w:szCs w:val="32"/>
              </w:rPr>
              <w:t>t-stat</w:t>
            </w:r>
            <w:proofErr w:type="gramEnd"/>
            <w:r w:rsidRPr="00A40DDE">
              <w:rPr>
                <w:sz w:val="22"/>
                <w:szCs w:val="32"/>
              </w:rPr>
              <w:t>.</w:t>
            </w:r>
            <w:r w:rsidRPr="00A40DDE">
              <w:rPr>
                <w:sz w:val="22"/>
                <w:szCs w:val="32"/>
              </w:rPr>
              <w:tab/>
            </w:r>
            <w:proofErr w:type="spellStart"/>
            <w:r w:rsidRPr="00A40DDE">
              <w:rPr>
                <w:sz w:val="22"/>
                <w:szCs w:val="32"/>
              </w:rPr>
              <w:t>Coeff</w:t>
            </w:r>
            <w:proofErr w:type="spellEnd"/>
            <w:r w:rsidRPr="00A40DDE">
              <w:rPr>
                <w:sz w:val="22"/>
                <w:szCs w:val="32"/>
              </w:rPr>
              <w:t>.</w:t>
            </w:r>
          </w:p>
        </w:tc>
        <w:tc>
          <w:tcPr>
            <w:tcW w:w="616"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t-stat.</w:t>
            </w:r>
          </w:p>
        </w:tc>
        <w:tc>
          <w:tcPr>
            <w:tcW w:w="471"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r>
      <w:tr w:rsidR="007A7C36" w:rsidRPr="00A40DDE" w:rsidTr="00E702B6">
        <w:trPr>
          <w:trHeight w:val="498"/>
        </w:trPr>
        <w:tc>
          <w:tcPr>
            <w:tcW w:w="1614" w:type="dxa"/>
            <w:tcBorders>
              <w:top w:val="nil"/>
              <w:left w:val="nil"/>
              <w:bottom w:val="nil"/>
              <w:right w:val="nil"/>
            </w:tcBorders>
          </w:tcPr>
          <w:p w:rsidR="007A7C36" w:rsidRPr="00A40DDE" w:rsidRDefault="007A7C36" w:rsidP="00E702B6">
            <w:pPr>
              <w:spacing w:after="39" w:line="259" w:lineRule="auto"/>
              <w:ind w:left="159" w:right="0" w:firstLine="0"/>
              <w:jc w:val="left"/>
              <w:rPr>
                <w:sz w:val="28"/>
                <w:szCs w:val="32"/>
              </w:rPr>
            </w:pPr>
            <w:proofErr w:type="spellStart"/>
            <w:r w:rsidRPr="00A40DDE">
              <w:rPr>
                <w:rFonts w:ascii="Calibri" w:eastAsia="Calibri" w:hAnsi="Calibri" w:cs="Calibri"/>
                <w:sz w:val="22"/>
                <w:szCs w:val="32"/>
              </w:rPr>
              <w:t>NIneg</w:t>
            </w:r>
            <w:proofErr w:type="spellEnd"/>
          </w:p>
          <w:p w:rsidR="007A7C36" w:rsidRPr="00A40DDE" w:rsidRDefault="007A7C36" w:rsidP="00E702B6">
            <w:pPr>
              <w:spacing w:after="0" w:line="259" w:lineRule="auto"/>
              <w:ind w:right="0" w:firstLine="0"/>
              <w:jc w:val="left"/>
              <w:rPr>
                <w:sz w:val="28"/>
                <w:szCs w:val="32"/>
              </w:rPr>
            </w:pPr>
            <w:r w:rsidRPr="00A40DDE">
              <w:rPr>
                <w:sz w:val="22"/>
                <w:szCs w:val="32"/>
              </w:rPr>
              <w:t>Control variables:</w:t>
            </w:r>
          </w:p>
        </w:tc>
        <w:tc>
          <w:tcPr>
            <w:tcW w:w="4046" w:type="dxa"/>
            <w:tcBorders>
              <w:top w:val="nil"/>
              <w:left w:val="nil"/>
              <w:bottom w:val="nil"/>
              <w:right w:val="nil"/>
            </w:tcBorders>
          </w:tcPr>
          <w:p w:rsidR="007A7C36" w:rsidRPr="00A40DDE" w:rsidRDefault="007A7C36" w:rsidP="00E702B6">
            <w:pPr>
              <w:tabs>
                <w:tab w:val="center" w:pos="210"/>
                <w:tab w:val="center" w:pos="1492"/>
                <w:tab w:val="center" w:pos="3438"/>
              </w:tabs>
              <w:spacing w:after="0" w:line="259" w:lineRule="auto"/>
              <w:ind w:right="0" w:firstLine="0"/>
              <w:jc w:val="left"/>
              <w:rPr>
                <w:sz w:val="28"/>
                <w:szCs w:val="32"/>
              </w:rPr>
            </w:pPr>
            <w:r w:rsidRPr="00A40DDE">
              <w:rPr>
                <w:rFonts w:ascii="Calibri" w:eastAsia="Calibri" w:hAnsi="Calibri" w:cs="Calibri"/>
                <w:color w:val="000000"/>
                <w:sz w:val="32"/>
                <w:szCs w:val="32"/>
              </w:rPr>
              <w:tab/>
            </w:r>
            <w:r w:rsidRPr="00A40DDE">
              <w:rPr>
                <w:rFonts w:ascii="Calibri" w:eastAsia="Calibri" w:hAnsi="Calibri" w:cs="Calibri"/>
                <w:sz w:val="22"/>
                <w:szCs w:val="32"/>
              </w:rPr>
              <w:t>−</w:t>
            </w:r>
            <w:r w:rsidRPr="00A40DDE">
              <w:rPr>
                <w:rFonts w:ascii="Calibri" w:eastAsia="Calibri" w:hAnsi="Calibri" w:cs="Calibri"/>
                <w:sz w:val="22"/>
                <w:szCs w:val="32"/>
              </w:rPr>
              <w:tab/>
              <w:t>−</w:t>
            </w:r>
            <w:r w:rsidRPr="00A40DDE">
              <w:rPr>
                <w:sz w:val="22"/>
                <w:szCs w:val="32"/>
              </w:rPr>
              <w:t xml:space="preserve">96.33*** </w:t>
            </w:r>
            <w:r w:rsidRPr="00A40DDE">
              <w:rPr>
                <w:rFonts w:ascii="Calibri" w:eastAsia="Calibri" w:hAnsi="Calibri" w:cs="Calibri"/>
                <w:sz w:val="22"/>
                <w:szCs w:val="32"/>
              </w:rPr>
              <w:t>−</w:t>
            </w:r>
            <w:r w:rsidRPr="00A40DDE">
              <w:rPr>
                <w:sz w:val="22"/>
                <w:szCs w:val="32"/>
              </w:rPr>
              <w:t>38.03</w:t>
            </w:r>
            <w:r w:rsidRPr="00A40DDE">
              <w:rPr>
                <w:sz w:val="22"/>
                <w:szCs w:val="32"/>
              </w:rPr>
              <w:tab/>
            </w:r>
            <w:r w:rsidRPr="00A40DDE">
              <w:rPr>
                <w:rFonts w:ascii="Calibri" w:eastAsia="Calibri" w:hAnsi="Calibri" w:cs="Calibri"/>
                <w:sz w:val="22"/>
                <w:szCs w:val="32"/>
              </w:rPr>
              <w:t>−</w:t>
            </w:r>
            <w:r w:rsidRPr="00A40DDE">
              <w:rPr>
                <w:sz w:val="22"/>
                <w:szCs w:val="32"/>
              </w:rPr>
              <w:t>84.15***</w:t>
            </w:r>
          </w:p>
        </w:tc>
        <w:tc>
          <w:tcPr>
            <w:tcW w:w="616"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22"/>
                <w:szCs w:val="32"/>
              </w:rPr>
              <w:t>−</w:t>
            </w:r>
            <w:r w:rsidRPr="00A40DDE">
              <w:rPr>
                <w:sz w:val="22"/>
                <w:szCs w:val="32"/>
              </w:rPr>
              <w:t>36.78</w:t>
            </w:r>
          </w:p>
        </w:tc>
        <w:tc>
          <w:tcPr>
            <w:tcW w:w="471"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r>
      <w:tr w:rsidR="007A7C36" w:rsidRPr="00A40DDE" w:rsidTr="00E702B6">
        <w:trPr>
          <w:trHeight w:val="279"/>
        </w:trPr>
        <w:tc>
          <w:tcPr>
            <w:tcW w:w="1614" w:type="dxa"/>
            <w:tcBorders>
              <w:top w:val="nil"/>
              <w:left w:val="nil"/>
              <w:bottom w:val="nil"/>
              <w:right w:val="nil"/>
            </w:tcBorders>
          </w:tcPr>
          <w:p w:rsidR="007A7C36" w:rsidRPr="00A40DDE" w:rsidRDefault="007A7C36" w:rsidP="00E702B6">
            <w:pPr>
              <w:spacing w:after="0" w:line="259" w:lineRule="auto"/>
              <w:ind w:left="159" w:right="0" w:firstLine="0"/>
              <w:jc w:val="left"/>
              <w:rPr>
                <w:sz w:val="28"/>
                <w:szCs w:val="32"/>
              </w:rPr>
            </w:pPr>
            <w:proofErr w:type="spellStart"/>
            <w:r w:rsidRPr="00A40DDE">
              <w:rPr>
                <w:rFonts w:ascii="Calibri" w:eastAsia="Calibri" w:hAnsi="Calibri" w:cs="Calibri"/>
                <w:sz w:val="22"/>
                <w:szCs w:val="32"/>
              </w:rPr>
              <w:t>RegCapLow</w:t>
            </w:r>
            <w:proofErr w:type="spellEnd"/>
          </w:p>
        </w:tc>
        <w:tc>
          <w:tcPr>
            <w:tcW w:w="4046" w:type="dxa"/>
            <w:tcBorders>
              <w:top w:val="nil"/>
              <w:left w:val="nil"/>
              <w:bottom w:val="nil"/>
              <w:right w:val="nil"/>
            </w:tcBorders>
          </w:tcPr>
          <w:p w:rsidR="007A7C36" w:rsidRPr="00A40DDE" w:rsidRDefault="007A7C36" w:rsidP="00E702B6">
            <w:pPr>
              <w:spacing w:after="0" w:line="259" w:lineRule="auto"/>
              <w:ind w:right="521" w:firstLine="0"/>
              <w:jc w:val="right"/>
              <w:rPr>
                <w:sz w:val="28"/>
                <w:szCs w:val="32"/>
              </w:rPr>
            </w:pPr>
            <w:r w:rsidRPr="00A40DDE">
              <w:rPr>
                <w:rFonts w:ascii="Calibri" w:eastAsia="Calibri" w:hAnsi="Calibri" w:cs="Calibri"/>
                <w:sz w:val="22"/>
                <w:szCs w:val="32"/>
              </w:rPr>
              <w:t>−</w:t>
            </w:r>
            <w:r w:rsidRPr="00A40DDE">
              <w:rPr>
                <w:sz w:val="22"/>
                <w:szCs w:val="32"/>
              </w:rPr>
              <w:t>0.01</w:t>
            </w:r>
          </w:p>
        </w:tc>
        <w:tc>
          <w:tcPr>
            <w:tcW w:w="616" w:type="dxa"/>
            <w:tcBorders>
              <w:top w:val="nil"/>
              <w:left w:val="nil"/>
              <w:bottom w:val="nil"/>
              <w:right w:val="nil"/>
            </w:tcBorders>
          </w:tcPr>
          <w:p w:rsidR="007A7C36" w:rsidRPr="00A40DDE" w:rsidRDefault="007A7C36" w:rsidP="00E702B6">
            <w:pPr>
              <w:spacing w:after="0" w:line="259" w:lineRule="auto"/>
              <w:ind w:left="81" w:right="0" w:firstLine="0"/>
              <w:jc w:val="left"/>
              <w:rPr>
                <w:sz w:val="28"/>
                <w:szCs w:val="32"/>
              </w:rPr>
            </w:pPr>
            <w:r w:rsidRPr="00A40DDE">
              <w:rPr>
                <w:rFonts w:ascii="Calibri" w:eastAsia="Calibri" w:hAnsi="Calibri" w:cs="Calibri"/>
                <w:sz w:val="22"/>
                <w:szCs w:val="32"/>
              </w:rPr>
              <w:t>−</w:t>
            </w:r>
            <w:r w:rsidRPr="00A40DDE">
              <w:rPr>
                <w:sz w:val="22"/>
                <w:szCs w:val="32"/>
              </w:rPr>
              <w:t>0.54</w:t>
            </w:r>
          </w:p>
        </w:tc>
        <w:tc>
          <w:tcPr>
            <w:tcW w:w="471"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r>
      <w:tr w:rsidR="007A7C36" w:rsidRPr="00A40DDE" w:rsidTr="00E702B6">
        <w:trPr>
          <w:trHeight w:val="255"/>
        </w:trPr>
        <w:tc>
          <w:tcPr>
            <w:tcW w:w="1614" w:type="dxa"/>
            <w:tcBorders>
              <w:top w:val="nil"/>
              <w:left w:val="nil"/>
              <w:bottom w:val="nil"/>
              <w:right w:val="nil"/>
            </w:tcBorders>
          </w:tcPr>
          <w:p w:rsidR="007A7C36" w:rsidRPr="00A40DDE" w:rsidRDefault="007A7C36" w:rsidP="00E702B6">
            <w:pPr>
              <w:spacing w:after="0" w:line="259" w:lineRule="auto"/>
              <w:ind w:left="159" w:right="0" w:firstLine="0"/>
              <w:jc w:val="left"/>
              <w:rPr>
                <w:sz w:val="28"/>
                <w:szCs w:val="32"/>
              </w:rPr>
            </w:pPr>
            <w:r w:rsidRPr="00A40DDE">
              <w:rPr>
                <w:rFonts w:ascii="Calibri" w:eastAsia="Calibri" w:hAnsi="Calibri" w:cs="Calibri"/>
                <w:sz w:val="22"/>
                <w:szCs w:val="32"/>
              </w:rPr>
              <w:t>UL</w:t>
            </w:r>
            <w:r w:rsidRPr="00A40DDE">
              <w:rPr>
                <w:rFonts w:ascii="Calibri" w:eastAsia="Calibri" w:hAnsi="Calibri" w:cs="Calibri"/>
                <w:sz w:val="16"/>
                <w:szCs w:val="32"/>
              </w:rPr>
              <w:t>t−</w:t>
            </w:r>
            <w:r w:rsidRPr="00A40DDE">
              <w:rPr>
                <w:sz w:val="16"/>
                <w:szCs w:val="32"/>
              </w:rPr>
              <w:t>1</w:t>
            </w:r>
          </w:p>
        </w:tc>
        <w:tc>
          <w:tcPr>
            <w:tcW w:w="4046" w:type="dxa"/>
            <w:tcBorders>
              <w:top w:val="nil"/>
              <w:left w:val="nil"/>
              <w:bottom w:val="nil"/>
              <w:right w:val="nil"/>
            </w:tcBorders>
          </w:tcPr>
          <w:p w:rsidR="007A7C36" w:rsidRPr="00A40DDE" w:rsidRDefault="007A7C36" w:rsidP="00E702B6">
            <w:pPr>
              <w:spacing w:after="0" w:line="259" w:lineRule="auto"/>
              <w:ind w:right="530" w:firstLine="0"/>
              <w:jc w:val="right"/>
              <w:rPr>
                <w:sz w:val="28"/>
                <w:szCs w:val="32"/>
              </w:rPr>
            </w:pPr>
            <w:r w:rsidRPr="00A40DDE">
              <w:rPr>
                <w:sz w:val="22"/>
                <w:szCs w:val="32"/>
              </w:rPr>
              <w:t>0.23</w:t>
            </w:r>
          </w:p>
        </w:tc>
        <w:tc>
          <w:tcPr>
            <w:tcW w:w="616" w:type="dxa"/>
            <w:tcBorders>
              <w:top w:val="nil"/>
              <w:left w:val="nil"/>
              <w:bottom w:val="nil"/>
              <w:right w:val="nil"/>
            </w:tcBorders>
          </w:tcPr>
          <w:p w:rsidR="007A7C36" w:rsidRPr="00A40DDE" w:rsidRDefault="007A7C36" w:rsidP="00E702B6">
            <w:pPr>
              <w:spacing w:after="0" w:line="259" w:lineRule="auto"/>
              <w:ind w:left="19" w:right="0" w:firstLine="0"/>
              <w:jc w:val="center"/>
              <w:rPr>
                <w:sz w:val="28"/>
                <w:szCs w:val="32"/>
              </w:rPr>
            </w:pPr>
            <w:r w:rsidRPr="00A40DDE">
              <w:rPr>
                <w:sz w:val="22"/>
                <w:szCs w:val="32"/>
              </w:rPr>
              <w:t>0.37</w:t>
            </w:r>
          </w:p>
        </w:tc>
        <w:tc>
          <w:tcPr>
            <w:tcW w:w="471"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r>
      <w:tr w:rsidR="007A7C36" w:rsidRPr="00A40DDE" w:rsidTr="00E702B6">
        <w:trPr>
          <w:trHeight w:val="249"/>
        </w:trPr>
        <w:tc>
          <w:tcPr>
            <w:tcW w:w="1614" w:type="dxa"/>
            <w:tcBorders>
              <w:top w:val="nil"/>
              <w:left w:val="nil"/>
              <w:bottom w:val="nil"/>
              <w:right w:val="nil"/>
            </w:tcBorders>
          </w:tcPr>
          <w:p w:rsidR="007A7C36" w:rsidRPr="00A40DDE" w:rsidRDefault="007A7C36" w:rsidP="00E702B6">
            <w:pPr>
              <w:spacing w:after="0" w:line="259" w:lineRule="auto"/>
              <w:ind w:left="159" w:right="0" w:firstLine="0"/>
              <w:jc w:val="left"/>
              <w:rPr>
                <w:sz w:val="28"/>
                <w:szCs w:val="32"/>
              </w:rPr>
            </w:pPr>
            <w:r w:rsidRPr="00A40DDE">
              <w:rPr>
                <w:rFonts w:ascii="Calibri" w:eastAsia="Calibri" w:hAnsi="Calibri" w:cs="Calibri"/>
                <w:sz w:val="22"/>
                <w:szCs w:val="32"/>
              </w:rPr>
              <w:t>UG</w:t>
            </w:r>
            <w:r w:rsidRPr="00A40DDE">
              <w:rPr>
                <w:rFonts w:ascii="Calibri" w:eastAsia="Calibri" w:hAnsi="Calibri" w:cs="Calibri"/>
                <w:sz w:val="16"/>
                <w:szCs w:val="32"/>
              </w:rPr>
              <w:t>t−</w:t>
            </w:r>
            <w:r w:rsidRPr="00A40DDE">
              <w:rPr>
                <w:sz w:val="16"/>
                <w:szCs w:val="32"/>
              </w:rPr>
              <w:t>1</w:t>
            </w:r>
          </w:p>
        </w:tc>
        <w:tc>
          <w:tcPr>
            <w:tcW w:w="4046" w:type="dxa"/>
            <w:tcBorders>
              <w:top w:val="nil"/>
              <w:left w:val="nil"/>
              <w:bottom w:val="nil"/>
              <w:right w:val="nil"/>
            </w:tcBorders>
          </w:tcPr>
          <w:p w:rsidR="007A7C36" w:rsidRPr="00A40DDE" w:rsidRDefault="007A7C36" w:rsidP="00E702B6">
            <w:pPr>
              <w:spacing w:after="0" w:line="259" w:lineRule="auto"/>
              <w:ind w:right="530" w:firstLine="0"/>
              <w:jc w:val="right"/>
              <w:rPr>
                <w:sz w:val="28"/>
                <w:szCs w:val="32"/>
              </w:rPr>
            </w:pPr>
            <w:r w:rsidRPr="00A40DDE">
              <w:rPr>
                <w:sz w:val="22"/>
                <w:szCs w:val="32"/>
              </w:rPr>
              <w:t>2.95</w:t>
            </w:r>
          </w:p>
        </w:tc>
        <w:tc>
          <w:tcPr>
            <w:tcW w:w="616" w:type="dxa"/>
            <w:tcBorders>
              <w:top w:val="nil"/>
              <w:left w:val="nil"/>
              <w:bottom w:val="nil"/>
              <w:right w:val="nil"/>
            </w:tcBorders>
          </w:tcPr>
          <w:p w:rsidR="007A7C36" w:rsidRPr="00A40DDE" w:rsidRDefault="007A7C36" w:rsidP="00E702B6">
            <w:pPr>
              <w:spacing w:after="0" w:line="259" w:lineRule="auto"/>
              <w:ind w:left="24" w:right="0" w:firstLine="0"/>
              <w:jc w:val="center"/>
              <w:rPr>
                <w:sz w:val="28"/>
                <w:szCs w:val="32"/>
              </w:rPr>
            </w:pPr>
            <w:r w:rsidRPr="00A40DDE">
              <w:rPr>
                <w:sz w:val="22"/>
                <w:szCs w:val="32"/>
              </w:rPr>
              <w:t>6.05</w:t>
            </w:r>
          </w:p>
        </w:tc>
        <w:tc>
          <w:tcPr>
            <w:tcW w:w="471"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r>
      <w:tr w:rsidR="007A7C36" w:rsidRPr="00A40DDE" w:rsidTr="00E702B6">
        <w:trPr>
          <w:trHeight w:val="238"/>
        </w:trPr>
        <w:tc>
          <w:tcPr>
            <w:tcW w:w="1614" w:type="dxa"/>
            <w:tcBorders>
              <w:top w:val="nil"/>
              <w:left w:val="nil"/>
              <w:bottom w:val="nil"/>
              <w:right w:val="nil"/>
            </w:tcBorders>
          </w:tcPr>
          <w:p w:rsidR="007A7C36" w:rsidRPr="00A40DDE" w:rsidRDefault="007A7C36" w:rsidP="00E702B6">
            <w:pPr>
              <w:spacing w:after="0" w:line="259" w:lineRule="auto"/>
              <w:ind w:left="159" w:right="0" w:firstLine="0"/>
              <w:jc w:val="left"/>
              <w:rPr>
                <w:sz w:val="28"/>
                <w:szCs w:val="32"/>
              </w:rPr>
            </w:pPr>
            <w:r w:rsidRPr="00A40DDE">
              <w:rPr>
                <w:rFonts w:ascii="Calibri" w:eastAsia="Calibri" w:hAnsi="Calibri" w:cs="Calibri"/>
                <w:sz w:val="22"/>
                <w:szCs w:val="32"/>
              </w:rPr>
              <w:t>Other controls</w:t>
            </w:r>
          </w:p>
        </w:tc>
        <w:tc>
          <w:tcPr>
            <w:tcW w:w="4046" w:type="dxa"/>
            <w:tcBorders>
              <w:top w:val="nil"/>
              <w:left w:val="nil"/>
              <w:bottom w:val="nil"/>
              <w:right w:val="nil"/>
            </w:tcBorders>
          </w:tcPr>
          <w:p w:rsidR="007A7C36" w:rsidRPr="00A40DDE" w:rsidRDefault="007A7C36" w:rsidP="00E702B6">
            <w:pPr>
              <w:tabs>
                <w:tab w:val="center" w:pos="936"/>
                <w:tab w:val="center" w:pos="3197"/>
              </w:tabs>
              <w:spacing w:after="0" w:line="259" w:lineRule="auto"/>
              <w:ind w:right="0" w:firstLine="0"/>
              <w:jc w:val="left"/>
              <w:rPr>
                <w:sz w:val="28"/>
                <w:szCs w:val="32"/>
              </w:rPr>
            </w:pPr>
            <w:r w:rsidRPr="00A40DDE">
              <w:rPr>
                <w:rFonts w:ascii="Calibri" w:eastAsia="Calibri" w:hAnsi="Calibri" w:cs="Calibri"/>
                <w:color w:val="000000"/>
                <w:sz w:val="32"/>
                <w:szCs w:val="32"/>
              </w:rPr>
              <w:tab/>
            </w:r>
            <w:r w:rsidRPr="00A40DDE">
              <w:rPr>
                <w:sz w:val="22"/>
                <w:szCs w:val="32"/>
              </w:rPr>
              <w:t>No</w:t>
            </w:r>
            <w:r w:rsidRPr="00A40DDE">
              <w:rPr>
                <w:sz w:val="22"/>
                <w:szCs w:val="32"/>
              </w:rPr>
              <w:tab/>
              <w:t>Yes</w:t>
            </w:r>
          </w:p>
        </w:tc>
        <w:tc>
          <w:tcPr>
            <w:tcW w:w="616"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471"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r>
      <w:tr w:rsidR="007A7C36" w:rsidRPr="00A40DDE" w:rsidTr="00E702B6">
        <w:trPr>
          <w:trHeight w:val="232"/>
        </w:trPr>
        <w:tc>
          <w:tcPr>
            <w:tcW w:w="1614"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lastRenderedPageBreak/>
              <w:t>N</w:t>
            </w:r>
          </w:p>
        </w:tc>
        <w:tc>
          <w:tcPr>
            <w:tcW w:w="4046" w:type="dxa"/>
            <w:tcBorders>
              <w:top w:val="nil"/>
              <w:left w:val="nil"/>
              <w:bottom w:val="nil"/>
              <w:right w:val="nil"/>
            </w:tcBorders>
          </w:tcPr>
          <w:p w:rsidR="007A7C36" w:rsidRPr="00A40DDE" w:rsidRDefault="007A7C36" w:rsidP="00E702B6">
            <w:pPr>
              <w:tabs>
                <w:tab w:val="center" w:pos="958"/>
                <w:tab w:val="center" w:pos="3201"/>
              </w:tabs>
              <w:spacing w:after="0" w:line="259" w:lineRule="auto"/>
              <w:ind w:right="0" w:firstLine="0"/>
              <w:jc w:val="left"/>
              <w:rPr>
                <w:sz w:val="28"/>
                <w:szCs w:val="32"/>
              </w:rPr>
            </w:pPr>
            <w:r w:rsidRPr="00A40DDE">
              <w:rPr>
                <w:rFonts w:ascii="Calibri" w:eastAsia="Calibri" w:hAnsi="Calibri" w:cs="Calibri"/>
                <w:color w:val="000000"/>
                <w:sz w:val="32"/>
                <w:szCs w:val="32"/>
              </w:rPr>
              <w:tab/>
            </w:r>
            <w:r w:rsidRPr="00A40DDE">
              <w:rPr>
                <w:sz w:val="22"/>
                <w:szCs w:val="32"/>
              </w:rPr>
              <w:t>917</w:t>
            </w:r>
            <w:r w:rsidRPr="00A40DDE">
              <w:rPr>
                <w:sz w:val="22"/>
                <w:szCs w:val="32"/>
              </w:rPr>
              <w:tab/>
              <w:t>917</w:t>
            </w:r>
          </w:p>
        </w:tc>
        <w:tc>
          <w:tcPr>
            <w:tcW w:w="616"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471"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r>
      <w:tr w:rsidR="007A7C36" w:rsidRPr="00A40DDE" w:rsidTr="00E702B6">
        <w:trPr>
          <w:trHeight w:val="240"/>
        </w:trPr>
        <w:tc>
          <w:tcPr>
            <w:tcW w:w="1614"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Adj.R</w:t>
            </w:r>
            <w:r w:rsidRPr="00A40DDE">
              <w:rPr>
                <w:sz w:val="22"/>
                <w:szCs w:val="32"/>
                <w:vertAlign w:val="superscript"/>
              </w:rPr>
              <w:t>2</w:t>
            </w:r>
          </w:p>
        </w:tc>
        <w:tc>
          <w:tcPr>
            <w:tcW w:w="4046" w:type="dxa"/>
            <w:tcBorders>
              <w:top w:val="nil"/>
              <w:left w:val="nil"/>
              <w:bottom w:val="nil"/>
              <w:right w:val="nil"/>
            </w:tcBorders>
          </w:tcPr>
          <w:p w:rsidR="007A7C36" w:rsidRPr="00A40DDE" w:rsidRDefault="007A7C36" w:rsidP="00E702B6">
            <w:pPr>
              <w:tabs>
                <w:tab w:val="center" w:pos="1121"/>
                <w:tab w:val="center" w:pos="3364"/>
              </w:tabs>
              <w:spacing w:after="0" w:line="259" w:lineRule="auto"/>
              <w:ind w:right="0" w:firstLine="0"/>
              <w:jc w:val="left"/>
              <w:rPr>
                <w:sz w:val="28"/>
                <w:szCs w:val="32"/>
              </w:rPr>
            </w:pPr>
            <w:r w:rsidRPr="00A40DDE">
              <w:rPr>
                <w:rFonts w:ascii="Calibri" w:eastAsia="Calibri" w:hAnsi="Calibri" w:cs="Calibri"/>
                <w:color w:val="000000"/>
                <w:sz w:val="32"/>
                <w:szCs w:val="32"/>
              </w:rPr>
              <w:tab/>
            </w:r>
            <w:r w:rsidRPr="00A40DDE">
              <w:rPr>
                <w:sz w:val="22"/>
                <w:szCs w:val="32"/>
              </w:rPr>
              <w:t>41.7%</w:t>
            </w:r>
            <w:r w:rsidRPr="00A40DDE">
              <w:rPr>
                <w:sz w:val="22"/>
                <w:szCs w:val="32"/>
              </w:rPr>
              <w:tab/>
              <w:t>48.3%</w:t>
            </w:r>
          </w:p>
        </w:tc>
        <w:tc>
          <w:tcPr>
            <w:tcW w:w="616" w:type="dxa"/>
            <w:tcBorders>
              <w:top w:val="nil"/>
              <w:left w:val="nil"/>
              <w:bottom w:val="nil"/>
              <w:right w:val="nil"/>
            </w:tcBorders>
            <w:vAlign w:val="bottom"/>
          </w:tcPr>
          <w:p w:rsidR="007A7C36" w:rsidRPr="00A40DDE" w:rsidRDefault="007A7C36" w:rsidP="00E702B6">
            <w:pPr>
              <w:spacing w:after="160" w:line="259" w:lineRule="auto"/>
              <w:ind w:right="0" w:firstLine="0"/>
              <w:jc w:val="left"/>
              <w:rPr>
                <w:sz w:val="28"/>
                <w:szCs w:val="32"/>
              </w:rPr>
            </w:pPr>
          </w:p>
        </w:tc>
        <w:tc>
          <w:tcPr>
            <w:tcW w:w="471"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r>
      <w:tr w:rsidR="007A7C36" w:rsidRPr="00A40DDE" w:rsidTr="00E702B6">
        <w:trPr>
          <w:trHeight w:val="238"/>
        </w:trPr>
        <w:tc>
          <w:tcPr>
            <w:tcW w:w="1614"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 xml:space="preserve">Test: H0: </w:t>
            </w:r>
            <w:r w:rsidRPr="00A40DDE">
              <w:rPr>
                <w:rFonts w:ascii="Calibri" w:eastAsia="Calibri" w:hAnsi="Calibri" w:cs="Calibri"/>
                <w:sz w:val="22"/>
                <w:szCs w:val="32"/>
              </w:rPr>
              <w:t>α</w:t>
            </w:r>
            <w:r w:rsidRPr="00A40DDE">
              <w:rPr>
                <w:sz w:val="22"/>
                <w:szCs w:val="32"/>
                <w:vertAlign w:val="subscript"/>
              </w:rPr>
              <w:t xml:space="preserve">1 </w:t>
            </w:r>
            <w:r w:rsidRPr="00A40DDE">
              <w:rPr>
                <w:sz w:val="22"/>
                <w:szCs w:val="32"/>
              </w:rPr>
              <w:t xml:space="preserve">&lt; </w:t>
            </w:r>
            <w:r w:rsidRPr="00A40DDE">
              <w:rPr>
                <w:rFonts w:ascii="Calibri" w:eastAsia="Calibri" w:hAnsi="Calibri" w:cs="Calibri"/>
                <w:sz w:val="22"/>
                <w:szCs w:val="32"/>
              </w:rPr>
              <w:t>−</w:t>
            </w:r>
            <w:r w:rsidRPr="00A40DDE">
              <w:rPr>
                <w:sz w:val="22"/>
                <w:szCs w:val="32"/>
              </w:rPr>
              <w:t>100</w:t>
            </w:r>
          </w:p>
        </w:tc>
        <w:tc>
          <w:tcPr>
            <w:tcW w:w="4661" w:type="dxa"/>
            <w:gridSpan w:val="2"/>
            <w:tcBorders>
              <w:top w:val="nil"/>
              <w:left w:val="nil"/>
              <w:bottom w:val="nil"/>
              <w:right w:val="nil"/>
            </w:tcBorders>
          </w:tcPr>
          <w:p w:rsidR="007A7C36" w:rsidRPr="00A40DDE" w:rsidRDefault="007A7C36" w:rsidP="00E702B6">
            <w:pPr>
              <w:tabs>
                <w:tab w:val="center" w:pos="1343"/>
                <w:tab w:val="center" w:pos="3586"/>
              </w:tabs>
              <w:spacing w:after="0" w:line="259" w:lineRule="auto"/>
              <w:ind w:right="0" w:firstLine="0"/>
              <w:jc w:val="left"/>
              <w:rPr>
                <w:sz w:val="28"/>
                <w:szCs w:val="32"/>
              </w:rPr>
            </w:pPr>
            <w:r w:rsidRPr="00A40DDE">
              <w:rPr>
                <w:rFonts w:ascii="Calibri" w:eastAsia="Calibri" w:hAnsi="Calibri" w:cs="Calibri"/>
                <w:color w:val="000000"/>
                <w:sz w:val="32"/>
                <w:szCs w:val="32"/>
              </w:rPr>
              <w:tab/>
            </w:r>
            <w:r w:rsidRPr="00A40DDE">
              <w:rPr>
                <w:sz w:val="22"/>
                <w:szCs w:val="32"/>
              </w:rPr>
              <w:t>t-statistic = 1.45</w:t>
            </w:r>
            <w:r w:rsidRPr="00A40DDE">
              <w:rPr>
                <w:sz w:val="22"/>
                <w:szCs w:val="32"/>
              </w:rPr>
              <w:tab/>
              <w:t>t-statistic = 6.92</w:t>
            </w:r>
          </w:p>
        </w:tc>
        <w:tc>
          <w:tcPr>
            <w:tcW w:w="471" w:type="dxa"/>
            <w:tcBorders>
              <w:top w:val="nil"/>
              <w:left w:val="nil"/>
              <w:bottom w:val="nil"/>
              <w:right w:val="nil"/>
            </w:tcBorders>
            <w:vAlign w:val="bottom"/>
          </w:tcPr>
          <w:p w:rsidR="007A7C36" w:rsidRPr="00A40DDE" w:rsidRDefault="007A7C36" w:rsidP="00E702B6">
            <w:pPr>
              <w:spacing w:after="160" w:line="259" w:lineRule="auto"/>
              <w:ind w:right="0" w:firstLine="0"/>
              <w:jc w:val="left"/>
              <w:rPr>
                <w:sz w:val="28"/>
                <w:szCs w:val="32"/>
              </w:rPr>
            </w:pPr>
          </w:p>
        </w:tc>
      </w:tr>
    </w:tbl>
    <w:p w:rsidR="007A7C36" w:rsidRPr="00A40DDE" w:rsidRDefault="007A7C36" w:rsidP="007A7C36">
      <w:pPr>
        <w:spacing w:after="0" w:line="259" w:lineRule="auto"/>
        <w:ind w:left="-5" w:right="0" w:hanging="10"/>
        <w:jc w:val="left"/>
        <w:rPr>
          <w:sz w:val="28"/>
          <w:szCs w:val="32"/>
        </w:rPr>
      </w:pPr>
      <w:r w:rsidRPr="00A40DDE">
        <w:rPr>
          <w:sz w:val="22"/>
          <w:szCs w:val="32"/>
        </w:rPr>
        <w:t xml:space="preserve">Panel C: Banks with </w:t>
      </w:r>
      <w:r w:rsidRPr="00A40DDE">
        <w:rPr>
          <w:rFonts w:ascii="Calibri" w:eastAsia="Calibri" w:hAnsi="Calibri" w:cs="Calibri"/>
          <w:sz w:val="22"/>
          <w:szCs w:val="32"/>
        </w:rPr>
        <w:t xml:space="preserve">NI </w:t>
      </w:r>
      <w:r w:rsidRPr="00A40DDE">
        <w:rPr>
          <w:sz w:val="22"/>
          <w:szCs w:val="32"/>
        </w:rPr>
        <w:t xml:space="preserve">&lt; 0 and </w:t>
      </w:r>
      <w:r w:rsidRPr="00A40DDE">
        <w:rPr>
          <w:rFonts w:ascii="Calibri" w:eastAsia="Calibri" w:hAnsi="Calibri" w:cs="Calibri"/>
          <w:sz w:val="22"/>
          <w:szCs w:val="32"/>
        </w:rPr>
        <w:t xml:space="preserve">NI </w:t>
      </w:r>
      <w:r w:rsidRPr="00A40DDE">
        <w:rPr>
          <w:sz w:val="22"/>
          <w:szCs w:val="32"/>
        </w:rPr>
        <w:t xml:space="preserve">+ </w:t>
      </w:r>
      <w:r w:rsidRPr="00A40DDE">
        <w:rPr>
          <w:rFonts w:ascii="Calibri" w:eastAsia="Calibri" w:hAnsi="Calibri" w:cs="Calibri"/>
          <w:sz w:val="22"/>
          <w:szCs w:val="32"/>
        </w:rPr>
        <w:t xml:space="preserve">UG </w:t>
      </w:r>
      <w:r w:rsidRPr="00A40DDE">
        <w:rPr>
          <w:sz w:val="22"/>
          <w:szCs w:val="32"/>
        </w:rPr>
        <w:t xml:space="preserve">&gt;= 0, permitting the </w:t>
      </w:r>
      <w:r w:rsidRPr="00A40DDE">
        <w:rPr>
          <w:rFonts w:ascii="Calibri" w:eastAsia="Calibri" w:hAnsi="Calibri" w:cs="Calibri"/>
          <w:sz w:val="22"/>
          <w:szCs w:val="32"/>
        </w:rPr>
        <w:t xml:space="preserve">NI </w:t>
      </w:r>
      <w:r w:rsidRPr="00A40DDE">
        <w:rPr>
          <w:sz w:val="22"/>
          <w:szCs w:val="32"/>
        </w:rPr>
        <w:t>coefficient to vary for loss avoiders</w:t>
      </w:r>
    </w:p>
    <w:tbl>
      <w:tblPr>
        <w:tblStyle w:val="TableGrid"/>
        <w:tblW w:w="4295" w:type="dxa"/>
        <w:tblInd w:w="0" w:type="dxa"/>
        <w:tblLook w:val="04A0" w:firstRow="1" w:lastRow="0" w:firstColumn="1" w:lastColumn="0" w:noHBand="0" w:noVBand="1"/>
      </w:tblPr>
      <w:tblGrid>
        <w:gridCol w:w="1973"/>
        <w:gridCol w:w="905"/>
        <w:gridCol w:w="935"/>
        <w:gridCol w:w="605"/>
      </w:tblGrid>
      <w:tr w:rsidR="007A7C36" w:rsidRPr="00A40DDE" w:rsidTr="00E702B6">
        <w:trPr>
          <w:trHeight w:val="415"/>
        </w:trPr>
        <w:tc>
          <w:tcPr>
            <w:tcW w:w="1614" w:type="dxa"/>
            <w:tcBorders>
              <w:top w:val="nil"/>
              <w:left w:val="nil"/>
              <w:bottom w:val="nil"/>
              <w:right w:val="nil"/>
            </w:tcBorders>
          </w:tcPr>
          <w:p w:rsidR="007A7C36" w:rsidRPr="00A40DDE" w:rsidRDefault="007A7C36" w:rsidP="00E702B6">
            <w:pPr>
              <w:spacing w:after="50" w:line="259" w:lineRule="auto"/>
              <w:ind w:right="0" w:firstLine="0"/>
              <w:jc w:val="left"/>
              <w:rPr>
                <w:sz w:val="28"/>
                <w:szCs w:val="32"/>
              </w:rPr>
            </w:pPr>
            <w:r w:rsidRPr="00A40DDE">
              <w:rPr>
                <w:sz w:val="22"/>
                <w:szCs w:val="32"/>
              </w:rPr>
              <w:t>Variables</w:t>
            </w:r>
          </w:p>
          <w:p w:rsidR="007A7C36" w:rsidRPr="00A40DDE" w:rsidRDefault="007A7C36" w:rsidP="00E702B6">
            <w:pPr>
              <w:spacing w:after="0" w:line="259" w:lineRule="auto"/>
              <w:ind w:right="0" w:firstLine="0"/>
              <w:jc w:val="left"/>
              <w:rPr>
                <w:sz w:val="28"/>
                <w:szCs w:val="32"/>
              </w:rPr>
            </w:pPr>
            <w:r w:rsidRPr="00A40DDE">
              <w:rPr>
                <w:sz w:val="22"/>
                <w:szCs w:val="32"/>
              </w:rPr>
              <w:t>Experimental variables:</w:t>
            </w:r>
          </w:p>
        </w:tc>
        <w:tc>
          <w:tcPr>
            <w:tcW w:w="761"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sz w:val="22"/>
                <w:szCs w:val="32"/>
              </w:rPr>
              <w:t>Prediction</w:t>
            </w:r>
          </w:p>
        </w:tc>
        <w:tc>
          <w:tcPr>
            <w:tcW w:w="1463" w:type="dxa"/>
            <w:tcBorders>
              <w:top w:val="nil"/>
              <w:left w:val="nil"/>
              <w:bottom w:val="nil"/>
              <w:right w:val="nil"/>
            </w:tcBorders>
          </w:tcPr>
          <w:p w:rsidR="007A7C36" w:rsidRPr="00A40DDE" w:rsidRDefault="007A7C36" w:rsidP="00E702B6">
            <w:pPr>
              <w:spacing w:after="0" w:line="259" w:lineRule="auto"/>
              <w:ind w:left="79" w:right="0" w:firstLine="0"/>
              <w:jc w:val="left"/>
              <w:rPr>
                <w:sz w:val="28"/>
                <w:szCs w:val="32"/>
              </w:rPr>
            </w:pPr>
            <w:proofErr w:type="spellStart"/>
            <w:r w:rsidRPr="00A40DDE">
              <w:rPr>
                <w:sz w:val="22"/>
                <w:szCs w:val="32"/>
              </w:rPr>
              <w:t>Coeff</w:t>
            </w:r>
            <w:proofErr w:type="spellEnd"/>
            <w:r w:rsidRPr="00A40DDE">
              <w:rPr>
                <w:sz w:val="22"/>
                <w:szCs w:val="32"/>
              </w:rPr>
              <w:t>.</w:t>
            </w:r>
          </w:p>
        </w:tc>
        <w:tc>
          <w:tcPr>
            <w:tcW w:w="458" w:type="dxa"/>
            <w:tcBorders>
              <w:top w:val="nil"/>
              <w:left w:val="nil"/>
              <w:bottom w:val="nil"/>
              <w:right w:val="nil"/>
            </w:tcBorders>
          </w:tcPr>
          <w:p w:rsidR="007A7C36" w:rsidRPr="00A40DDE" w:rsidRDefault="007A7C36" w:rsidP="00E702B6">
            <w:pPr>
              <w:spacing w:after="0" w:line="259" w:lineRule="auto"/>
              <w:ind w:left="82" w:right="0" w:firstLine="0"/>
              <w:jc w:val="left"/>
              <w:rPr>
                <w:sz w:val="28"/>
                <w:szCs w:val="32"/>
              </w:rPr>
            </w:pPr>
            <w:r w:rsidRPr="00A40DDE">
              <w:rPr>
                <w:sz w:val="22"/>
                <w:szCs w:val="32"/>
              </w:rPr>
              <w:t>t-stat.</w:t>
            </w:r>
          </w:p>
        </w:tc>
      </w:tr>
      <w:tr w:rsidR="007A7C36" w:rsidRPr="00A40DDE" w:rsidTr="00E702B6">
        <w:trPr>
          <w:trHeight w:val="279"/>
        </w:trPr>
        <w:tc>
          <w:tcPr>
            <w:tcW w:w="1614" w:type="dxa"/>
            <w:tcBorders>
              <w:top w:val="nil"/>
              <w:left w:val="nil"/>
              <w:bottom w:val="nil"/>
              <w:right w:val="nil"/>
            </w:tcBorders>
          </w:tcPr>
          <w:p w:rsidR="007A7C36" w:rsidRPr="00A40DDE" w:rsidRDefault="007A7C36" w:rsidP="00E702B6">
            <w:pPr>
              <w:spacing w:after="0" w:line="259" w:lineRule="auto"/>
              <w:ind w:left="159" w:right="0" w:firstLine="0"/>
              <w:jc w:val="left"/>
              <w:rPr>
                <w:sz w:val="28"/>
                <w:szCs w:val="32"/>
              </w:rPr>
            </w:pPr>
            <w:proofErr w:type="spellStart"/>
            <w:r w:rsidRPr="00A40DDE">
              <w:rPr>
                <w:rFonts w:ascii="Calibri" w:eastAsia="Calibri" w:hAnsi="Calibri" w:cs="Calibri"/>
                <w:sz w:val="22"/>
                <w:szCs w:val="32"/>
              </w:rPr>
              <w:t>NIneg</w:t>
            </w:r>
            <w:proofErr w:type="spellEnd"/>
          </w:p>
        </w:tc>
        <w:tc>
          <w:tcPr>
            <w:tcW w:w="761" w:type="dxa"/>
            <w:tcBorders>
              <w:top w:val="nil"/>
              <w:left w:val="nil"/>
              <w:bottom w:val="nil"/>
              <w:right w:val="nil"/>
            </w:tcBorders>
          </w:tcPr>
          <w:p w:rsidR="007A7C36" w:rsidRPr="00A40DDE" w:rsidRDefault="007A7C36" w:rsidP="00E702B6">
            <w:pPr>
              <w:spacing w:after="0" w:line="259" w:lineRule="auto"/>
              <w:ind w:left="120" w:right="0" w:firstLine="0"/>
              <w:jc w:val="left"/>
              <w:rPr>
                <w:sz w:val="28"/>
                <w:szCs w:val="32"/>
              </w:rPr>
            </w:pPr>
            <w:r w:rsidRPr="00A40DDE">
              <w:rPr>
                <w:rFonts w:ascii="Calibri" w:eastAsia="Calibri" w:hAnsi="Calibri" w:cs="Calibri"/>
                <w:sz w:val="22"/>
                <w:szCs w:val="32"/>
              </w:rPr>
              <w:t>−</w:t>
            </w:r>
          </w:p>
        </w:tc>
        <w:tc>
          <w:tcPr>
            <w:tcW w:w="1463" w:type="dxa"/>
            <w:tcBorders>
              <w:top w:val="nil"/>
              <w:left w:val="nil"/>
              <w:bottom w:val="nil"/>
              <w:right w:val="nil"/>
            </w:tcBorders>
          </w:tcPr>
          <w:p w:rsidR="007A7C36" w:rsidRPr="00A40DDE" w:rsidRDefault="007A7C36" w:rsidP="00E702B6">
            <w:pPr>
              <w:spacing w:after="0" w:line="259" w:lineRule="auto"/>
              <w:ind w:left="79" w:right="0" w:firstLine="0"/>
              <w:jc w:val="left"/>
              <w:rPr>
                <w:sz w:val="28"/>
                <w:szCs w:val="32"/>
              </w:rPr>
            </w:pPr>
            <w:r w:rsidRPr="00A40DDE">
              <w:rPr>
                <w:rFonts w:ascii="Calibri" w:eastAsia="Calibri" w:hAnsi="Calibri" w:cs="Calibri"/>
                <w:sz w:val="22"/>
                <w:szCs w:val="32"/>
              </w:rPr>
              <w:t>−</w:t>
            </w:r>
            <w:r w:rsidRPr="00A40DDE">
              <w:rPr>
                <w:sz w:val="22"/>
                <w:szCs w:val="32"/>
              </w:rPr>
              <w:t>6.13***</w:t>
            </w:r>
          </w:p>
        </w:tc>
        <w:tc>
          <w:tcPr>
            <w:tcW w:w="458" w:type="dxa"/>
            <w:tcBorders>
              <w:top w:val="nil"/>
              <w:left w:val="nil"/>
              <w:bottom w:val="nil"/>
              <w:right w:val="nil"/>
            </w:tcBorders>
          </w:tcPr>
          <w:p w:rsidR="007A7C36" w:rsidRPr="00A40DDE" w:rsidRDefault="007A7C36" w:rsidP="00E702B6">
            <w:pPr>
              <w:spacing w:after="0" w:line="259" w:lineRule="auto"/>
              <w:ind w:left="82" w:right="0" w:firstLine="0"/>
              <w:jc w:val="left"/>
              <w:rPr>
                <w:sz w:val="28"/>
                <w:szCs w:val="32"/>
              </w:rPr>
            </w:pPr>
            <w:r w:rsidRPr="00A40DDE">
              <w:rPr>
                <w:rFonts w:ascii="Calibri" w:eastAsia="Calibri" w:hAnsi="Calibri" w:cs="Calibri"/>
                <w:sz w:val="22"/>
                <w:szCs w:val="32"/>
              </w:rPr>
              <w:t>−</w:t>
            </w:r>
            <w:r w:rsidRPr="00A40DDE">
              <w:rPr>
                <w:sz w:val="22"/>
                <w:szCs w:val="32"/>
              </w:rPr>
              <w:t>8.97</w:t>
            </w:r>
          </w:p>
        </w:tc>
      </w:tr>
      <w:tr w:rsidR="007A7C36" w:rsidRPr="00A40DDE" w:rsidTr="00E702B6">
        <w:trPr>
          <w:trHeight w:val="219"/>
        </w:trPr>
        <w:tc>
          <w:tcPr>
            <w:tcW w:w="1614" w:type="dxa"/>
            <w:tcBorders>
              <w:top w:val="nil"/>
              <w:left w:val="nil"/>
              <w:bottom w:val="nil"/>
              <w:right w:val="nil"/>
            </w:tcBorders>
          </w:tcPr>
          <w:p w:rsidR="007A7C36" w:rsidRPr="00A40DDE" w:rsidRDefault="007A7C36" w:rsidP="00E702B6">
            <w:pPr>
              <w:spacing w:after="0" w:line="259" w:lineRule="auto"/>
              <w:ind w:left="159" w:right="0" w:firstLine="0"/>
              <w:jc w:val="left"/>
              <w:rPr>
                <w:sz w:val="28"/>
                <w:szCs w:val="32"/>
              </w:rPr>
            </w:pPr>
            <w:proofErr w:type="spellStart"/>
            <w:r w:rsidRPr="00A40DDE">
              <w:rPr>
                <w:rFonts w:ascii="Calibri" w:eastAsia="Calibri" w:hAnsi="Calibri" w:cs="Calibri"/>
                <w:sz w:val="22"/>
                <w:szCs w:val="32"/>
              </w:rPr>
              <w:t>Loss_avoider</w:t>
            </w:r>
            <w:proofErr w:type="spellEnd"/>
          </w:p>
        </w:tc>
        <w:tc>
          <w:tcPr>
            <w:tcW w:w="761" w:type="dxa"/>
            <w:tcBorders>
              <w:top w:val="nil"/>
              <w:left w:val="nil"/>
              <w:bottom w:val="nil"/>
              <w:right w:val="nil"/>
            </w:tcBorders>
          </w:tcPr>
          <w:p w:rsidR="007A7C36" w:rsidRPr="00A40DDE" w:rsidRDefault="007A7C36" w:rsidP="00E702B6">
            <w:pPr>
              <w:spacing w:after="0" w:line="259" w:lineRule="auto"/>
              <w:ind w:left="120" w:right="0" w:firstLine="0"/>
              <w:jc w:val="left"/>
              <w:rPr>
                <w:sz w:val="28"/>
                <w:szCs w:val="32"/>
              </w:rPr>
            </w:pPr>
            <w:r w:rsidRPr="00A40DDE">
              <w:rPr>
                <w:sz w:val="22"/>
                <w:szCs w:val="32"/>
              </w:rPr>
              <w:t>+</w:t>
            </w:r>
          </w:p>
        </w:tc>
        <w:tc>
          <w:tcPr>
            <w:tcW w:w="1463" w:type="dxa"/>
            <w:tcBorders>
              <w:top w:val="nil"/>
              <w:left w:val="nil"/>
              <w:bottom w:val="nil"/>
              <w:right w:val="nil"/>
            </w:tcBorders>
          </w:tcPr>
          <w:p w:rsidR="007A7C36" w:rsidRPr="00A40DDE" w:rsidRDefault="007A7C36" w:rsidP="00E702B6">
            <w:pPr>
              <w:spacing w:after="0" w:line="259" w:lineRule="auto"/>
              <w:ind w:left="184" w:right="0" w:firstLine="0"/>
              <w:jc w:val="left"/>
              <w:rPr>
                <w:sz w:val="28"/>
                <w:szCs w:val="32"/>
              </w:rPr>
            </w:pPr>
            <w:r w:rsidRPr="00A40DDE">
              <w:rPr>
                <w:sz w:val="22"/>
                <w:szCs w:val="32"/>
              </w:rPr>
              <w:t>0.05***</w:t>
            </w:r>
          </w:p>
        </w:tc>
        <w:tc>
          <w:tcPr>
            <w:tcW w:w="458" w:type="dxa"/>
            <w:tcBorders>
              <w:top w:val="nil"/>
              <w:left w:val="nil"/>
              <w:bottom w:val="nil"/>
              <w:right w:val="nil"/>
            </w:tcBorders>
          </w:tcPr>
          <w:p w:rsidR="007A7C36" w:rsidRPr="00A40DDE" w:rsidRDefault="007A7C36" w:rsidP="00E702B6">
            <w:pPr>
              <w:spacing w:after="0" w:line="259" w:lineRule="auto"/>
              <w:ind w:left="108" w:right="0" w:firstLine="0"/>
              <w:jc w:val="left"/>
              <w:rPr>
                <w:sz w:val="28"/>
                <w:szCs w:val="32"/>
              </w:rPr>
            </w:pPr>
            <w:r w:rsidRPr="00A40DDE">
              <w:rPr>
                <w:sz w:val="22"/>
                <w:szCs w:val="32"/>
              </w:rPr>
              <w:t>16.86</w:t>
            </w:r>
          </w:p>
        </w:tc>
      </w:tr>
      <w:tr w:rsidR="007A7C36" w:rsidRPr="00A40DDE" w:rsidTr="00E702B6">
        <w:trPr>
          <w:trHeight w:val="524"/>
        </w:trPr>
        <w:tc>
          <w:tcPr>
            <w:tcW w:w="1614" w:type="dxa"/>
            <w:tcBorders>
              <w:top w:val="nil"/>
              <w:left w:val="nil"/>
              <w:bottom w:val="nil"/>
              <w:right w:val="nil"/>
            </w:tcBorders>
          </w:tcPr>
          <w:p w:rsidR="007A7C36" w:rsidRPr="00A40DDE" w:rsidRDefault="007A7C36" w:rsidP="00E702B6">
            <w:pPr>
              <w:spacing w:after="0" w:line="259" w:lineRule="auto"/>
              <w:ind w:right="0" w:firstLine="159"/>
              <w:jc w:val="left"/>
              <w:rPr>
                <w:sz w:val="28"/>
                <w:szCs w:val="32"/>
              </w:rPr>
            </w:pPr>
            <w:proofErr w:type="spellStart"/>
            <w:r w:rsidRPr="00A40DDE">
              <w:rPr>
                <w:rFonts w:ascii="Calibri" w:eastAsia="Calibri" w:hAnsi="Calibri" w:cs="Calibri"/>
                <w:sz w:val="22"/>
                <w:szCs w:val="32"/>
              </w:rPr>
              <w:t>NIneg</w:t>
            </w:r>
            <w:r w:rsidRPr="00A40DDE">
              <w:rPr>
                <w:sz w:val="22"/>
                <w:szCs w:val="32"/>
              </w:rPr>
              <w:t>×</w:t>
            </w:r>
            <w:r w:rsidRPr="00A40DDE">
              <w:rPr>
                <w:rFonts w:ascii="Calibri" w:eastAsia="Calibri" w:hAnsi="Calibri" w:cs="Calibri"/>
                <w:sz w:val="22"/>
                <w:szCs w:val="32"/>
              </w:rPr>
              <w:t>Loss_avoider</w:t>
            </w:r>
            <w:proofErr w:type="spellEnd"/>
            <w:r w:rsidRPr="00A40DDE">
              <w:rPr>
                <w:rFonts w:ascii="Calibri" w:eastAsia="Calibri" w:hAnsi="Calibri" w:cs="Calibri"/>
                <w:sz w:val="22"/>
                <w:szCs w:val="32"/>
              </w:rPr>
              <w:t xml:space="preserve"> </w:t>
            </w:r>
            <w:r w:rsidRPr="00A40DDE">
              <w:rPr>
                <w:sz w:val="22"/>
                <w:szCs w:val="32"/>
              </w:rPr>
              <w:t>Control variables:</w:t>
            </w:r>
          </w:p>
        </w:tc>
        <w:tc>
          <w:tcPr>
            <w:tcW w:w="761" w:type="dxa"/>
            <w:tcBorders>
              <w:top w:val="nil"/>
              <w:left w:val="nil"/>
              <w:bottom w:val="nil"/>
              <w:right w:val="nil"/>
            </w:tcBorders>
          </w:tcPr>
          <w:p w:rsidR="007A7C36" w:rsidRPr="00A40DDE" w:rsidRDefault="007A7C36" w:rsidP="00E702B6">
            <w:pPr>
              <w:spacing w:after="0" w:line="259" w:lineRule="auto"/>
              <w:ind w:left="120" w:right="0" w:firstLine="0"/>
              <w:jc w:val="left"/>
              <w:rPr>
                <w:sz w:val="28"/>
                <w:szCs w:val="32"/>
              </w:rPr>
            </w:pPr>
            <w:r w:rsidRPr="00A40DDE">
              <w:rPr>
                <w:rFonts w:ascii="Calibri" w:eastAsia="Calibri" w:hAnsi="Calibri" w:cs="Calibri"/>
                <w:sz w:val="22"/>
                <w:szCs w:val="32"/>
              </w:rPr>
              <w:t>−</w:t>
            </w:r>
          </w:p>
        </w:tc>
        <w:tc>
          <w:tcPr>
            <w:tcW w:w="1463" w:type="dxa"/>
            <w:tcBorders>
              <w:top w:val="nil"/>
              <w:left w:val="nil"/>
              <w:bottom w:val="nil"/>
              <w:right w:val="nil"/>
            </w:tcBorders>
          </w:tcPr>
          <w:p w:rsidR="007A7C36" w:rsidRPr="00A40DDE" w:rsidRDefault="007A7C36" w:rsidP="00E702B6">
            <w:pPr>
              <w:spacing w:after="0" w:line="259" w:lineRule="auto"/>
              <w:ind w:right="0" w:firstLine="0"/>
              <w:jc w:val="left"/>
              <w:rPr>
                <w:sz w:val="28"/>
                <w:szCs w:val="32"/>
              </w:rPr>
            </w:pPr>
            <w:r w:rsidRPr="00A40DDE">
              <w:rPr>
                <w:rFonts w:ascii="Calibri" w:eastAsia="Calibri" w:hAnsi="Calibri" w:cs="Calibri"/>
                <w:sz w:val="22"/>
                <w:szCs w:val="32"/>
              </w:rPr>
              <w:t>−</w:t>
            </w:r>
            <w:r w:rsidRPr="00A40DDE">
              <w:rPr>
                <w:sz w:val="22"/>
                <w:szCs w:val="32"/>
              </w:rPr>
              <w:t>78.29***</w:t>
            </w:r>
          </w:p>
        </w:tc>
        <w:tc>
          <w:tcPr>
            <w:tcW w:w="458" w:type="dxa"/>
            <w:tcBorders>
              <w:top w:val="nil"/>
              <w:left w:val="nil"/>
              <w:bottom w:val="nil"/>
              <w:right w:val="nil"/>
            </w:tcBorders>
          </w:tcPr>
          <w:p w:rsidR="007A7C36" w:rsidRPr="00A40DDE" w:rsidRDefault="007A7C36" w:rsidP="00E702B6">
            <w:pPr>
              <w:spacing w:after="0" w:line="259" w:lineRule="auto"/>
              <w:ind w:right="0" w:firstLine="0"/>
              <w:rPr>
                <w:sz w:val="28"/>
                <w:szCs w:val="32"/>
              </w:rPr>
            </w:pPr>
            <w:r w:rsidRPr="00A40DDE">
              <w:rPr>
                <w:rFonts w:ascii="Calibri" w:eastAsia="Calibri" w:hAnsi="Calibri" w:cs="Calibri"/>
                <w:sz w:val="22"/>
                <w:szCs w:val="32"/>
              </w:rPr>
              <w:t>−</w:t>
            </w:r>
            <w:r w:rsidRPr="00A40DDE">
              <w:rPr>
                <w:sz w:val="22"/>
                <w:szCs w:val="32"/>
              </w:rPr>
              <w:t>19.48</w:t>
            </w:r>
          </w:p>
        </w:tc>
      </w:tr>
      <w:tr w:rsidR="007A7C36" w:rsidRPr="00A40DDE" w:rsidTr="00E702B6">
        <w:trPr>
          <w:trHeight w:val="249"/>
        </w:trPr>
        <w:tc>
          <w:tcPr>
            <w:tcW w:w="1614" w:type="dxa"/>
            <w:tcBorders>
              <w:top w:val="nil"/>
              <w:left w:val="nil"/>
              <w:bottom w:val="nil"/>
              <w:right w:val="nil"/>
            </w:tcBorders>
          </w:tcPr>
          <w:p w:rsidR="007A7C36" w:rsidRPr="00A40DDE" w:rsidRDefault="007A7C36" w:rsidP="00E702B6">
            <w:pPr>
              <w:spacing w:after="0" w:line="259" w:lineRule="auto"/>
              <w:ind w:left="159" w:right="0" w:firstLine="0"/>
              <w:jc w:val="left"/>
              <w:rPr>
                <w:sz w:val="28"/>
                <w:szCs w:val="32"/>
              </w:rPr>
            </w:pPr>
            <w:proofErr w:type="spellStart"/>
            <w:r w:rsidRPr="00A40DDE">
              <w:rPr>
                <w:rFonts w:ascii="Calibri" w:eastAsia="Calibri" w:hAnsi="Calibri" w:cs="Calibri"/>
                <w:sz w:val="22"/>
                <w:szCs w:val="32"/>
              </w:rPr>
              <w:t>RegCapLow</w:t>
            </w:r>
            <w:proofErr w:type="spellEnd"/>
          </w:p>
        </w:tc>
        <w:tc>
          <w:tcPr>
            <w:tcW w:w="761"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1463" w:type="dxa"/>
            <w:tcBorders>
              <w:top w:val="nil"/>
              <w:left w:val="nil"/>
              <w:bottom w:val="nil"/>
              <w:right w:val="nil"/>
            </w:tcBorders>
          </w:tcPr>
          <w:p w:rsidR="007A7C36" w:rsidRPr="00A40DDE" w:rsidRDefault="007A7C36" w:rsidP="00E702B6">
            <w:pPr>
              <w:spacing w:after="0" w:line="259" w:lineRule="auto"/>
              <w:ind w:left="184" w:right="0" w:firstLine="0"/>
              <w:jc w:val="left"/>
              <w:rPr>
                <w:sz w:val="28"/>
                <w:szCs w:val="32"/>
              </w:rPr>
            </w:pPr>
            <w:r w:rsidRPr="00A40DDE">
              <w:rPr>
                <w:sz w:val="22"/>
                <w:szCs w:val="32"/>
              </w:rPr>
              <w:t>0.01</w:t>
            </w:r>
          </w:p>
        </w:tc>
        <w:tc>
          <w:tcPr>
            <w:tcW w:w="458" w:type="dxa"/>
            <w:tcBorders>
              <w:top w:val="nil"/>
              <w:left w:val="nil"/>
              <w:bottom w:val="nil"/>
              <w:right w:val="nil"/>
            </w:tcBorders>
          </w:tcPr>
          <w:p w:rsidR="007A7C36" w:rsidRPr="00A40DDE" w:rsidRDefault="007A7C36" w:rsidP="00E702B6">
            <w:pPr>
              <w:spacing w:after="0" w:line="259" w:lineRule="auto"/>
              <w:ind w:right="5" w:firstLine="0"/>
              <w:jc w:val="right"/>
              <w:rPr>
                <w:sz w:val="28"/>
                <w:szCs w:val="32"/>
              </w:rPr>
            </w:pPr>
            <w:r w:rsidRPr="00A40DDE">
              <w:rPr>
                <w:sz w:val="22"/>
                <w:szCs w:val="32"/>
              </w:rPr>
              <w:t>1.07</w:t>
            </w:r>
          </w:p>
        </w:tc>
      </w:tr>
      <w:tr w:rsidR="007A7C36" w:rsidRPr="00A40DDE" w:rsidTr="00E702B6">
        <w:trPr>
          <w:trHeight w:val="259"/>
        </w:trPr>
        <w:tc>
          <w:tcPr>
            <w:tcW w:w="1614" w:type="dxa"/>
            <w:tcBorders>
              <w:top w:val="nil"/>
              <w:left w:val="nil"/>
              <w:bottom w:val="nil"/>
              <w:right w:val="nil"/>
            </w:tcBorders>
          </w:tcPr>
          <w:p w:rsidR="007A7C36" w:rsidRPr="00A40DDE" w:rsidRDefault="007A7C36" w:rsidP="00E702B6">
            <w:pPr>
              <w:spacing w:after="0" w:line="259" w:lineRule="auto"/>
              <w:ind w:left="159" w:right="0" w:firstLine="0"/>
              <w:jc w:val="left"/>
              <w:rPr>
                <w:sz w:val="28"/>
                <w:szCs w:val="32"/>
              </w:rPr>
            </w:pPr>
            <w:r w:rsidRPr="00A40DDE">
              <w:rPr>
                <w:rFonts w:ascii="Calibri" w:eastAsia="Calibri" w:hAnsi="Calibri" w:cs="Calibri"/>
                <w:sz w:val="22"/>
                <w:szCs w:val="32"/>
              </w:rPr>
              <w:t>UL</w:t>
            </w:r>
            <w:r w:rsidRPr="00A40DDE">
              <w:rPr>
                <w:rFonts w:ascii="Calibri" w:eastAsia="Calibri" w:hAnsi="Calibri" w:cs="Calibri"/>
                <w:sz w:val="16"/>
                <w:szCs w:val="32"/>
              </w:rPr>
              <w:t>t−</w:t>
            </w:r>
            <w:r w:rsidRPr="00A40DDE">
              <w:rPr>
                <w:sz w:val="16"/>
                <w:szCs w:val="32"/>
              </w:rPr>
              <w:t>1</w:t>
            </w:r>
          </w:p>
        </w:tc>
        <w:tc>
          <w:tcPr>
            <w:tcW w:w="761"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1463" w:type="dxa"/>
            <w:tcBorders>
              <w:top w:val="nil"/>
              <w:left w:val="nil"/>
              <w:bottom w:val="nil"/>
              <w:right w:val="nil"/>
            </w:tcBorders>
          </w:tcPr>
          <w:p w:rsidR="007A7C36" w:rsidRPr="00A40DDE" w:rsidRDefault="007A7C36" w:rsidP="00E702B6">
            <w:pPr>
              <w:spacing w:after="0" w:line="259" w:lineRule="auto"/>
              <w:ind w:left="184" w:right="0" w:firstLine="0"/>
              <w:jc w:val="left"/>
              <w:rPr>
                <w:sz w:val="28"/>
                <w:szCs w:val="32"/>
              </w:rPr>
            </w:pPr>
            <w:r w:rsidRPr="00A40DDE">
              <w:rPr>
                <w:sz w:val="22"/>
                <w:szCs w:val="32"/>
              </w:rPr>
              <w:t>3.59</w:t>
            </w:r>
          </w:p>
        </w:tc>
        <w:tc>
          <w:tcPr>
            <w:tcW w:w="458" w:type="dxa"/>
            <w:tcBorders>
              <w:top w:val="nil"/>
              <w:left w:val="nil"/>
              <w:bottom w:val="nil"/>
              <w:right w:val="nil"/>
            </w:tcBorders>
          </w:tcPr>
          <w:p w:rsidR="007A7C36" w:rsidRPr="00A40DDE" w:rsidRDefault="007A7C36" w:rsidP="00E702B6">
            <w:pPr>
              <w:spacing w:after="0" w:line="259" w:lineRule="auto"/>
              <w:ind w:right="9" w:firstLine="0"/>
              <w:jc w:val="right"/>
              <w:rPr>
                <w:sz w:val="28"/>
                <w:szCs w:val="32"/>
              </w:rPr>
            </w:pPr>
            <w:r w:rsidRPr="00A40DDE">
              <w:rPr>
                <w:sz w:val="22"/>
                <w:szCs w:val="32"/>
              </w:rPr>
              <w:t>4.11</w:t>
            </w:r>
          </w:p>
        </w:tc>
      </w:tr>
      <w:tr w:rsidR="007A7C36" w:rsidRPr="00A40DDE" w:rsidTr="00E702B6">
        <w:trPr>
          <w:trHeight w:val="249"/>
        </w:trPr>
        <w:tc>
          <w:tcPr>
            <w:tcW w:w="1614" w:type="dxa"/>
            <w:tcBorders>
              <w:top w:val="nil"/>
              <w:left w:val="nil"/>
              <w:bottom w:val="nil"/>
              <w:right w:val="nil"/>
            </w:tcBorders>
          </w:tcPr>
          <w:p w:rsidR="007A7C36" w:rsidRPr="00A40DDE" w:rsidRDefault="007A7C36" w:rsidP="00E702B6">
            <w:pPr>
              <w:spacing w:after="0" w:line="259" w:lineRule="auto"/>
              <w:ind w:left="159" w:right="0" w:firstLine="0"/>
              <w:jc w:val="left"/>
              <w:rPr>
                <w:sz w:val="28"/>
                <w:szCs w:val="32"/>
              </w:rPr>
            </w:pPr>
            <w:r w:rsidRPr="00A40DDE">
              <w:rPr>
                <w:rFonts w:ascii="Calibri" w:eastAsia="Calibri" w:hAnsi="Calibri" w:cs="Calibri"/>
                <w:sz w:val="22"/>
                <w:szCs w:val="32"/>
              </w:rPr>
              <w:t>UG</w:t>
            </w:r>
            <w:r w:rsidRPr="00A40DDE">
              <w:rPr>
                <w:rFonts w:ascii="Calibri" w:eastAsia="Calibri" w:hAnsi="Calibri" w:cs="Calibri"/>
                <w:sz w:val="16"/>
                <w:szCs w:val="32"/>
              </w:rPr>
              <w:t>t−</w:t>
            </w:r>
            <w:r w:rsidRPr="00A40DDE">
              <w:rPr>
                <w:sz w:val="16"/>
                <w:szCs w:val="32"/>
              </w:rPr>
              <w:t>1</w:t>
            </w:r>
          </w:p>
        </w:tc>
        <w:tc>
          <w:tcPr>
            <w:tcW w:w="761" w:type="dxa"/>
            <w:tcBorders>
              <w:top w:val="nil"/>
              <w:left w:val="nil"/>
              <w:bottom w:val="nil"/>
              <w:right w:val="nil"/>
            </w:tcBorders>
            <w:vAlign w:val="bottom"/>
          </w:tcPr>
          <w:p w:rsidR="007A7C36" w:rsidRPr="00A40DDE" w:rsidRDefault="007A7C36" w:rsidP="00E702B6">
            <w:pPr>
              <w:spacing w:after="160" w:line="259" w:lineRule="auto"/>
              <w:ind w:right="0" w:firstLine="0"/>
              <w:jc w:val="left"/>
              <w:rPr>
                <w:sz w:val="28"/>
                <w:szCs w:val="32"/>
              </w:rPr>
            </w:pPr>
          </w:p>
        </w:tc>
        <w:tc>
          <w:tcPr>
            <w:tcW w:w="1463" w:type="dxa"/>
            <w:tcBorders>
              <w:top w:val="nil"/>
              <w:left w:val="nil"/>
              <w:bottom w:val="nil"/>
              <w:right w:val="nil"/>
            </w:tcBorders>
          </w:tcPr>
          <w:p w:rsidR="007A7C36" w:rsidRPr="00A40DDE" w:rsidRDefault="007A7C36" w:rsidP="00E702B6">
            <w:pPr>
              <w:spacing w:after="0" w:line="259" w:lineRule="auto"/>
              <w:ind w:left="179" w:right="0" w:firstLine="0"/>
              <w:jc w:val="left"/>
              <w:rPr>
                <w:sz w:val="28"/>
                <w:szCs w:val="32"/>
              </w:rPr>
            </w:pPr>
            <w:r w:rsidRPr="00A40DDE">
              <w:rPr>
                <w:sz w:val="22"/>
                <w:szCs w:val="32"/>
              </w:rPr>
              <w:t>1.54</w:t>
            </w:r>
          </w:p>
        </w:tc>
        <w:tc>
          <w:tcPr>
            <w:tcW w:w="458" w:type="dxa"/>
            <w:tcBorders>
              <w:top w:val="nil"/>
              <w:left w:val="nil"/>
              <w:bottom w:val="nil"/>
              <w:right w:val="nil"/>
            </w:tcBorders>
          </w:tcPr>
          <w:p w:rsidR="007A7C36" w:rsidRPr="00A40DDE" w:rsidRDefault="007A7C36" w:rsidP="00E702B6">
            <w:pPr>
              <w:spacing w:after="0" w:line="259" w:lineRule="auto"/>
              <w:ind w:right="5" w:firstLine="0"/>
              <w:jc w:val="right"/>
              <w:rPr>
                <w:sz w:val="28"/>
                <w:szCs w:val="32"/>
              </w:rPr>
            </w:pPr>
            <w:r w:rsidRPr="00A40DDE">
              <w:rPr>
                <w:sz w:val="22"/>
                <w:szCs w:val="32"/>
              </w:rPr>
              <w:t>4.35</w:t>
            </w:r>
          </w:p>
        </w:tc>
      </w:tr>
      <w:tr w:rsidR="007A7C36" w:rsidRPr="00A40DDE" w:rsidTr="00E702B6">
        <w:trPr>
          <w:trHeight w:val="239"/>
        </w:trPr>
        <w:tc>
          <w:tcPr>
            <w:tcW w:w="1614" w:type="dxa"/>
            <w:tcBorders>
              <w:top w:val="nil"/>
              <w:left w:val="nil"/>
              <w:bottom w:val="nil"/>
              <w:right w:val="nil"/>
            </w:tcBorders>
          </w:tcPr>
          <w:p w:rsidR="007A7C36" w:rsidRPr="00A40DDE" w:rsidRDefault="007A7C36" w:rsidP="00E702B6">
            <w:pPr>
              <w:spacing w:after="0" w:line="259" w:lineRule="auto"/>
              <w:ind w:left="159" w:right="0" w:firstLine="0"/>
              <w:jc w:val="left"/>
              <w:rPr>
                <w:sz w:val="28"/>
                <w:szCs w:val="32"/>
              </w:rPr>
            </w:pPr>
            <w:r w:rsidRPr="00A40DDE">
              <w:rPr>
                <w:rFonts w:ascii="Calibri" w:eastAsia="Calibri" w:hAnsi="Calibri" w:cs="Calibri"/>
                <w:sz w:val="22"/>
                <w:szCs w:val="32"/>
              </w:rPr>
              <w:t>Other controls</w:t>
            </w:r>
          </w:p>
        </w:tc>
        <w:tc>
          <w:tcPr>
            <w:tcW w:w="761"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1463" w:type="dxa"/>
            <w:tcBorders>
              <w:top w:val="nil"/>
              <w:left w:val="nil"/>
              <w:bottom w:val="nil"/>
              <w:right w:val="nil"/>
            </w:tcBorders>
          </w:tcPr>
          <w:p w:rsidR="007A7C36" w:rsidRPr="00A40DDE" w:rsidRDefault="007A7C36" w:rsidP="00E702B6">
            <w:pPr>
              <w:spacing w:after="0" w:line="259" w:lineRule="auto"/>
              <w:ind w:left="79" w:right="0" w:firstLine="0"/>
              <w:jc w:val="left"/>
              <w:rPr>
                <w:sz w:val="28"/>
                <w:szCs w:val="32"/>
              </w:rPr>
            </w:pPr>
            <w:r w:rsidRPr="00A40DDE">
              <w:rPr>
                <w:sz w:val="22"/>
                <w:szCs w:val="32"/>
              </w:rPr>
              <w:t>Yes</w:t>
            </w:r>
          </w:p>
        </w:tc>
        <w:tc>
          <w:tcPr>
            <w:tcW w:w="458"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r>
      <w:tr w:rsidR="007A7C36" w:rsidRPr="00A40DDE" w:rsidTr="00E702B6">
        <w:trPr>
          <w:trHeight w:val="197"/>
        </w:trPr>
        <w:tc>
          <w:tcPr>
            <w:tcW w:w="1614" w:type="dxa"/>
            <w:tcBorders>
              <w:top w:val="nil"/>
              <w:left w:val="nil"/>
              <w:bottom w:val="nil"/>
              <w:right w:val="nil"/>
            </w:tcBorders>
          </w:tcPr>
          <w:p w:rsidR="007A7C36" w:rsidRPr="00A40DDE" w:rsidRDefault="007A7C36" w:rsidP="00E702B6">
            <w:pPr>
              <w:spacing w:after="0" w:line="259" w:lineRule="auto"/>
              <w:ind w:left="159" w:right="0" w:firstLine="0"/>
              <w:jc w:val="left"/>
              <w:rPr>
                <w:sz w:val="28"/>
                <w:szCs w:val="32"/>
              </w:rPr>
            </w:pPr>
            <w:r w:rsidRPr="00A40DDE">
              <w:rPr>
                <w:rFonts w:ascii="Calibri" w:eastAsia="Calibri" w:hAnsi="Calibri" w:cs="Calibri"/>
                <w:sz w:val="22"/>
                <w:szCs w:val="32"/>
              </w:rPr>
              <w:t>Bank fixed effects</w:t>
            </w:r>
          </w:p>
        </w:tc>
        <w:tc>
          <w:tcPr>
            <w:tcW w:w="761"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c>
          <w:tcPr>
            <w:tcW w:w="1463" w:type="dxa"/>
            <w:tcBorders>
              <w:top w:val="nil"/>
              <w:left w:val="nil"/>
              <w:bottom w:val="nil"/>
              <w:right w:val="nil"/>
            </w:tcBorders>
          </w:tcPr>
          <w:p w:rsidR="007A7C36" w:rsidRPr="00A40DDE" w:rsidRDefault="007A7C36" w:rsidP="00E702B6">
            <w:pPr>
              <w:spacing w:after="0" w:line="259" w:lineRule="auto"/>
              <w:ind w:left="79" w:right="0" w:firstLine="0"/>
              <w:jc w:val="left"/>
              <w:rPr>
                <w:sz w:val="28"/>
                <w:szCs w:val="32"/>
              </w:rPr>
            </w:pPr>
            <w:r w:rsidRPr="00A40DDE">
              <w:rPr>
                <w:sz w:val="22"/>
                <w:szCs w:val="32"/>
              </w:rPr>
              <w:t>Yes</w:t>
            </w:r>
          </w:p>
        </w:tc>
        <w:tc>
          <w:tcPr>
            <w:tcW w:w="458" w:type="dxa"/>
            <w:tcBorders>
              <w:top w:val="nil"/>
              <w:left w:val="nil"/>
              <w:bottom w:val="nil"/>
              <w:right w:val="nil"/>
            </w:tcBorders>
          </w:tcPr>
          <w:p w:rsidR="007A7C36" w:rsidRPr="00A40DDE" w:rsidRDefault="007A7C36" w:rsidP="00E702B6">
            <w:pPr>
              <w:spacing w:after="160" w:line="259" w:lineRule="auto"/>
              <w:ind w:right="0" w:firstLine="0"/>
              <w:jc w:val="left"/>
              <w:rPr>
                <w:sz w:val="28"/>
                <w:szCs w:val="32"/>
              </w:rPr>
            </w:pPr>
          </w:p>
        </w:tc>
      </w:tr>
    </w:tbl>
    <w:p w:rsidR="007A7C36" w:rsidRPr="00A40DDE" w:rsidRDefault="007A7C36" w:rsidP="007A7C36">
      <w:pPr>
        <w:spacing w:line="262" w:lineRule="auto"/>
        <w:ind w:left="-15" w:right="0" w:firstLine="0"/>
        <w:rPr>
          <w:sz w:val="28"/>
          <w:szCs w:val="32"/>
        </w:rPr>
      </w:pPr>
      <w:r w:rsidRPr="00A40DDE">
        <w:rPr>
          <w:sz w:val="22"/>
          <w:szCs w:val="32"/>
        </w:rPr>
        <w:t>Table 4 (continued)</w:t>
      </w:r>
    </w:p>
    <w:p w:rsidR="007A7C36" w:rsidRPr="00A40DDE" w:rsidRDefault="007A7C36" w:rsidP="007A7C36">
      <w:pPr>
        <w:spacing w:after="79" w:line="259" w:lineRule="auto"/>
        <w:ind w:right="0" w:firstLine="0"/>
        <w:jc w:val="left"/>
        <w:rPr>
          <w:sz w:val="28"/>
          <w:szCs w:val="32"/>
        </w:rPr>
      </w:pPr>
      <w:r w:rsidRPr="00A40DDE">
        <w:rPr>
          <w:rFonts w:ascii="Calibri" w:eastAsia="Calibri" w:hAnsi="Calibri" w:cs="Calibri"/>
          <w:noProof/>
          <w:color w:val="000000"/>
          <w:sz w:val="32"/>
          <w:szCs w:val="32"/>
        </w:rPr>
        <mc:AlternateContent>
          <mc:Choice Requires="wpg">
            <w:drawing>
              <wp:inline distT="0" distB="0" distL="0" distR="0" wp14:anchorId="50E34B58" wp14:editId="3ACE3D58">
                <wp:extent cx="4284002" cy="6480"/>
                <wp:effectExtent l="0" t="0" r="0" b="0"/>
                <wp:docPr id="59267" name="Group 59267"/>
                <wp:cNvGraphicFramePr/>
                <a:graphic xmlns:a="http://schemas.openxmlformats.org/drawingml/2006/main">
                  <a:graphicData uri="http://schemas.microsoft.com/office/word/2010/wordprocessingGroup">
                    <wpg:wgp>
                      <wpg:cNvGrpSpPr/>
                      <wpg:grpSpPr>
                        <a:xfrm>
                          <a:off x="0" y="0"/>
                          <a:ext cx="4284002" cy="6480"/>
                          <a:chOff x="0" y="0"/>
                          <a:chExt cx="4284002" cy="6480"/>
                        </a:xfrm>
                      </wpg:grpSpPr>
                      <wps:wsp>
                        <wps:cNvPr id="69658" name="Shape 69658"/>
                        <wps:cNvSpPr/>
                        <wps:spPr>
                          <a:xfrm>
                            <a:off x="0" y="0"/>
                            <a:ext cx="4284002" cy="9144"/>
                          </a:xfrm>
                          <a:custGeom>
                            <a:avLst/>
                            <a:gdLst/>
                            <a:ahLst/>
                            <a:cxnLst/>
                            <a:rect l="0" t="0" r="0" b="0"/>
                            <a:pathLst>
                              <a:path w="4284002" h="9144">
                                <a:moveTo>
                                  <a:pt x="0" y="0"/>
                                </a:moveTo>
                                <a:lnTo>
                                  <a:pt x="4284002" y="0"/>
                                </a:lnTo>
                                <a:lnTo>
                                  <a:pt x="4284002" y="9144"/>
                                </a:lnTo>
                                <a:lnTo>
                                  <a:pt x="0" y="9144"/>
                                </a:lnTo>
                                <a:lnTo>
                                  <a:pt x="0" y="0"/>
                                </a:lnTo>
                              </a:path>
                            </a:pathLst>
                          </a:custGeom>
                          <a:ln w="0" cap="rnd">
                            <a:round/>
                          </a:ln>
                        </wps:spPr>
                        <wps:style>
                          <a:lnRef idx="1">
                            <a:srgbClr val="131313"/>
                          </a:lnRef>
                          <a:fillRef idx="1">
                            <a:srgbClr val="131313"/>
                          </a:fillRef>
                          <a:effectRef idx="0">
                            <a:scrgbClr r="0" g="0" b="0"/>
                          </a:effectRef>
                          <a:fontRef idx="none"/>
                        </wps:style>
                        <wps:bodyPr/>
                      </wps:wsp>
                    </wpg:wgp>
                  </a:graphicData>
                </a:graphic>
              </wp:inline>
            </w:drawing>
          </mc:Choice>
          <mc:Fallback>
            <w:pict>
              <v:group w14:anchorId="793C86B3" id="Group 59267" o:spid="_x0000_s1026" style="width:337.3pt;height:.5pt;mso-position-horizontal-relative:char;mso-position-vertical-relative:line" coordsize="428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">
                <v:shape id="Shape 69658" o:spid="_x0000_s1027" style="position:absolute;width:42840;height:91;visibility:visible;mso-wrap-style:square;v-text-anchor:top" coordsize="42840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" path="m,l4284002,r,9144l,9144,,e" fillcolor="#131313" strokecolor="#131313" strokeweight="0">
                  <v:stroke endcap="round"/>
                  <v:path arrowok="t" textboxrect="0,0,4284002,9144"/>
                </v:shape>
                <w10:anchorlock/>
              </v:group>
            </w:pict>
          </mc:Fallback>
        </mc:AlternateContent>
      </w:r>
    </w:p>
    <w:p w:rsidR="007A7C36" w:rsidRPr="00A40DDE" w:rsidRDefault="007A7C36" w:rsidP="007A7C36">
      <w:pPr>
        <w:tabs>
          <w:tab w:val="center" w:pos="2630"/>
        </w:tabs>
        <w:spacing w:after="69" w:line="262" w:lineRule="auto"/>
        <w:ind w:left="-15" w:right="0" w:firstLine="0"/>
        <w:jc w:val="left"/>
        <w:rPr>
          <w:sz w:val="28"/>
          <w:szCs w:val="32"/>
        </w:rPr>
      </w:pPr>
      <w:r w:rsidRPr="00A40DDE">
        <w:rPr>
          <w:sz w:val="22"/>
          <w:szCs w:val="32"/>
        </w:rPr>
        <w:t>N</w:t>
      </w:r>
      <w:r w:rsidRPr="00A40DDE">
        <w:rPr>
          <w:sz w:val="22"/>
          <w:szCs w:val="32"/>
        </w:rPr>
        <w:tab/>
        <w:t>4,222</w:t>
      </w:r>
    </w:p>
    <w:p w:rsidR="007A7C36" w:rsidRPr="00A40DDE" w:rsidRDefault="007A7C36" w:rsidP="007A7C36">
      <w:pPr>
        <w:tabs>
          <w:tab w:val="center" w:pos="2655"/>
        </w:tabs>
        <w:spacing w:line="262" w:lineRule="auto"/>
        <w:ind w:left="-15" w:right="0" w:firstLine="0"/>
        <w:jc w:val="left"/>
        <w:rPr>
          <w:sz w:val="28"/>
          <w:szCs w:val="32"/>
        </w:rPr>
      </w:pPr>
      <w:r w:rsidRPr="00A40DDE">
        <w:rPr>
          <w:sz w:val="22"/>
          <w:szCs w:val="32"/>
        </w:rPr>
        <w:t>Adj.R</w:t>
      </w:r>
      <w:r w:rsidRPr="00A40DDE">
        <w:rPr>
          <w:sz w:val="22"/>
          <w:szCs w:val="32"/>
          <w:vertAlign w:val="superscript"/>
        </w:rPr>
        <w:t>2</w:t>
      </w:r>
      <w:r w:rsidRPr="00A40DDE">
        <w:rPr>
          <w:sz w:val="22"/>
          <w:szCs w:val="32"/>
          <w:vertAlign w:val="superscript"/>
        </w:rPr>
        <w:tab/>
      </w:r>
      <w:r w:rsidRPr="00A40DDE">
        <w:rPr>
          <w:sz w:val="22"/>
          <w:szCs w:val="32"/>
        </w:rPr>
        <w:t>40.0%</w:t>
      </w:r>
    </w:p>
    <w:p w:rsidR="007A7C36" w:rsidRPr="00A40DDE" w:rsidRDefault="007A7C36" w:rsidP="007A7C36">
      <w:pPr>
        <w:spacing w:after="138" w:line="259" w:lineRule="auto"/>
        <w:ind w:right="0" w:firstLine="0"/>
        <w:jc w:val="left"/>
        <w:rPr>
          <w:sz w:val="28"/>
          <w:szCs w:val="32"/>
        </w:rPr>
      </w:pPr>
      <w:r w:rsidRPr="00A40DDE">
        <w:rPr>
          <w:rFonts w:ascii="Calibri" w:eastAsia="Calibri" w:hAnsi="Calibri" w:cs="Calibri"/>
          <w:noProof/>
          <w:color w:val="000000"/>
          <w:sz w:val="32"/>
          <w:szCs w:val="32"/>
        </w:rPr>
        <mc:AlternateContent>
          <mc:Choice Requires="wpg">
            <w:drawing>
              <wp:inline distT="0" distB="0" distL="0" distR="0" wp14:anchorId="151432A9" wp14:editId="42E84121">
                <wp:extent cx="4284002" cy="6480"/>
                <wp:effectExtent l="0" t="0" r="0" b="0"/>
                <wp:docPr id="59266" name="Group 59266"/>
                <wp:cNvGraphicFramePr/>
                <a:graphic xmlns:a="http://schemas.openxmlformats.org/drawingml/2006/main">
                  <a:graphicData uri="http://schemas.microsoft.com/office/word/2010/wordprocessingGroup">
                    <wpg:wgp>
                      <wpg:cNvGrpSpPr/>
                      <wpg:grpSpPr>
                        <a:xfrm>
                          <a:off x="0" y="0"/>
                          <a:ext cx="4284002" cy="6480"/>
                          <a:chOff x="0" y="0"/>
                          <a:chExt cx="4284002" cy="6480"/>
                        </a:xfrm>
                      </wpg:grpSpPr>
                      <wps:wsp>
                        <wps:cNvPr id="69660" name="Shape 69660"/>
                        <wps:cNvSpPr/>
                        <wps:spPr>
                          <a:xfrm>
                            <a:off x="0" y="0"/>
                            <a:ext cx="4284002" cy="9144"/>
                          </a:xfrm>
                          <a:custGeom>
                            <a:avLst/>
                            <a:gdLst/>
                            <a:ahLst/>
                            <a:cxnLst/>
                            <a:rect l="0" t="0" r="0" b="0"/>
                            <a:pathLst>
                              <a:path w="4284002" h="9144">
                                <a:moveTo>
                                  <a:pt x="0" y="0"/>
                                </a:moveTo>
                                <a:lnTo>
                                  <a:pt x="4284002" y="0"/>
                                </a:lnTo>
                                <a:lnTo>
                                  <a:pt x="4284002" y="9144"/>
                                </a:lnTo>
                                <a:lnTo>
                                  <a:pt x="0" y="9144"/>
                                </a:lnTo>
                                <a:lnTo>
                                  <a:pt x="0" y="0"/>
                                </a:lnTo>
                              </a:path>
                            </a:pathLst>
                          </a:custGeom>
                          <a:ln w="0" cap="rnd">
                            <a:round/>
                          </a:ln>
                        </wps:spPr>
                        <wps:style>
                          <a:lnRef idx="1">
                            <a:srgbClr val="131313"/>
                          </a:lnRef>
                          <a:fillRef idx="1">
                            <a:srgbClr val="131313"/>
                          </a:fillRef>
                          <a:effectRef idx="0">
                            <a:scrgbClr r="0" g="0" b="0"/>
                          </a:effectRef>
                          <a:fontRef idx="none"/>
                        </wps:style>
                        <wps:bodyPr/>
                      </wps:wsp>
                    </wpg:wgp>
                  </a:graphicData>
                </a:graphic>
              </wp:inline>
            </w:drawing>
          </mc:Choice>
          <mc:Fallback>
            <w:pict>
              <v:group w14:anchorId="7FDFC49D" id="Group 59266" o:spid="_x0000_s1026" style="width:337.3pt;height:.5pt;mso-position-horizontal-relative:char;mso-position-vertical-relative:line" coordsize="428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">
                <v:shape id="Shape 69660" o:spid="_x0000_s1027" style="position:absolute;width:42840;height:91;visibility:visible;mso-wrap-style:square;v-text-anchor:top" coordsize="42840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" path="m,l4284002,r,9144l,9144,,e" fillcolor="#131313" strokecolor="#131313" strokeweight="0">
                  <v:stroke endcap="round"/>
                  <v:path arrowok="t" textboxrect="0,0,4284002,9144"/>
                </v:shape>
                <w10:anchorlock/>
              </v:group>
            </w:pict>
          </mc:Fallback>
        </mc:AlternateContent>
      </w:r>
    </w:p>
    <w:p w:rsidR="007A7C36" w:rsidRPr="00A40DDE" w:rsidRDefault="007A7C36" w:rsidP="007A7C36">
      <w:pPr>
        <w:rPr>
          <w:sz w:val="22"/>
          <w:szCs w:val="32"/>
          <w:rtl/>
        </w:rPr>
      </w:pPr>
      <w:r w:rsidRPr="00A40DDE">
        <w:rPr>
          <w:sz w:val="22"/>
          <w:szCs w:val="32"/>
        </w:rPr>
        <w:t>In panel Awe estimate the model for observations with (</w:t>
      </w:r>
      <w:proofErr w:type="spellStart"/>
      <w:r w:rsidRPr="00A40DDE">
        <w:rPr>
          <w:sz w:val="22"/>
          <w:szCs w:val="32"/>
        </w:rPr>
        <w:t>i</w:t>
      </w:r>
      <w:proofErr w:type="spellEnd"/>
      <w:r w:rsidRPr="00A40DDE">
        <w:rPr>
          <w:sz w:val="22"/>
          <w:szCs w:val="32"/>
        </w:rPr>
        <w:t xml:space="preserve">) </w:t>
      </w:r>
      <w:r w:rsidRPr="00A40DDE">
        <w:rPr>
          <w:rFonts w:ascii="Calibri" w:eastAsia="Calibri" w:hAnsi="Calibri" w:cs="Calibri"/>
          <w:sz w:val="22"/>
          <w:szCs w:val="32"/>
        </w:rPr>
        <w:t xml:space="preserve">NI </w:t>
      </w:r>
      <w:r w:rsidRPr="00A40DDE">
        <w:rPr>
          <w:sz w:val="22"/>
          <w:szCs w:val="32"/>
        </w:rPr>
        <w:t xml:space="preserve">&gt;= </w:t>
      </w:r>
      <w:proofErr w:type="gramStart"/>
      <w:r w:rsidRPr="00A40DDE">
        <w:rPr>
          <w:sz w:val="22"/>
          <w:szCs w:val="32"/>
        </w:rPr>
        <w:t>0</w:t>
      </w:r>
      <w:proofErr w:type="gramEnd"/>
      <w:r w:rsidRPr="00A40DDE">
        <w:rPr>
          <w:sz w:val="22"/>
          <w:szCs w:val="32"/>
        </w:rPr>
        <w:t xml:space="preserve">, (ii) </w:t>
      </w:r>
      <w:r w:rsidRPr="00A40DDE">
        <w:rPr>
          <w:rFonts w:ascii="Calibri" w:eastAsia="Calibri" w:hAnsi="Calibri" w:cs="Calibri"/>
          <w:sz w:val="22"/>
          <w:szCs w:val="32"/>
        </w:rPr>
        <w:t xml:space="preserve">NI </w:t>
      </w:r>
      <w:r w:rsidRPr="00A40DDE">
        <w:rPr>
          <w:sz w:val="22"/>
          <w:szCs w:val="32"/>
        </w:rPr>
        <w:t xml:space="preserve">&lt; 0 and </w:t>
      </w:r>
      <w:r w:rsidRPr="00A40DDE">
        <w:rPr>
          <w:rFonts w:ascii="Calibri" w:eastAsia="Calibri" w:hAnsi="Calibri" w:cs="Calibri"/>
          <w:sz w:val="22"/>
          <w:szCs w:val="32"/>
        </w:rPr>
        <w:t xml:space="preserve">NI </w:t>
      </w:r>
      <w:r w:rsidRPr="00A40DDE">
        <w:rPr>
          <w:sz w:val="22"/>
          <w:szCs w:val="32"/>
        </w:rPr>
        <w:t xml:space="preserve">+ </w:t>
      </w:r>
      <w:r w:rsidRPr="00A40DDE">
        <w:rPr>
          <w:rFonts w:ascii="Calibri" w:eastAsia="Calibri" w:hAnsi="Calibri" w:cs="Calibri"/>
          <w:sz w:val="22"/>
          <w:szCs w:val="32"/>
        </w:rPr>
        <w:t xml:space="preserve">UG </w:t>
      </w:r>
      <w:r w:rsidRPr="00A40DDE">
        <w:rPr>
          <w:sz w:val="22"/>
          <w:szCs w:val="32"/>
        </w:rPr>
        <w:t xml:space="preserve">&lt; 0, and (iii) </w:t>
      </w:r>
      <w:r w:rsidRPr="00A40DDE">
        <w:rPr>
          <w:rFonts w:ascii="Calibri" w:eastAsia="Calibri" w:hAnsi="Calibri" w:cs="Calibri"/>
          <w:sz w:val="22"/>
          <w:szCs w:val="32"/>
        </w:rPr>
        <w:t xml:space="preserve">NI </w:t>
      </w:r>
      <w:r w:rsidRPr="00A40DDE">
        <w:rPr>
          <w:sz w:val="22"/>
          <w:szCs w:val="32"/>
        </w:rPr>
        <w:t xml:space="preserve">&lt; 0 and </w:t>
      </w:r>
      <w:r w:rsidRPr="00A40DDE">
        <w:rPr>
          <w:rFonts w:ascii="Calibri" w:eastAsia="Calibri" w:hAnsi="Calibri" w:cs="Calibri"/>
          <w:sz w:val="22"/>
          <w:szCs w:val="32"/>
        </w:rPr>
        <w:t xml:space="preserve">NI </w:t>
      </w:r>
      <w:r w:rsidRPr="00A40DDE">
        <w:rPr>
          <w:sz w:val="22"/>
          <w:szCs w:val="32"/>
        </w:rPr>
        <w:t xml:space="preserve">+ </w:t>
      </w:r>
      <w:r w:rsidRPr="00A40DDE">
        <w:rPr>
          <w:rFonts w:ascii="Calibri" w:eastAsia="Calibri" w:hAnsi="Calibri" w:cs="Calibri"/>
          <w:sz w:val="22"/>
          <w:szCs w:val="32"/>
        </w:rPr>
        <w:t xml:space="preserve">UG </w:t>
      </w:r>
      <w:r w:rsidRPr="00A40DDE">
        <w:rPr>
          <w:sz w:val="22"/>
          <w:szCs w:val="32"/>
        </w:rPr>
        <w:t xml:space="preserve">&gt;= 0. Because banks </w:t>
      </w:r>
      <w:proofErr w:type="gramStart"/>
      <w:r w:rsidRPr="00A40DDE">
        <w:rPr>
          <w:sz w:val="22"/>
          <w:szCs w:val="32"/>
        </w:rPr>
        <w:t>in group</w:t>
      </w:r>
      <w:proofErr w:type="gramEnd"/>
      <w:r w:rsidRPr="00A40DDE">
        <w:rPr>
          <w:sz w:val="22"/>
          <w:szCs w:val="32"/>
        </w:rPr>
        <w:t xml:space="preserve"> (</w:t>
      </w:r>
      <w:proofErr w:type="spellStart"/>
      <w:r w:rsidRPr="00A40DDE">
        <w:rPr>
          <w:sz w:val="22"/>
          <w:szCs w:val="32"/>
        </w:rPr>
        <w:t>i</w:t>
      </w:r>
      <w:proofErr w:type="spellEnd"/>
      <w:r w:rsidRPr="00A40DDE">
        <w:rPr>
          <w:sz w:val="22"/>
          <w:szCs w:val="32"/>
        </w:rPr>
        <w:t xml:space="preserve">) have positive </w:t>
      </w:r>
      <w:r w:rsidRPr="00A40DDE">
        <w:rPr>
          <w:rFonts w:ascii="Calibri" w:eastAsia="Calibri" w:hAnsi="Calibri" w:cs="Calibri"/>
          <w:sz w:val="22"/>
          <w:szCs w:val="32"/>
        </w:rPr>
        <w:t>NI</w:t>
      </w:r>
      <w:r w:rsidRPr="00A40DDE">
        <w:rPr>
          <w:sz w:val="22"/>
          <w:szCs w:val="32"/>
        </w:rPr>
        <w:t xml:space="preserve">, we predict that they smooth earnings, i.e., we predict the </w:t>
      </w:r>
      <w:proofErr w:type="spellStart"/>
      <w:r w:rsidRPr="00A40DDE">
        <w:rPr>
          <w:rFonts w:ascii="Calibri" w:eastAsia="Calibri" w:hAnsi="Calibri" w:cs="Calibri"/>
          <w:sz w:val="22"/>
          <w:szCs w:val="32"/>
        </w:rPr>
        <w:t>NIpos</w:t>
      </w:r>
      <w:proofErr w:type="spellEnd"/>
      <w:r w:rsidRPr="00A40DDE">
        <w:rPr>
          <w:rFonts w:ascii="Calibri" w:eastAsia="Calibri" w:hAnsi="Calibri" w:cs="Calibri"/>
          <w:sz w:val="22"/>
          <w:szCs w:val="32"/>
        </w:rPr>
        <w:t xml:space="preserve"> </w:t>
      </w:r>
      <w:r w:rsidRPr="00A40DDE">
        <w:rPr>
          <w:sz w:val="22"/>
          <w:szCs w:val="32"/>
        </w:rPr>
        <w:t xml:space="preserve">coefficient is negative. Banks </w:t>
      </w:r>
      <w:proofErr w:type="gramStart"/>
      <w:r w:rsidRPr="00A40DDE">
        <w:rPr>
          <w:sz w:val="22"/>
          <w:szCs w:val="32"/>
        </w:rPr>
        <w:t>in group</w:t>
      </w:r>
      <w:proofErr w:type="gramEnd"/>
      <w:r w:rsidRPr="00A40DDE">
        <w:rPr>
          <w:sz w:val="22"/>
          <w:szCs w:val="32"/>
        </w:rPr>
        <w:t xml:space="preserve"> (ii) have negative </w:t>
      </w:r>
      <w:r w:rsidRPr="00A40DDE">
        <w:rPr>
          <w:rFonts w:ascii="Calibri" w:eastAsia="Calibri" w:hAnsi="Calibri" w:cs="Calibri"/>
          <w:sz w:val="22"/>
          <w:szCs w:val="32"/>
        </w:rPr>
        <w:t xml:space="preserve">NI </w:t>
      </w:r>
      <w:r w:rsidRPr="00A40DDE">
        <w:rPr>
          <w:sz w:val="22"/>
          <w:szCs w:val="32"/>
        </w:rPr>
        <w:t xml:space="preserve">and insufficient </w:t>
      </w:r>
      <w:r w:rsidRPr="00A40DDE">
        <w:rPr>
          <w:rFonts w:ascii="Calibri" w:eastAsia="Calibri" w:hAnsi="Calibri" w:cs="Calibri"/>
          <w:sz w:val="22"/>
          <w:szCs w:val="32"/>
        </w:rPr>
        <w:t xml:space="preserve">UG </w:t>
      </w:r>
      <w:r w:rsidRPr="00A40DDE">
        <w:rPr>
          <w:sz w:val="22"/>
          <w:szCs w:val="32"/>
        </w:rPr>
        <w:t>to enable them to attain positive net income after realizing securities gains. Thus, we predict that they take</w:t>
      </w:r>
    </w:p>
    <w:p w:rsidR="007A7C36" w:rsidRPr="00A40DDE" w:rsidRDefault="007A7C36" w:rsidP="007A7C36">
      <w:pPr>
        <w:spacing w:after="42" w:line="262" w:lineRule="auto"/>
        <w:ind w:left="-15" w:right="0" w:firstLine="0"/>
        <w:rPr>
          <w:sz w:val="28"/>
          <w:szCs w:val="32"/>
        </w:rPr>
      </w:pPr>
      <w:proofErr w:type="gramStart"/>
      <w:r w:rsidRPr="00A40DDE">
        <w:rPr>
          <w:sz w:val="22"/>
          <w:szCs w:val="32"/>
        </w:rPr>
        <w:t>a</w:t>
      </w:r>
      <w:proofErr w:type="gramEnd"/>
      <w:r w:rsidRPr="00A40DDE">
        <w:rPr>
          <w:sz w:val="22"/>
          <w:szCs w:val="32"/>
        </w:rPr>
        <w:t xml:space="preserve"> big bath, i.e., we predict the </w:t>
      </w:r>
      <w:proofErr w:type="spellStart"/>
      <w:r w:rsidRPr="00A40DDE">
        <w:rPr>
          <w:rFonts w:ascii="Calibri" w:eastAsia="Calibri" w:hAnsi="Calibri" w:cs="Calibri"/>
          <w:sz w:val="22"/>
          <w:szCs w:val="32"/>
        </w:rPr>
        <w:t>NIneg</w:t>
      </w:r>
      <w:proofErr w:type="spellEnd"/>
      <w:r w:rsidRPr="00A40DDE">
        <w:rPr>
          <w:rFonts w:ascii="Calibri" w:eastAsia="Calibri" w:hAnsi="Calibri" w:cs="Calibri"/>
          <w:sz w:val="22"/>
          <w:szCs w:val="32"/>
        </w:rPr>
        <w:t xml:space="preserve"> </w:t>
      </w:r>
      <w:r w:rsidRPr="00A40DDE">
        <w:rPr>
          <w:sz w:val="22"/>
          <w:szCs w:val="32"/>
        </w:rPr>
        <w:t xml:space="preserve">coefficient is positive. Banks </w:t>
      </w:r>
      <w:proofErr w:type="gramStart"/>
      <w:r w:rsidRPr="00A40DDE">
        <w:rPr>
          <w:sz w:val="22"/>
          <w:szCs w:val="32"/>
        </w:rPr>
        <w:t>in group</w:t>
      </w:r>
      <w:proofErr w:type="gramEnd"/>
      <w:r w:rsidRPr="00A40DDE">
        <w:rPr>
          <w:sz w:val="22"/>
          <w:szCs w:val="32"/>
        </w:rPr>
        <w:t xml:space="preserve"> (iii) also have negative </w:t>
      </w:r>
      <w:r w:rsidRPr="00A40DDE">
        <w:rPr>
          <w:rFonts w:ascii="Calibri" w:eastAsia="Calibri" w:hAnsi="Calibri" w:cs="Calibri"/>
          <w:sz w:val="22"/>
          <w:szCs w:val="32"/>
        </w:rPr>
        <w:t xml:space="preserve">NI </w:t>
      </w:r>
      <w:r w:rsidRPr="00A40DDE">
        <w:rPr>
          <w:sz w:val="22"/>
          <w:szCs w:val="32"/>
        </w:rPr>
        <w:t xml:space="preserve">but have sufficient </w:t>
      </w:r>
      <w:r w:rsidRPr="00A40DDE">
        <w:rPr>
          <w:rFonts w:ascii="Calibri" w:eastAsia="Calibri" w:hAnsi="Calibri" w:cs="Calibri"/>
          <w:sz w:val="22"/>
          <w:szCs w:val="32"/>
        </w:rPr>
        <w:t xml:space="preserve">UG </w:t>
      </w:r>
      <w:r w:rsidRPr="00A40DDE">
        <w:rPr>
          <w:sz w:val="22"/>
          <w:szCs w:val="32"/>
        </w:rPr>
        <w:t xml:space="preserve">to enable them to attain positive net income after realizing securities gains. Thus, we predict that they smooth earnings, i.e., we predict the </w:t>
      </w:r>
      <w:proofErr w:type="spellStart"/>
      <w:r w:rsidRPr="00A40DDE">
        <w:rPr>
          <w:rFonts w:ascii="Calibri" w:eastAsia="Calibri" w:hAnsi="Calibri" w:cs="Calibri"/>
          <w:sz w:val="22"/>
          <w:szCs w:val="32"/>
        </w:rPr>
        <w:t>NIneg</w:t>
      </w:r>
      <w:proofErr w:type="spellEnd"/>
      <w:r w:rsidRPr="00A40DDE">
        <w:rPr>
          <w:rFonts w:ascii="Calibri" w:eastAsia="Calibri" w:hAnsi="Calibri" w:cs="Calibri"/>
          <w:sz w:val="22"/>
          <w:szCs w:val="32"/>
        </w:rPr>
        <w:t xml:space="preserve"> </w:t>
      </w:r>
      <w:r w:rsidRPr="00A40DDE">
        <w:rPr>
          <w:sz w:val="22"/>
          <w:szCs w:val="32"/>
        </w:rPr>
        <w:t>coefficient is negative.</w:t>
      </w:r>
    </w:p>
    <w:p w:rsidR="007A7C36" w:rsidRPr="00A40DDE" w:rsidRDefault="007A7C36" w:rsidP="007A7C36">
      <w:pPr>
        <w:spacing w:after="58" w:line="262" w:lineRule="auto"/>
        <w:ind w:left="-15" w:right="0" w:firstLine="0"/>
        <w:rPr>
          <w:sz w:val="28"/>
          <w:szCs w:val="32"/>
        </w:rPr>
      </w:pPr>
      <w:r w:rsidRPr="00A40DDE">
        <w:rPr>
          <w:sz w:val="22"/>
          <w:szCs w:val="32"/>
        </w:rPr>
        <w:t xml:space="preserve">In panel B we estimate our primary equation, without the interaction terms or bank fixed effects, for banks with negative </w:t>
      </w:r>
      <w:r w:rsidRPr="00A40DDE">
        <w:rPr>
          <w:rFonts w:ascii="Calibri" w:eastAsia="Calibri" w:hAnsi="Calibri" w:cs="Calibri"/>
          <w:sz w:val="22"/>
          <w:szCs w:val="32"/>
        </w:rPr>
        <w:t xml:space="preserve">NI </w:t>
      </w:r>
      <w:r w:rsidRPr="00A40DDE">
        <w:rPr>
          <w:sz w:val="22"/>
          <w:szCs w:val="32"/>
        </w:rPr>
        <w:t xml:space="preserve">but positive net income after realized gains on AFS securities, i.e., banks with </w:t>
      </w:r>
      <w:r w:rsidRPr="00A40DDE">
        <w:rPr>
          <w:rFonts w:ascii="Calibri" w:eastAsia="Calibri" w:hAnsi="Calibri" w:cs="Calibri"/>
          <w:sz w:val="22"/>
          <w:szCs w:val="32"/>
        </w:rPr>
        <w:t xml:space="preserve">NI </w:t>
      </w:r>
      <w:r w:rsidRPr="00A40DDE">
        <w:rPr>
          <w:sz w:val="22"/>
          <w:szCs w:val="32"/>
        </w:rPr>
        <w:t xml:space="preserve">&lt; 0 and </w:t>
      </w:r>
      <w:r w:rsidRPr="00A40DDE">
        <w:rPr>
          <w:rFonts w:ascii="Calibri" w:eastAsia="Calibri" w:hAnsi="Calibri" w:cs="Calibri"/>
          <w:sz w:val="22"/>
          <w:szCs w:val="32"/>
        </w:rPr>
        <w:t xml:space="preserve">NI </w:t>
      </w:r>
      <w:r w:rsidRPr="00A40DDE">
        <w:rPr>
          <w:sz w:val="22"/>
          <w:szCs w:val="32"/>
        </w:rPr>
        <w:t xml:space="preserve">+ </w:t>
      </w:r>
      <w:r w:rsidRPr="00A40DDE">
        <w:rPr>
          <w:rFonts w:ascii="Calibri" w:eastAsia="Calibri" w:hAnsi="Calibri" w:cs="Calibri"/>
          <w:sz w:val="22"/>
          <w:szCs w:val="32"/>
        </w:rPr>
        <w:t xml:space="preserve">RGL </w:t>
      </w:r>
      <w:r w:rsidRPr="00A40DDE">
        <w:rPr>
          <w:sz w:val="22"/>
          <w:szCs w:val="32"/>
        </w:rPr>
        <w:t xml:space="preserve">&gt;= 0. Because these banks avoided a loss by realizing securities gains, we expect that the </w:t>
      </w:r>
      <w:r w:rsidRPr="00A40DDE">
        <w:rPr>
          <w:rFonts w:ascii="Calibri" w:eastAsia="Calibri" w:hAnsi="Calibri" w:cs="Calibri"/>
          <w:sz w:val="22"/>
          <w:szCs w:val="32"/>
        </w:rPr>
        <w:t xml:space="preserve">NI </w:t>
      </w:r>
      <w:r w:rsidRPr="00A40DDE">
        <w:rPr>
          <w:sz w:val="22"/>
          <w:szCs w:val="32"/>
        </w:rPr>
        <w:t xml:space="preserve">coefficient is negative by construction. However, we test whether the </w:t>
      </w:r>
      <w:r w:rsidRPr="00A40DDE">
        <w:rPr>
          <w:rFonts w:ascii="Calibri" w:eastAsia="Calibri" w:hAnsi="Calibri" w:cs="Calibri"/>
          <w:sz w:val="22"/>
          <w:szCs w:val="32"/>
        </w:rPr>
        <w:t xml:space="preserve">NI </w:t>
      </w:r>
      <w:r w:rsidRPr="00A40DDE">
        <w:rPr>
          <w:sz w:val="22"/>
          <w:szCs w:val="32"/>
        </w:rPr>
        <w:t xml:space="preserve">coefficient equals </w:t>
      </w:r>
      <w:r w:rsidRPr="00A40DDE">
        <w:rPr>
          <w:rFonts w:ascii="Calibri" w:eastAsia="Calibri" w:hAnsi="Calibri" w:cs="Calibri"/>
          <w:sz w:val="22"/>
          <w:szCs w:val="32"/>
        </w:rPr>
        <w:t>−</w:t>
      </w:r>
      <w:r w:rsidRPr="00A40DDE">
        <w:rPr>
          <w:sz w:val="22"/>
          <w:szCs w:val="32"/>
        </w:rPr>
        <w:t xml:space="preserve">100, i.e., </w:t>
      </w:r>
      <w:r w:rsidRPr="00A40DDE">
        <w:rPr>
          <w:rFonts w:ascii="Calibri" w:eastAsia="Calibri" w:hAnsi="Calibri" w:cs="Calibri"/>
          <w:sz w:val="22"/>
          <w:szCs w:val="32"/>
        </w:rPr>
        <w:t>−</w:t>
      </w:r>
      <w:proofErr w:type="gramStart"/>
      <w:r w:rsidRPr="00A40DDE">
        <w:rPr>
          <w:sz w:val="22"/>
          <w:szCs w:val="32"/>
        </w:rPr>
        <w:t>100%</w:t>
      </w:r>
      <w:proofErr w:type="gramEnd"/>
      <w:r w:rsidRPr="00A40DDE">
        <w:rPr>
          <w:sz w:val="22"/>
          <w:szCs w:val="32"/>
        </w:rPr>
        <w:t xml:space="preserve">, to gauge the extent to which banks offset negative </w:t>
      </w:r>
      <w:r w:rsidRPr="00A40DDE">
        <w:rPr>
          <w:rFonts w:ascii="Calibri" w:eastAsia="Calibri" w:hAnsi="Calibri" w:cs="Calibri"/>
          <w:sz w:val="22"/>
          <w:szCs w:val="32"/>
        </w:rPr>
        <w:t xml:space="preserve">NI </w:t>
      </w:r>
      <w:r w:rsidRPr="00A40DDE">
        <w:rPr>
          <w:sz w:val="22"/>
          <w:szCs w:val="32"/>
        </w:rPr>
        <w:t>with realized gains on AFS securities.</w:t>
      </w:r>
    </w:p>
    <w:p w:rsidR="007A7C36" w:rsidRPr="00A40DDE" w:rsidRDefault="007A7C36" w:rsidP="007A7C36">
      <w:pPr>
        <w:spacing w:after="61" w:line="262" w:lineRule="auto"/>
        <w:ind w:left="-15" w:right="0" w:firstLine="0"/>
        <w:rPr>
          <w:sz w:val="28"/>
          <w:szCs w:val="32"/>
        </w:rPr>
      </w:pPr>
      <w:r w:rsidRPr="00A40DDE">
        <w:rPr>
          <w:sz w:val="22"/>
          <w:szCs w:val="32"/>
        </w:rPr>
        <w:t xml:space="preserve">In panel C we re-estimate the specification in panel A for the 4222 banks with </w:t>
      </w:r>
      <w:r w:rsidRPr="00A40DDE">
        <w:rPr>
          <w:rFonts w:ascii="Calibri" w:eastAsia="Calibri" w:hAnsi="Calibri" w:cs="Calibri"/>
          <w:sz w:val="22"/>
          <w:szCs w:val="32"/>
        </w:rPr>
        <w:t xml:space="preserve">NI </w:t>
      </w:r>
      <w:r w:rsidRPr="00A40DDE">
        <w:rPr>
          <w:sz w:val="22"/>
          <w:szCs w:val="32"/>
        </w:rPr>
        <w:t xml:space="preserve">&lt; </w:t>
      </w:r>
      <w:proofErr w:type="gramStart"/>
      <w:r w:rsidRPr="00A40DDE">
        <w:rPr>
          <w:sz w:val="22"/>
          <w:szCs w:val="32"/>
        </w:rPr>
        <w:t>0</w:t>
      </w:r>
      <w:proofErr w:type="gramEnd"/>
      <w:r w:rsidRPr="00A40DDE">
        <w:rPr>
          <w:sz w:val="22"/>
          <w:szCs w:val="32"/>
        </w:rPr>
        <w:t xml:space="preserve"> and </w:t>
      </w:r>
      <w:r w:rsidRPr="00A40DDE">
        <w:rPr>
          <w:rFonts w:ascii="Calibri" w:eastAsia="Calibri" w:hAnsi="Calibri" w:cs="Calibri"/>
          <w:sz w:val="22"/>
          <w:szCs w:val="32"/>
        </w:rPr>
        <w:t xml:space="preserve">NI </w:t>
      </w:r>
      <w:r w:rsidRPr="00A40DDE">
        <w:rPr>
          <w:sz w:val="22"/>
          <w:szCs w:val="32"/>
        </w:rPr>
        <w:t xml:space="preserve">+ </w:t>
      </w:r>
      <w:r w:rsidRPr="00A40DDE">
        <w:rPr>
          <w:rFonts w:ascii="Calibri" w:eastAsia="Calibri" w:hAnsi="Calibri" w:cs="Calibri"/>
          <w:sz w:val="22"/>
          <w:szCs w:val="32"/>
        </w:rPr>
        <w:t xml:space="preserve">UG </w:t>
      </w:r>
      <w:r w:rsidRPr="00A40DDE">
        <w:rPr>
          <w:sz w:val="22"/>
          <w:szCs w:val="32"/>
        </w:rPr>
        <w:t xml:space="preserve">&gt;= 0, permitting the </w:t>
      </w:r>
      <w:proofErr w:type="spellStart"/>
      <w:r w:rsidRPr="00A40DDE">
        <w:rPr>
          <w:rFonts w:ascii="Calibri" w:eastAsia="Calibri" w:hAnsi="Calibri" w:cs="Calibri"/>
          <w:sz w:val="22"/>
          <w:szCs w:val="32"/>
        </w:rPr>
        <w:t>NIneg</w:t>
      </w:r>
      <w:proofErr w:type="spellEnd"/>
      <w:r w:rsidRPr="00A40DDE">
        <w:rPr>
          <w:rFonts w:ascii="Calibri" w:eastAsia="Calibri" w:hAnsi="Calibri" w:cs="Calibri"/>
          <w:sz w:val="22"/>
          <w:szCs w:val="32"/>
        </w:rPr>
        <w:t xml:space="preserve"> </w:t>
      </w:r>
      <w:r w:rsidRPr="00A40DDE">
        <w:rPr>
          <w:sz w:val="22"/>
          <w:szCs w:val="32"/>
        </w:rPr>
        <w:t xml:space="preserve">coefficient to vary for the loss avoiders. </w:t>
      </w:r>
      <w:proofErr w:type="spellStart"/>
      <w:r w:rsidRPr="00A40DDE">
        <w:rPr>
          <w:rFonts w:ascii="Calibri" w:eastAsia="Calibri" w:hAnsi="Calibri" w:cs="Calibri"/>
          <w:sz w:val="22"/>
          <w:szCs w:val="32"/>
        </w:rPr>
        <w:t>Loss_avoider</w:t>
      </w:r>
      <w:proofErr w:type="spellEnd"/>
      <w:r w:rsidRPr="00A40DDE">
        <w:rPr>
          <w:rFonts w:ascii="Calibri" w:eastAsia="Calibri" w:hAnsi="Calibri" w:cs="Calibri"/>
          <w:sz w:val="22"/>
          <w:szCs w:val="32"/>
        </w:rPr>
        <w:t xml:space="preserve"> </w:t>
      </w:r>
      <w:r w:rsidRPr="00A40DDE">
        <w:rPr>
          <w:sz w:val="22"/>
          <w:szCs w:val="32"/>
        </w:rPr>
        <w:t xml:space="preserve">is an indicator that equals one for banks with </w:t>
      </w:r>
      <w:r w:rsidRPr="00A40DDE">
        <w:rPr>
          <w:rFonts w:ascii="Calibri" w:eastAsia="Calibri" w:hAnsi="Calibri" w:cs="Calibri"/>
          <w:sz w:val="22"/>
          <w:szCs w:val="32"/>
        </w:rPr>
        <w:t xml:space="preserve">NI </w:t>
      </w:r>
      <w:r w:rsidRPr="00A40DDE">
        <w:rPr>
          <w:sz w:val="22"/>
          <w:szCs w:val="32"/>
        </w:rPr>
        <w:t xml:space="preserve">&lt; </w:t>
      </w:r>
      <w:proofErr w:type="gramStart"/>
      <w:r w:rsidRPr="00A40DDE">
        <w:rPr>
          <w:sz w:val="22"/>
          <w:szCs w:val="32"/>
        </w:rPr>
        <w:t>0</w:t>
      </w:r>
      <w:proofErr w:type="gramEnd"/>
      <w:r w:rsidRPr="00A40DDE">
        <w:rPr>
          <w:sz w:val="22"/>
          <w:szCs w:val="32"/>
        </w:rPr>
        <w:t xml:space="preserve"> and </w:t>
      </w:r>
      <w:r w:rsidRPr="00A40DDE">
        <w:rPr>
          <w:rFonts w:ascii="Calibri" w:eastAsia="Calibri" w:hAnsi="Calibri" w:cs="Calibri"/>
          <w:sz w:val="22"/>
          <w:szCs w:val="32"/>
        </w:rPr>
        <w:t xml:space="preserve">NI </w:t>
      </w:r>
      <w:r w:rsidRPr="00A40DDE">
        <w:rPr>
          <w:sz w:val="22"/>
          <w:szCs w:val="32"/>
        </w:rPr>
        <w:t xml:space="preserve">+ </w:t>
      </w:r>
      <w:r w:rsidRPr="00A40DDE">
        <w:rPr>
          <w:rFonts w:ascii="Calibri" w:eastAsia="Calibri" w:hAnsi="Calibri" w:cs="Calibri"/>
          <w:sz w:val="22"/>
          <w:szCs w:val="32"/>
        </w:rPr>
        <w:t xml:space="preserve">RGL </w:t>
      </w:r>
      <w:r w:rsidRPr="00A40DDE">
        <w:rPr>
          <w:sz w:val="22"/>
          <w:szCs w:val="32"/>
        </w:rPr>
        <w:t>&gt;= 0, and zero otherwise.</w:t>
      </w:r>
    </w:p>
    <w:p w:rsidR="007A7C36" w:rsidRPr="00A40DDE" w:rsidRDefault="007A7C36" w:rsidP="007A7C36">
      <w:pPr>
        <w:spacing w:after="39" w:line="262" w:lineRule="auto"/>
        <w:ind w:left="-15" w:right="0" w:firstLine="0"/>
        <w:rPr>
          <w:sz w:val="28"/>
          <w:szCs w:val="32"/>
        </w:rPr>
      </w:pPr>
      <w:r w:rsidRPr="00A40DDE">
        <w:rPr>
          <w:sz w:val="22"/>
          <w:szCs w:val="32"/>
        </w:rPr>
        <w:lastRenderedPageBreak/>
        <w:t xml:space="preserve">See Table </w:t>
      </w:r>
      <w:r w:rsidRPr="00A40DDE">
        <w:rPr>
          <w:color w:val="392A97"/>
          <w:sz w:val="22"/>
          <w:szCs w:val="32"/>
        </w:rPr>
        <w:t xml:space="preserve">1 </w:t>
      </w:r>
      <w:r w:rsidRPr="00A40DDE">
        <w:rPr>
          <w:sz w:val="22"/>
          <w:szCs w:val="32"/>
        </w:rPr>
        <w:t xml:space="preserve">for other variable definitions. </w:t>
      </w:r>
      <w:r w:rsidRPr="00A40DDE">
        <w:rPr>
          <w:rFonts w:ascii="Calibri" w:eastAsia="Calibri" w:hAnsi="Calibri" w:cs="Calibri"/>
          <w:sz w:val="22"/>
          <w:szCs w:val="32"/>
        </w:rPr>
        <w:t xml:space="preserve">Other controls </w:t>
      </w:r>
      <w:r w:rsidRPr="00A40DDE">
        <w:rPr>
          <w:sz w:val="22"/>
          <w:szCs w:val="32"/>
        </w:rPr>
        <w:t xml:space="preserve">comprises </w:t>
      </w:r>
      <w:r w:rsidRPr="00A40DDE">
        <w:rPr>
          <w:rFonts w:ascii="Calibri" w:eastAsia="Calibri" w:hAnsi="Calibri" w:cs="Calibri"/>
          <w:sz w:val="22"/>
          <w:szCs w:val="32"/>
        </w:rPr>
        <w:t>Size</w:t>
      </w:r>
      <w:r w:rsidRPr="00A40DDE">
        <w:rPr>
          <w:sz w:val="22"/>
          <w:szCs w:val="32"/>
        </w:rPr>
        <w:t xml:space="preserve">, </w:t>
      </w:r>
      <w:r w:rsidRPr="00A40DDE">
        <w:rPr>
          <w:rFonts w:ascii="Calibri" w:eastAsia="Calibri" w:hAnsi="Calibri" w:cs="Calibri"/>
          <w:sz w:val="22"/>
          <w:szCs w:val="32"/>
        </w:rPr>
        <w:t>Sec</w:t>
      </w:r>
      <w:r w:rsidRPr="00A40DDE">
        <w:rPr>
          <w:sz w:val="22"/>
          <w:szCs w:val="32"/>
        </w:rPr>
        <w:t xml:space="preserve">, </w:t>
      </w:r>
      <w:r w:rsidRPr="00A40DDE">
        <w:rPr>
          <w:rFonts w:ascii="Calibri" w:eastAsia="Calibri" w:hAnsi="Calibri" w:cs="Calibri"/>
          <w:sz w:val="22"/>
          <w:szCs w:val="32"/>
        </w:rPr>
        <w:t>Liquid</w:t>
      </w:r>
      <w:r w:rsidRPr="00A40DDE">
        <w:rPr>
          <w:sz w:val="22"/>
          <w:szCs w:val="32"/>
        </w:rPr>
        <w:t xml:space="preserve">, </w:t>
      </w:r>
      <w:r w:rsidRPr="00A40DDE">
        <w:rPr>
          <w:rFonts w:ascii="Calibri" w:eastAsia="Calibri" w:hAnsi="Calibri" w:cs="Calibri"/>
          <w:sz w:val="22"/>
          <w:szCs w:val="32"/>
        </w:rPr>
        <w:t>VIX</w:t>
      </w:r>
      <w:r w:rsidRPr="00A40DDE">
        <w:rPr>
          <w:sz w:val="22"/>
          <w:szCs w:val="32"/>
        </w:rPr>
        <w:t xml:space="preserve">, </w:t>
      </w:r>
      <w:proofErr w:type="spellStart"/>
      <w:r w:rsidRPr="00A40DDE">
        <w:rPr>
          <w:rFonts w:ascii="Calibri" w:eastAsia="Calibri" w:hAnsi="Calibri" w:cs="Calibri"/>
          <w:sz w:val="22"/>
          <w:szCs w:val="32"/>
        </w:rPr>
        <w:t>Unemp</w:t>
      </w:r>
      <w:proofErr w:type="spellEnd"/>
      <w:r w:rsidRPr="00A40DDE">
        <w:rPr>
          <w:sz w:val="22"/>
          <w:szCs w:val="32"/>
        </w:rPr>
        <w:t xml:space="preserve">, and </w:t>
      </w:r>
      <w:r w:rsidRPr="00A40DDE">
        <w:rPr>
          <w:rFonts w:ascii="Calibri" w:eastAsia="Calibri" w:hAnsi="Calibri" w:cs="Calibri"/>
          <w:sz w:val="22"/>
          <w:szCs w:val="32"/>
        </w:rPr>
        <w:t>LIBOR</w:t>
      </w:r>
      <w:r w:rsidRPr="00A40DDE">
        <w:rPr>
          <w:sz w:val="22"/>
          <w:szCs w:val="32"/>
        </w:rPr>
        <w:t>. Regressions in panels A and C include bank fixed effects.</w:t>
      </w:r>
    </w:p>
    <w:p w:rsidR="007A7C36" w:rsidRPr="00A40DDE" w:rsidRDefault="007A7C36" w:rsidP="007A7C36">
      <w:pPr>
        <w:spacing w:after="48" w:line="262" w:lineRule="auto"/>
        <w:ind w:left="-15" w:right="0" w:firstLine="0"/>
        <w:rPr>
          <w:sz w:val="28"/>
          <w:szCs w:val="32"/>
        </w:rPr>
      </w:pPr>
      <w:proofErr w:type="gramStart"/>
      <w:r w:rsidRPr="00A40DDE">
        <w:rPr>
          <w:sz w:val="22"/>
          <w:szCs w:val="32"/>
        </w:rPr>
        <w:t>t-statistics</w:t>
      </w:r>
      <w:proofErr w:type="gramEnd"/>
      <w:r w:rsidRPr="00A40DDE">
        <w:rPr>
          <w:sz w:val="22"/>
          <w:szCs w:val="32"/>
        </w:rPr>
        <w:t xml:space="preserve"> are based on standard errors clustered by bank and quarter. </w:t>
      </w:r>
      <w:proofErr w:type="gramStart"/>
      <w:r w:rsidRPr="00A40DDE">
        <w:rPr>
          <w:sz w:val="22"/>
          <w:szCs w:val="32"/>
        </w:rPr>
        <w:t>Coefficient estimates are multiplied by 100 for expositional convenience</w:t>
      </w:r>
      <w:proofErr w:type="gramEnd"/>
      <w:r w:rsidRPr="00A40DDE">
        <w:rPr>
          <w:sz w:val="22"/>
          <w:szCs w:val="32"/>
        </w:rPr>
        <w:t>. Estimations are estimated over the period from Q1 1996 to Q4 2007 and from Q3 2009 to Q4 2011.</w:t>
      </w:r>
    </w:p>
    <w:p w:rsidR="007A7C36" w:rsidRPr="00A40DDE" w:rsidRDefault="007A7C36" w:rsidP="007A7C36">
      <w:pPr>
        <w:spacing w:after="312" w:line="262" w:lineRule="auto"/>
        <w:ind w:left="-15" w:right="0" w:firstLine="0"/>
        <w:rPr>
          <w:sz w:val="28"/>
          <w:szCs w:val="32"/>
        </w:rPr>
      </w:pPr>
      <w:r w:rsidRPr="00A40DDE">
        <w:rPr>
          <w:sz w:val="22"/>
          <w:szCs w:val="32"/>
        </w:rPr>
        <w:t xml:space="preserve">*, **, and *** </w:t>
      </w:r>
      <w:proofErr w:type="spellStart"/>
      <w:r w:rsidRPr="00A40DDE">
        <w:rPr>
          <w:sz w:val="22"/>
          <w:szCs w:val="32"/>
        </w:rPr>
        <w:t>denotesignificanceof</w:t>
      </w:r>
      <w:proofErr w:type="spellEnd"/>
      <w:r w:rsidRPr="00A40DDE">
        <w:rPr>
          <w:sz w:val="22"/>
          <w:szCs w:val="32"/>
        </w:rPr>
        <w:t xml:space="preserve"> experimental variables (based on two-tail tests) at 0.10, 0.05, and 0.01 levels.</w:t>
      </w:r>
    </w:p>
    <w:p w:rsidR="007A7C36" w:rsidRPr="00A40DDE" w:rsidRDefault="007A7C36" w:rsidP="007A7C36">
      <w:pPr>
        <w:ind w:left="-15" w:right="-13" w:firstLine="0"/>
        <w:rPr>
          <w:sz w:val="28"/>
          <w:szCs w:val="32"/>
        </w:rPr>
      </w:pPr>
      <w:proofErr w:type="gramStart"/>
      <w:r w:rsidRPr="00A40DDE">
        <w:rPr>
          <w:sz w:val="28"/>
          <w:szCs w:val="32"/>
        </w:rPr>
        <w:t>positive</w:t>
      </w:r>
      <w:proofErr w:type="gramEnd"/>
      <w:r w:rsidRPr="00A40DDE">
        <w:rPr>
          <w:sz w:val="28"/>
          <w:szCs w:val="32"/>
        </w:rPr>
        <w:t xml:space="preserve"> for listed banks (t-stat. = 3.13), and the </w:t>
      </w:r>
      <w:proofErr w:type="spellStart"/>
      <w:r w:rsidRPr="00A40DDE">
        <w:rPr>
          <w:rFonts w:ascii="Calibri" w:eastAsia="Calibri" w:hAnsi="Calibri" w:cs="Calibri"/>
          <w:sz w:val="28"/>
          <w:szCs w:val="32"/>
        </w:rPr>
        <w:t>RegCapLow</w:t>
      </w:r>
      <w:proofErr w:type="spellEnd"/>
      <w:r w:rsidRPr="00A40DDE">
        <w:rPr>
          <w:rFonts w:ascii="Calibri" w:eastAsia="Calibri" w:hAnsi="Calibri" w:cs="Calibri"/>
          <w:sz w:val="28"/>
          <w:szCs w:val="32"/>
        </w:rPr>
        <w:t xml:space="preserve"> </w:t>
      </w:r>
      <w:r w:rsidRPr="00A40DDE">
        <w:rPr>
          <w:sz w:val="28"/>
          <w:szCs w:val="32"/>
        </w:rPr>
        <w:t xml:space="preserve">coefficient is not significantly different from zero for non-listed banks (t-stat. = 1.60). In Model II, the </w:t>
      </w:r>
      <w:proofErr w:type="spellStart"/>
      <w:r w:rsidRPr="00A40DDE">
        <w:rPr>
          <w:rFonts w:ascii="Calibri" w:eastAsia="Calibri" w:hAnsi="Calibri" w:cs="Calibri"/>
          <w:sz w:val="28"/>
          <w:szCs w:val="32"/>
        </w:rPr>
        <w:t>RegCapLow</w:t>
      </w:r>
      <w:proofErr w:type="spellEnd"/>
      <w:r w:rsidRPr="00A40DDE">
        <w:rPr>
          <w:rFonts w:ascii="Calibri" w:eastAsia="Calibri" w:hAnsi="Calibri" w:cs="Calibri"/>
          <w:sz w:val="28"/>
          <w:szCs w:val="32"/>
        </w:rPr>
        <w:t xml:space="preserve"> </w:t>
      </w:r>
      <w:r w:rsidRPr="00A40DDE">
        <w:rPr>
          <w:sz w:val="28"/>
          <w:szCs w:val="32"/>
        </w:rPr>
        <w:t xml:space="preserve">coefficient is significantly positive for listed banks (t-stat. = 1.93). In Model III, the </w:t>
      </w:r>
      <w:proofErr w:type="spellStart"/>
      <w:r w:rsidRPr="00A40DDE">
        <w:rPr>
          <w:rFonts w:ascii="Calibri" w:eastAsia="Calibri" w:hAnsi="Calibri" w:cs="Calibri"/>
          <w:sz w:val="28"/>
          <w:szCs w:val="32"/>
        </w:rPr>
        <w:t>RegCapLow</w:t>
      </w:r>
      <w:proofErr w:type="spellEnd"/>
      <w:r w:rsidRPr="00A40DDE">
        <w:rPr>
          <w:rFonts w:ascii="Calibri" w:eastAsia="Calibri" w:hAnsi="Calibri" w:cs="Calibri"/>
          <w:sz w:val="28"/>
          <w:szCs w:val="32"/>
        </w:rPr>
        <w:t xml:space="preserve"> </w:t>
      </w:r>
      <w:r w:rsidRPr="00A40DDE">
        <w:rPr>
          <w:sz w:val="28"/>
          <w:szCs w:val="32"/>
        </w:rPr>
        <w:t xml:space="preserve">coefficient is significantly positive (t-stat. = 1.98), and the </w:t>
      </w:r>
      <w:proofErr w:type="spellStart"/>
      <w:r w:rsidRPr="00A40DDE">
        <w:rPr>
          <w:rFonts w:ascii="Calibri" w:eastAsia="Calibri" w:hAnsi="Calibri" w:cs="Calibri"/>
          <w:sz w:val="28"/>
          <w:szCs w:val="32"/>
        </w:rPr>
        <w:t>RegCapLow</w:t>
      </w:r>
      <w:proofErr w:type="spellEnd"/>
      <w:r w:rsidRPr="00A40DDE">
        <w:rPr>
          <w:rFonts w:ascii="Calibri" w:eastAsia="Calibri" w:hAnsi="Calibri" w:cs="Calibri"/>
          <w:sz w:val="28"/>
          <w:szCs w:val="32"/>
        </w:rPr>
        <w:t xml:space="preserve"> </w:t>
      </w:r>
      <w:r w:rsidRPr="00A40DDE">
        <w:rPr>
          <w:sz w:val="28"/>
          <w:szCs w:val="32"/>
        </w:rPr>
        <w:t xml:space="preserve">× </w:t>
      </w:r>
      <w:r w:rsidRPr="00A40DDE">
        <w:rPr>
          <w:rFonts w:ascii="Calibri" w:eastAsia="Calibri" w:hAnsi="Calibri" w:cs="Calibri"/>
          <w:sz w:val="28"/>
          <w:szCs w:val="32"/>
        </w:rPr>
        <w:t>UG</w:t>
      </w:r>
      <w:r w:rsidRPr="00A40DDE">
        <w:rPr>
          <w:rFonts w:ascii="Calibri" w:eastAsia="Calibri" w:hAnsi="Calibri" w:cs="Calibri"/>
          <w:sz w:val="28"/>
          <w:szCs w:val="32"/>
          <w:vertAlign w:val="subscript"/>
        </w:rPr>
        <w:t>t−</w:t>
      </w:r>
      <w:r w:rsidRPr="00A40DDE">
        <w:rPr>
          <w:sz w:val="28"/>
          <w:szCs w:val="32"/>
          <w:vertAlign w:val="subscript"/>
        </w:rPr>
        <w:t xml:space="preserve">1 </w:t>
      </w:r>
      <w:r w:rsidRPr="00A40DDE">
        <w:rPr>
          <w:sz w:val="28"/>
          <w:szCs w:val="32"/>
        </w:rPr>
        <w:t xml:space="preserve">coefficient is not significantly different from zero (t-stat. = </w:t>
      </w:r>
      <w:r w:rsidRPr="00A40DDE">
        <w:rPr>
          <w:rFonts w:ascii="Calibri" w:eastAsia="Calibri" w:hAnsi="Calibri" w:cs="Calibri"/>
          <w:sz w:val="28"/>
          <w:szCs w:val="32"/>
        </w:rPr>
        <w:t>−</w:t>
      </w:r>
      <w:r w:rsidRPr="00A40DDE">
        <w:rPr>
          <w:sz w:val="28"/>
          <w:szCs w:val="32"/>
        </w:rPr>
        <w:t>0.31), for listed banks. The Model III differences indicate that unlike non-listed banks, listed banks with low regulatory capital realize more net securities gains, but the amount realized is unrelated to accumulated unrealized gains.</w:t>
      </w:r>
    </w:p>
    <w:p w:rsidR="007A7C36" w:rsidRPr="00A40DDE" w:rsidRDefault="007A7C36" w:rsidP="007A7C36">
      <w:pPr>
        <w:ind w:left="-15" w:right="-13"/>
        <w:rPr>
          <w:sz w:val="28"/>
          <w:szCs w:val="32"/>
        </w:rPr>
      </w:pPr>
      <w:proofErr w:type="spellStart"/>
      <w:r w:rsidRPr="00A40DDE">
        <w:rPr>
          <w:sz w:val="28"/>
          <w:szCs w:val="32"/>
        </w:rPr>
        <w:t>Untabulated</w:t>
      </w:r>
      <w:proofErr w:type="spellEnd"/>
      <w:r w:rsidRPr="00A40DDE">
        <w:rPr>
          <w:sz w:val="28"/>
          <w:szCs w:val="32"/>
        </w:rPr>
        <w:t xml:space="preserve"> statistics based on permitting all coefficients in Eq. (</w:t>
      </w:r>
      <w:r w:rsidRPr="00A40DDE">
        <w:rPr>
          <w:color w:val="392A97"/>
          <w:sz w:val="28"/>
          <w:szCs w:val="32"/>
        </w:rPr>
        <w:t>2</w:t>
      </w:r>
      <w:r w:rsidRPr="00A40DDE">
        <w:rPr>
          <w:sz w:val="28"/>
          <w:szCs w:val="32"/>
        </w:rPr>
        <w:t xml:space="preserve">) to vary for listed and non-listed banks reveal some differences between the two types of banks. Specifically, the </w:t>
      </w:r>
      <w:proofErr w:type="spellStart"/>
      <w:r w:rsidRPr="00A40DDE">
        <w:rPr>
          <w:rFonts w:ascii="Calibri" w:eastAsia="Calibri" w:hAnsi="Calibri" w:cs="Calibri"/>
          <w:sz w:val="28"/>
          <w:szCs w:val="32"/>
        </w:rPr>
        <w:t>NIpos</w:t>
      </w:r>
      <w:proofErr w:type="spellEnd"/>
      <w:r w:rsidRPr="00A40DDE">
        <w:rPr>
          <w:rFonts w:ascii="Calibri" w:eastAsia="Calibri" w:hAnsi="Calibri" w:cs="Calibri"/>
          <w:sz w:val="28"/>
          <w:szCs w:val="32"/>
        </w:rPr>
        <w:t xml:space="preserve"> </w:t>
      </w:r>
      <w:r w:rsidRPr="00A40DDE">
        <w:rPr>
          <w:sz w:val="28"/>
          <w:szCs w:val="32"/>
        </w:rPr>
        <w:t xml:space="preserve">coefficient is significantly more negative, (t-stats. range from </w:t>
      </w:r>
      <w:r w:rsidRPr="00A40DDE">
        <w:rPr>
          <w:rFonts w:ascii="Calibri" w:eastAsia="Calibri" w:hAnsi="Calibri" w:cs="Calibri"/>
          <w:sz w:val="28"/>
          <w:szCs w:val="32"/>
        </w:rPr>
        <w:t>−</w:t>
      </w:r>
      <w:r w:rsidRPr="00A40DDE">
        <w:rPr>
          <w:sz w:val="28"/>
          <w:szCs w:val="32"/>
        </w:rPr>
        <w:t xml:space="preserve">5.04 to </w:t>
      </w:r>
      <w:r w:rsidRPr="00A40DDE">
        <w:rPr>
          <w:rFonts w:ascii="Calibri" w:eastAsia="Calibri" w:hAnsi="Calibri" w:cs="Calibri"/>
          <w:sz w:val="28"/>
          <w:szCs w:val="32"/>
        </w:rPr>
        <w:t>−</w:t>
      </w:r>
      <w:r w:rsidRPr="00A40DDE">
        <w:rPr>
          <w:sz w:val="28"/>
          <w:szCs w:val="32"/>
        </w:rPr>
        <w:t xml:space="preserve">6.43), and the </w:t>
      </w:r>
      <w:proofErr w:type="spellStart"/>
      <w:r w:rsidRPr="00A40DDE">
        <w:rPr>
          <w:rFonts w:ascii="Calibri" w:eastAsia="Calibri" w:hAnsi="Calibri" w:cs="Calibri"/>
          <w:sz w:val="28"/>
          <w:szCs w:val="32"/>
        </w:rPr>
        <w:t>NIneg</w:t>
      </w:r>
      <w:proofErr w:type="spellEnd"/>
      <w:r w:rsidRPr="00A40DDE">
        <w:rPr>
          <w:rFonts w:ascii="Calibri" w:eastAsia="Calibri" w:hAnsi="Calibri" w:cs="Calibri"/>
          <w:sz w:val="28"/>
          <w:szCs w:val="32"/>
        </w:rPr>
        <w:t xml:space="preserve"> </w:t>
      </w:r>
      <w:r w:rsidRPr="00A40DDE">
        <w:rPr>
          <w:sz w:val="28"/>
          <w:szCs w:val="32"/>
        </w:rPr>
        <w:t xml:space="preserve">coefficient is significantly more positive (t-stats. range from 1.85 to 3.80), for listed banks in all three models. These findings indicate that listed banks with positive (negative) earnings smooth earnings (take a big bath) </w:t>
      </w:r>
      <w:proofErr w:type="gramStart"/>
      <w:r w:rsidRPr="00A40DDE">
        <w:rPr>
          <w:sz w:val="28"/>
          <w:szCs w:val="32"/>
        </w:rPr>
        <w:t>to a greater extent</w:t>
      </w:r>
      <w:proofErr w:type="gramEnd"/>
      <w:r w:rsidRPr="00A40DDE">
        <w:rPr>
          <w:sz w:val="28"/>
          <w:szCs w:val="32"/>
        </w:rPr>
        <w:t xml:space="preserve"> than non-listed banks. There is only one significant difference between listed and </w:t>
      </w:r>
      <w:proofErr w:type="spellStart"/>
      <w:r w:rsidRPr="00A40DDE">
        <w:rPr>
          <w:sz w:val="28"/>
          <w:szCs w:val="32"/>
        </w:rPr>
        <w:t>nonlisted</w:t>
      </w:r>
      <w:proofErr w:type="spellEnd"/>
      <w:r w:rsidRPr="00A40DDE">
        <w:rPr>
          <w:sz w:val="28"/>
          <w:szCs w:val="32"/>
        </w:rPr>
        <w:t xml:space="preserve"> banks in the extent to which they manage regulatory capital</w:t>
      </w:r>
      <w:r w:rsidRPr="00A40DDE">
        <w:rPr>
          <w:rFonts w:ascii="Calibri" w:eastAsia="Calibri" w:hAnsi="Calibri" w:cs="Calibri"/>
          <w:sz w:val="28"/>
          <w:szCs w:val="32"/>
        </w:rPr>
        <w:t>—</w:t>
      </w:r>
      <w:r w:rsidRPr="00A40DDE">
        <w:rPr>
          <w:sz w:val="28"/>
          <w:szCs w:val="32"/>
        </w:rPr>
        <w:t xml:space="preserve">based on Model III, listed banks with low regulatory capital realize more net securities gains (t-stat. = 2.75). The other </w:t>
      </w:r>
      <w:proofErr w:type="spellStart"/>
      <w:r w:rsidRPr="00A40DDE">
        <w:rPr>
          <w:rFonts w:ascii="Calibri" w:eastAsia="Calibri" w:hAnsi="Calibri" w:cs="Calibri"/>
          <w:sz w:val="28"/>
          <w:szCs w:val="32"/>
        </w:rPr>
        <w:t>RegCapLow</w:t>
      </w:r>
      <w:proofErr w:type="spellEnd"/>
      <w:r w:rsidRPr="00A40DDE">
        <w:rPr>
          <w:rFonts w:ascii="Calibri" w:eastAsia="Calibri" w:hAnsi="Calibri" w:cs="Calibri"/>
          <w:sz w:val="28"/>
          <w:szCs w:val="32"/>
        </w:rPr>
        <w:t xml:space="preserve"> </w:t>
      </w:r>
      <w:r w:rsidRPr="00A40DDE">
        <w:rPr>
          <w:sz w:val="28"/>
          <w:szCs w:val="32"/>
        </w:rPr>
        <w:t xml:space="preserve">and </w:t>
      </w:r>
      <w:proofErr w:type="spellStart"/>
      <w:r w:rsidRPr="00A40DDE">
        <w:rPr>
          <w:rFonts w:ascii="Calibri" w:eastAsia="Calibri" w:hAnsi="Calibri" w:cs="Calibri"/>
          <w:sz w:val="28"/>
          <w:szCs w:val="32"/>
        </w:rPr>
        <w:t>NIneg</w:t>
      </w:r>
      <w:proofErr w:type="spellEnd"/>
      <w:r w:rsidRPr="00A40DDE">
        <w:rPr>
          <w:rFonts w:ascii="Calibri" w:eastAsia="Calibri" w:hAnsi="Calibri" w:cs="Calibri"/>
          <w:sz w:val="28"/>
          <w:szCs w:val="32"/>
        </w:rPr>
        <w:t xml:space="preserve"> × </w:t>
      </w:r>
      <w:proofErr w:type="spellStart"/>
      <w:r w:rsidRPr="00A40DDE">
        <w:rPr>
          <w:rFonts w:ascii="Calibri" w:eastAsia="Calibri" w:hAnsi="Calibri" w:cs="Calibri"/>
          <w:sz w:val="28"/>
          <w:szCs w:val="32"/>
        </w:rPr>
        <w:t>RegCapLow</w:t>
      </w:r>
      <w:proofErr w:type="spellEnd"/>
      <w:r w:rsidRPr="00A40DDE">
        <w:rPr>
          <w:rFonts w:ascii="Calibri" w:eastAsia="Calibri" w:hAnsi="Calibri" w:cs="Calibri"/>
          <w:sz w:val="28"/>
          <w:szCs w:val="32"/>
        </w:rPr>
        <w:t xml:space="preserve"> </w:t>
      </w:r>
      <w:r w:rsidRPr="00A40DDE">
        <w:rPr>
          <w:sz w:val="28"/>
          <w:szCs w:val="32"/>
        </w:rPr>
        <w:t xml:space="preserve">coefficients generally are not significantly different (t-stats. = 1.86 and 0.99; </w:t>
      </w:r>
      <w:r w:rsidRPr="00A40DDE">
        <w:rPr>
          <w:rFonts w:ascii="Calibri" w:eastAsia="Calibri" w:hAnsi="Calibri" w:cs="Calibri"/>
          <w:sz w:val="28"/>
          <w:szCs w:val="32"/>
        </w:rPr>
        <w:t>−</w:t>
      </w:r>
      <w:r w:rsidRPr="00A40DDE">
        <w:rPr>
          <w:sz w:val="28"/>
          <w:szCs w:val="32"/>
        </w:rPr>
        <w:t xml:space="preserve">0.63 and </w:t>
      </w:r>
      <w:r w:rsidRPr="00A40DDE">
        <w:rPr>
          <w:rFonts w:ascii="Calibri" w:eastAsia="Calibri" w:hAnsi="Calibri" w:cs="Calibri"/>
          <w:sz w:val="28"/>
          <w:szCs w:val="32"/>
        </w:rPr>
        <w:t>−</w:t>
      </w:r>
      <w:r w:rsidRPr="00A40DDE">
        <w:rPr>
          <w:sz w:val="28"/>
          <w:szCs w:val="32"/>
        </w:rPr>
        <w:t xml:space="preserve">1.09 for the </w:t>
      </w:r>
      <w:proofErr w:type="spellStart"/>
      <w:r w:rsidRPr="00A40DDE">
        <w:rPr>
          <w:rFonts w:ascii="Calibri" w:eastAsia="Calibri" w:hAnsi="Calibri" w:cs="Calibri"/>
          <w:sz w:val="28"/>
          <w:szCs w:val="32"/>
        </w:rPr>
        <w:t>RegCapLow</w:t>
      </w:r>
      <w:proofErr w:type="spellEnd"/>
      <w:r w:rsidRPr="00A40DDE">
        <w:rPr>
          <w:sz w:val="28"/>
          <w:szCs w:val="32"/>
        </w:rPr>
        <w:t xml:space="preserve">; </w:t>
      </w:r>
      <w:proofErr w:type="spellStart"/>
      <w:r w:rsidRPr="00A40DDE">
        <w:rPr>
          <w:rFonts w:ascii="Calibri" w:eastAsia="Calibri" w:hAnsi="Calibri" w:cs="Calibri"/>
          <w:sz w:val="28"/>
          <w:szCs w:val="32"/>
        </w:rPr>
        <w:t>NIneg</w:t>
      </w:r>
      <w:proofErr w:type="spellEnd"/>
      <w:r w:rsidRPr="00A40DDE">
        <w:rPr>
          <w:rFonts w:ascii="Calibri" w:eastAsia="Calibri" w:hAnsi="Calibri" w:cs="Calibri"/>
          <w:sz w:val="28"/>
          <w:szCs w:val="32"/>
        </w:rPr>
        <w:t xml:space="preserve"> × </w:t>
      </w:r>
      <w:proofErr w:type="spellStart"/>
      <w:r w:rsidRPr="00A40DDE">
        <w:rPr>
          <w:rFonts w:ascii="Calibri" w:eastAsia="Calibri" w:hAnsi="Calibri" w:cs="Calibri"/>
          <w:sz w:val="28"/>
          <w:szCs w:val="32"/>
        </w:rPr>
        <w:t>RegCapLow</w:t>
      </w:r>
      <w:proofErr w:type="spellEnd"/>
      <w:r w:rsidRPr="00A40DDE">
        <w:rPr>
          <w:rFonts w:ascii="Calibri" w:eastAsia="Calibri" w:hAnsi="Calibri" w:cs="Calibri"/>
          <w:sz w:val="28"/>
          <w:szCs w:val="32"/>
        </w:rPr>
        <w:t xml:space="preserve"> </w:t>
      </w:r>
      <w:r w:rsidRPr="00A40DDE">
        <w:rPr>
          <w:sz w:val="28"/>
          <w:szCs w:val="32"/>
        </w:rPr>
        <w:t>coefficients).</w:t>
      </w:r>
      <w:r w:rsidRPr="00A40DDE">
        <w:rPr>
          <w:sz w:val="28"/>
          <w:szCs w:val="32"/>
          <w:vertAlign w:val="superscript"/>
        </w:rPr>
        <w:footnoteReference w:id="25"/>
      </w:r>
    </w:p>
    <w:p w:rsidR="007A7C36" w:rsidRPr="00A40DDE" w:rsidRDefault="007A7C36" w:rsidP="007A7C36">
      <w:pPr>
        <w:rPr>
          <w:sz w:val="22"/>
          <w:szCs w:val="32"/>
          <w:rtl/>
        </w:rPr>
      </w:pPr>
    </w:p>
    <w:p w:rsidR="007A7C36" w:rsidRPr="00A40DDE" w:rsidRDefault="007A7C36" w:rsidP="007A7C36">
      <w:pPr>
        <w:rPr>
          <w:sz w:val="28"/>
          <w:szCs w:val="32"/>
          <w:rtl/>
          <w:lang w:bidi="fa-IR"/>
        </w:rPr>
      </w:pPr>
    </w:p>
    <w:p w:rsidR="009B4A34" w:rsidRPr="00A40DDE" w:rsidRDefault="009B4A34" w:rsidP="007A7C36">
      <w:pPr>
        <w:rPr>
          <w:sz w:val="28"/>
          <w:szCs w:val="32"/>
          <w:rtl/>
          <w:lang w:bidi="fa-IR"/>
        </w:rPr>
      </w:pPr>
      <w:r w:rsidRPr="00A40DDE">
        <w:rPr>
          <w:noProof/>
          <w:sz w:val="24"/>
          <w:szCs w:val="28"/>
        </w:rPr>
        <w:lastRenderedPageBreak/>
        <w:drawing>
          <wp:inline distT="0" distB="0" distL="0" distR="0" wp14:anchorId="1767BBEA" wp14:editId="1098AA68">
            <wp:extent cx="3076575" cy="5486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76575" cy="5486400"/>
                    </a:xfrm>
                    <a:prstGeom prst="rect">
                      <a:avLst/>
                    </a:prstGeom>
                  </pic:spPr>
                </pic:pic>
              </a:graphicData>
            </a:graphic>
          </wp:inline>
        </w:drawing>
      </w:r>
    </w:p>
    <w:p w:rsidR="007A7C36" w:rsidRPr="00A40DDE" w:rsidRDefault="007A7C36" w:rsidP="007A7C36">
      <w:pPr>
        <w:rPr>
          <w:sz w:val="28"/>
          <w:szCs w:val="32"/>
          <w:rtl/>
          <w:lang w:bidi="fa-IR"/>
        </w:rPr>
      </w:pPr>
    </w:p>
    <w:p w:rsidR="007A7C36" w:rsidRPr="00A40DDE" w:rsidRDefault="007A7C36" w:rsidP="007A7C36">
      <w:pPr>
        <w:rPr>
          <w:sz w:val="28"/>
          <w:szCs w:val="32"/>
          <w:rtl/>
          <w:lang w:bidi="fa-IR"/>
        </w:rPr>
      </w:pPr>
    </w:p>
    <w:p w:rsidR="007A7C36" w:rsidRPr="00A40DDE" w:rsidRDefault="009B4A34" w:rsidP="007A7C36">
      <w:pPr>
        <w:rPr>
          <w:sz w:val="28"/>
          <w:szCs w:val="32"/>
          <w:rtl/>
          <w:lang w:bidi="fa-IR"/>
        </w:rPr>
      </w:pPr>
      <w:r w:rsidRPr="00A40DDE">
        <w:rPr>
          <w:noProof/>
          <w:sz w:val="24"/>
          <w:szCs w:val="28"/>
        </w:rPr>
        <w:lastRenderedPageBreak/>
        <w:drawing>
          <wp:inline distT="0" distB="0" distL="0" distR="0" wp14:anchorId="44E481F9" wp14:editId="76F4AEA2">
            <wp:extent cx="3162300" cy="5448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62300" cy="5448300"/>
                    </a:xfrm>
                    <a:prstGeom prst="rect">
                      <a:avLst/>
                    </a:prstGeom>
                  </pic:spPr>
                </pic:pic>
              </a:graphicData>
            </a:graphic>
          </wp:inline>
        </w:drawing>
      </w:r>
    </w:p>
    <w:p w:rsidR="007A7C36" w:rsidRPr="00A40DDE" w:rsidRDefault="007A7C36" w:rsidP="007A7C36">
      <w:pPr>
        <w:rPr>
          <w:sz w:val="28"/>
          <w:szCs w:val="32"/>
          <w:rtl/>
          <w:lang w:bidi="fa-IR"/>
        </w:rPr>
      </w:pPr>
    </w:p>
    <w:p w:rsidR="007A7C36" w:rsidRPr="00A40DDE" w:rsidRDefault="007A7C36" w:rsidP="007A7C36">
      <w:pPr>
        <w:rPr>
          <w:sz w:val="28"/>
          <w:szCs w:val="32"/>
          <w:rtl/>
          <w:lang w:bidi="fa-IR"/>
        </w:rPr>
      </w:pPr>
    </w:p>
    <w:p w:rsidR="007A7C36" w:rsidRPr="00A40DDE" w:rsidRDefault="007A7C36" w:rsidP="007A7C36">
      <w:pPr>
        <w:rPr>
          <w:sz w:val="28"/>
          <w:szCs w:val="32"/>
          <w:rtl/>
          <w:lang w:bidi="fa-IR"/>
        </w:rPr>
      </w:pPr>
    </w:p>
    <w:p w:rsidR="007A7C36" w:rsidRPr="00A40DDE" w:rsidRDefault="007A7C36" w:rsidP="007A7C36">
      <w:pPr>
        <w:rPr>
          <w:sz w:val="28"/>
          <w:szCs w:val="32"/>
          <w:rtl/>
          <w:lang w:bidi="fa-IR"/>
        </w:rPr>
      </w:pPr>
    </w:p>
    <w:p w:rsidR="007A7C36" w:rsidRPr="00A40DDE" w:rsidRDefault="007A7C36" w:rsidP="007A7C36">
      <w:pPr>
        <w:rPr>
          <w:sz w:val="28"/>
          <w:szCs w:val="32"/>
          <w:rtl/>
          <w:lang w:bidi="fa-IR"/>
        </w:rPr>
      </w:pPr>
    </w:p>
    <w:p w:rsidR="007A7C36" w:rsidRPr="00A40DDE" w:rsidRDefault="007A7C36" w:rsidP="007A7C36">
      <w:pPr>
        <w:rPr>
          <w:sz w:val="28"/>
          <w:szCs w:val="32"/>
          <w:rtl/>
          <w:lang w:bidi="fa-IR"/>
        </w:rPr>
      </w:pPr>
    </w:p>
    <w:p w:rsidR="007A7C36" w:rsidRPr="00A40DDE" w:rsidRDefault="007A7C36" w:rsidP="007A7C36">
      <w:pPr>
        <w:rPr>
          <w:sz w:val="28"/>
          <w:szCs w:val="32"/>
          <w:rtl/>
          <w:lang w:bidi="fa-IR"/>
        </w:rPr>
      </w:pPr>
    </w:p>
    <w:p w:rsidR="007A7C36" w:rsidRPr="00A40DDE" w:rsidRDefault="007A7C36" w:rsidP="007A7C36">
      <w:pPr>
        <w:rPr>
          <w:sz w:val="28"/>
          <w:szCs w:val="32"/>
          <w:rtl/>
          <w:lang w:bidi="fa-IR"/>
        </w:rPr>
      </w:pPr>
    </w:p>
    <w:p w:rsidR="007A7C36" w:rsidRPr="00A40DDE" w:rsidRDefault="007A7C36" w:rsidP="007A7C36">
      <w:pPr>
        <w:rPr>
          <w:sz w:val="28"/>
          <w:szCs w:val="32"/>
          <w:rtl/>
          <w:lang w:bidi="fa-IR"/>
        </w:rPr>
      </w:pPr>
    </w:p>
    <w:p w:rsidR="007A7C36" w:rsidRPr="00A40DDE" w:rsidRDefault="007A7C36" w:rsidP="007A7C36">
      <w:pPr>
        <w:rPr>
          <w:sz w:val="28"/>
          <w:szCs w:val="32"/>
          <w:rtl/>
          <w:lang w:bidi="fa-IR"/>
        </w:rPr>
      </w:pPr>
    </w:p>
    <w:p w:rsidR="007A7C36" w:rsidRPr="00A40DDE" w:rsidRDefault="007A7C36" w:rsidP="007A7C36">
      <w:pPr>
        <w:spacing w:after="263"/>
        <w:ind w:left="-15" w:right="-13"/>
        <w:rPr>
          <w:sz w:val="28"/>
          <w:szCs w:val="32"/>
        </w:rPr>
      </w:pPr>
      <w:r w:rsidRPr="00A40DDE">
        <w:rPr>
          <w:sz w:val="28"/>
          <w:szCs w:val="32"/>
        </w:rPr>
        <w:lastRenderedPageBreak/>
        <w:t xml:space="preserve">For the sake of parsimony, we do not tabulate findings from the loss avoider analyses in Table </w:t>
      </w:r>
      <w:r w:rsidRPr="00A40DDE">
        <w:rPr>
          <w:color w:val="392A97"/>
          <w:sz w:val="28"/>
          <w:szCs w:val="32"/>
        </w:rPr>
        <w:t xml:space="preserve">4 </w:t>
      </w:r>
      <w:r w:rsidRPr="00A40DDE">
        <w:rPr>
          <w:sz w:val="28"/>
          <w:szCs w:val="32"/>
        </w:rPr>
        <w:t xml:space="preserve">separately for listed and non-listed banks. However, </w:t>
      </w:r>
      <w:proofErr w:type="spellStart"/>
      <w:r w:rsidRPr="00A40DDE">
        <w:rPr>
          <w:sz w:val="28"/>
          <w:szCs w:val="32"/>
        </w:rPr>
        <w:t>untabulated</w:t>
      </w:r>
      <w:proofErr w:type="spellEnd"/>
      <w:r w:rsidRPr="00A40DDE">
        <w:rPr>
          <w:sz w:val="28"/>
          <w:szCs w:val="32"/>
        </w:rPr>
        <w:t xml:space="preserve"> findings for both types of banks reveal inferences identical to those revealed by the findings in Table </w:t>
      </w:r>
      <w:r w:rsidRPr="00A40DDE">
        <w:rPr>
          <w:color w:val="392A97"/>
          <w:sz w:val="28"/>
          <w:szCs w:val="32"/>
        </w:rPr>
        <w:t>4</w:t>
      </w:r>
      <w:r w:rsidRPr="00A40DDE">
        <w:rPr>
          <w:sz w:val="28"/>
          <w:szCs w:val="32"/>
        </w:rPr>
        <w:t>.</w:t>
      </w:r>
    </w:p>
    <w:p w:rsidR="007A7C36" w:rsidRPr="00A40DDE" w:rsidRDefault="007A7C36" w:rsidP="007A7C36">
      <w:pPr>
        <w:spacing w:after="256" w:line="265" w:lineRule="auto"/>
        <w:ind w:left="-5" w:right="0" w:hanging="10"/>
        <w:jc w:val="left"/>
        <w:rPr>
          <w:sz w:val="28"/>
          <w:szCs w:val="32"/>
        </w:rPr>
      </w:pPr>
      <w:r w:rsidRPr="00A40DDE">
        <w:rPr>
          <w:sz w:val="28"/>
          <w:szCs w:val="32"/>
        </w:rPr>
        <w:t>5.5 Additional analyses</w:t>
      </w:r>
    </w:p>
    <w:p w:rsidR="007A7C36" w:rsidRPr="00A40DDE" w:rsidRDefault="007A7C36" w:rsidP="007A7C36">
      <w:pPr>
        <w:spacing w:after="229" w:line="250" w:lineRule="auto"/>
        <w:ind w:left="-5" w:right="0" w:hanging="10"/>
        <w:jc w:val="left"/>
        <w:rPr>
          <w:sz w:val="28"/>
          <w:szCs w:val="32"/>
        </w:rPr>
      </w:pPr>
      <w:r w:rsidRPr="00A40DDE">
        <w:rPr>
          <w:rFonts w:ascii="Calibri" w:eastAsia="Calibri" w:hAnsi="Calibri" w:cs="Calibri"/>
          <w:sz w:val="28"/>
          <w:szCs w:val="32"/>
        </w:rPr>
        <w:t>5.5.1 Simultaneous use of additional earnings and regulatory capital management tools</w:t>
      </w:r>
    </w:p>
    <w:p w:rsidR="007A7C36" w:rsidRPr="00A40DDE" w:rsidRDefault="007A7C36" w:rsidP="007A7C36">
      <w:pPr>
        <w:ind w:left="-15" w:right="-13" w:firstLine="0"/>
        <w:rPr>
          <w:sz w:val="28"/>
          <w:szCs w:val="32"/>
        </w:rPr>
      </w:pPr>
      <w:r w:rsidRPr="00A40DDE">
        <w:rPr>
          <w:sz w:val="28"/>
          <w:szCs w:val="32"/>
        </w:rPr>
        <w:t xml:space="preserve">Prior research, discussed in section </w:t>
      </w:r>
      <w:r w:rsidRPr="00A40DDE">
        <w:rPr>
          <w:color w:val="392A97"/>
          <w:sz w:val="28"/>
          <w:szCs w:val="32"/>
        </w:rPr>
        <w:t>2.2</w:t>
      </w:r>
      <w:r w:rsidRPr="00A40DDE">
        <w:rPr>
          <w:sz w:val="28"/>
          <w:szCs w:val="32"/>
        </w:rPr>
        <w:t xml:space="preserve">, finds that banks manage earnings and regulatory capital using the loan loss provision and manage earnings using securitization gains. Changes in equity financing also </w:t>
      </w:r>
      <w:proofErr w:type="gramStart"/>
      <w:r w:rsidRPr="00A40DDE">
        <w:rPr>
          <w:sz w:val="28"/>
          <w:szCs w:val="32"/>
        </w:rPr>
        <w:t>can be used</w:t>
      </w:r>
      <w:proofErr w:type="gramEnd"/>
      <w:r w:rsidRPr="00A40DDE">
        <w:rPr>
          <w:sz w:val="28"/>
          <w:szCs w:val="32"/>
        </w:rPr>
        <w:t xml:space="preserve"> as a direct means to manage regulatory capital. Thus, following Beatty et al. (</w:t>
      </w:r>
      <w:r w:rsidRPr="00A40DDE">
        <w:rPr>
          <w:color w:val="392A97"/>
          <w:sz w:val="28"/>
          <w:szCs w:val="32"/>
        </w:rPr>
        <w:t>1995</w:t>
      </w:r>
      <w:r w:rsidRPr="00A40DDE">
        <w:rPr>
          <w:sz w:val="28"/>
          <w:szCs w:val="32"/>
        </w:rPr>
        <w:t>), we next test whether the simultaneous consideration of these earnings and regulatory capital management tools affects our inferences regarding realized gains and losses on AFS securities.</w:t>
      </w:r>
    </w:p>
    <w:p w:rsidR="007A7C36" w:rsidRPr="00A40DDE" w:rsidRDefault="007A7C36" w:rsidP="007A7C36">
      <w:pPr>
        <w:spacing w:after="313" w:line="259" w:lineRule="auto"/>
        <w:ind w:left="10" w:hanging="10"/>
        <w:jc w:val="right"/>
        <w:rPr>
          <w:sz w:val="28"/>
          <w:szCs w:val="32"/>
        </w:rPr>
      </w:pPr>
      <w:r w:rsidRPr="00A40DDE">
        <w:rPr>
          <w:sz w:val="28"/>
          <w:szCs w:val="32"/>
        </w:rPr>
        <w:t>We use two-stage least squares to estimate systems of equations based on Eq. (</w:t>
      </w:r>
      <w:r w:rsidRPr="00A40DDE">
        <w:rPr>
          <w:color w:val="392A97"/>
          <w:sz w:val="28"/>
          <w:szCs w:val="32"/>
        </w:rPr>
        <w:t>1</w:t>
      </w:r>
      <w:r w:rsidRPr="00A40DDE">
        <w:rPr>
          <w:sz w:val="28"/>
          <w:szCs w:val="32"/>
        </w:rPr>
        <w:t>).</w:t>
      </w:r>
      <w:r w:rsidRPr="00A40DDE">
        <w:rPr>
          <w:sz w:val="28"/>
          <w:szCs w:val="32"/>
          <w:vertAlign w:val="superscript"/>
        </w:rPr>
        <w:footnoteReference w:id="26"/>
      </w:r>
    </w:p>
    <w:p w:rsidR="00B13699" w:rsidRPr="00A40DDE" w:rsidRDefault="00B13699" w:rsidP="007A7C36">
      <w:pPr>
        <w:rPr>
          <w:rFonts w:ascii="Calibri" w:eastAsia="Calibri" w:hAnsi="Calibri" w:cs="Calibri"/>
          <w:sz w:val="28"/>
          <w:szCs w:val="32"/>
        </w:rPr>
      </w:pPr>
      <w:r w:rsidRPr="00A40DDE">
        <w:rPr>
          <w:noProof/>
          <w:sz w:val="24"/>
          <w:szCs w:val="28"/>
        </w:rPr>
        <w:drawing>
          <wp:inline distT="0" distB="0" distL="0" distR="0" wp14:anchorId="45E3BEC8" wp14:editId="471FC5C3">
            <wp:extent cx="4457700" cy="2085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57700" cy="2085975"/>
                    </a:xfrm>
                    <a:prstGeom prst="rect">
                      <a:avLst/>
                    </a:prstGeom>
                  </pic:spPr>
                </pic:pic>
              </a:graphicData>
            </a:graphic>
          </wp:inline>
        </w:drawing>
      </w:r>
    </w:p>
    <w:p w:rsidR="007A7C36" w:rsidRPr="00A40DDE" w:rsidRDefault="007A7C36" w:rsidP="007A7C36">
      <w:pPr>
        <w:rPr>
          <w:sz w:val="28"/>
          <w:szCs w:val="32"/>
          <w:rtl/>
        </w:rPr>
      </w:pPr>
      <w:r w:rsidRPr="00A40DDE">
        <w:rPr>
          <w:rFonts w:ascii="Calibri" w:eastAsia="Calibri" w:hAnsi="Calibri" w:cs="Calibri"/>
          <w:sz w:val="28"/>
          <w:szCs w:val="32"/>
        </w:rPr>
        <w:t xml:space="preserve">LLP </w:t>
      </w:r>
      <w:r w:rsidRPr="00A40DDE">
        <w:rPr>
          <w:sz w:val="28"/>
          <w:szCs w:val="32"/>
        </w:rPr>
        <w:t xml:space="preserve">is the loan loss provision, which we code as a positive number, and </w:t>
      </w:r>
      <w:r w:rsidRPr="00A40DDE">
        <w:rPr>
          <w:rFonts w:ascii="Calibri" w:eastAsia="Calibri" w:hAnsi="Calibri" w:cs="Calibri"/>
          <w:sz w:val="28"/>
          <w:szCs w:val="32"/>
        </w:rPr>
        <w:t xml:space="preserve">SG </w:t>
      </w:r>
      <w:r w:rsidRPr="00A40DDE">
        <w:rPr>
          <w:sz w:val="28"/>
          <w:szCs w:val="32"/>
        </w:rPr>
        <w:t xml:space="preserve">is securitization gains. </w:t>
      </w:r>
      <w:proofErr w:type="spellStart"/>
      <w:r w:rsidRPr="00A40DDE">
        <w:rPr>
          <w:rFonts w:ascii="Calibri" w:eastAsia="Calibri" w:hAnsi="Calibri" w:cs="Calibri"/>
          <w:sz w:val="28"/>
          <w:szCs w:val="32"/>
        </w:rPr>
        <w:t>ΔEqFin</w:t>
      </w:r>
      <w:proofErr w:type="spellEnd"/>
      <w:r w:rsidRPr="00A40DDE">
        <w:rPr>
          <w:rFonts w:ascii="Calibri" w:eastAsia="Calibri" w:hAnsi="Calibri" w:cs="Calibri"/>
          <w:sz w:val="28"/>
          <w:szCs w:val="32"/>
        </w:rPr>
        <w:t xml:space="preserve"> </w:t>
      </w:r>
      <w:r w:rsidRPr="00A40DDE">
        <w:rPr>
          <w:sz w:val="28"/>
          <w:szCs w:val="32"/>
        </w:rPr>
        <w:t>is change in equity other than that associated with current</w:t>
      </w:r>
      <w:r w:rsidRPr="00A40DDE">
        <w:rPr>
          <w:rFonts w:hint="cs"/>
          <w:sz w:val="28"/>
          <w:szCs w:val="32"/>
          <w:rtl/>
        </w:rPr>
        <w:t>.</w:t>
      </w:r>
    </w:p>
    <w:p w:rsidR="007A7C36" w:rsidRPr="00A40DDE" w:rsidRDefault="007A7C36" w:rsidP="007A7C36">
      <w:pPr>
        <w:ind w:left="-15" w:right="-13"/>
        <w:rPr>
          <w:sz w:val="28"/>
          <w:szCs w:val="32"/>
        </w:rPr>
      </w:pPr>
      <w:proofErr w:type="gramStart"/>
      <w:r w:rsidRPr="00A40DDE">
        <w:rPr>
          <w:sz w:val="28"/>
          <w:szCs w:val="32"/>
        </w:rPr>
        <w:t>quarter</w:t>
      </w:r>
      <w:proofErr w:type="gramEnd"/>
      <w:r w:rsidRPr="00A40DDE">
        <w:rPr>
          <w:sz w:val="28"/>
          <w:szCs w:val="32"/>
        </w:rPr>
        <w:t xml:space="preserve"> comprehensive income, i.e., the change in total equity minus total comprehensive income. </w:t>
      </w:r>
      <w:r w:rsidRPr="00A40DDE">
        <w:rPr>
          <w:rFonts w:ascii="Calibri" w:eastAsia="Calibri" w:hAnsi="Calibri" w:cs="Calibri"/>
          <w:sz w:val="28"/>
          <w:szCs w:val="32"/>
        </w:rPr>
        <w:t xml:space="preserve">NI^ </w:t>
      </w:r>
      <w:r w:rsidRPr="00A40DDE">
        <w:rPr>
          <w:sz w:val="28"/>
          <w:szCs w:val="32"/>
        </w:rPr>
        <w:t>(</w:t>
      </w:r>
      <w:proofErr w:type="spellStart"/>
      <w:r w:rsidRPr="00A40DDE">
        <w:rPr>
          <w:rFonts w:ascii="Calibri" w:eastAsia="Calibri" w:hAnsi="Calibri" w:cs="Calibri"/>
          <w:sz w:val="28"/>
          <w:szCs w:val="32"/>
        </w:rPr>
        <w:t>RegCapLow</w:t>
      </w:r>
      <w:proofErr w:type="spellEnd"/>
      <w:r w:rsidRPr="00A40DDE">
        <w:rPr>
          <w:rFonts w:ascii="Calibri" w:eastAsia="Calibri" w:hAnsi="Calibri" w:cs="Calibri"/>
          <w:sz w:val="28"/>
          <w:szCs w:val="32"/>
        </w:rPr>
        <w:t>^</w:t>
      </w:r>
      <w:r w:rsidRPr="00A40DDE">
        <w:rPr>
          <w:sz w:val="28"/>
          <w:szCs w:val="32"/>
        </w:rPr>
        <w:t xml:space="preserve">) is net income (regulatory capital) before </w:t>
      </w:r>
      <w:r w:rsidRPr="00A40DDE">
        <w:rPr>
          <w:rFonts w:ascii="Calibri" w:eastAsia="Calibri" w:hAnsi="Calibri" w:cs="Calibri"/>
          <w:sz w:val="28"/>
          <w:szCs w:val="32"/>
        </w:rPr>
        <w:t>RGL</w:t>
      </w:r>
      <w:r w:rsidRPr="00A40DDE">
        <w:rPr>
          <w:sz w:val="28"/>
          <w:szCs w:val="32"/>
        </w:rPr>
        <w:t xml:space="preserve">, </w:t>
      </w:r>
      <w:r w:rsidRPr="00A40DDE">
        <w:rPr>
          <w:rFonts w:ascii="Calibri" w:eastAsia="Calibri" w:hAnsi="Calibri" w:cs="Calibri"/>
          <w:sz w:val="28"/>
          <w:szCs w:val="32"/>
        </w:rPr>
        <w:t>LLP</w:t>
      </w:r>
      <w:r w:rsidRPr="00A40DDE">
        <w:rPr>
          <w:sz w:val="28"/>
          <w:szCs w:val="32"/>
        </w:rPr>
        <w:t xml:space="preserve">, and </w:t>
      </w:r>
      <w:r w:rsidRPr="00A40DDE">
        <w:rPr>
          <w:rFonts w:ascii="Calibri" w:eastAsia="Calibri" w:hAnsi="Calibri" w:cs="Calibri"/>
          <w:sz w:val="28"/>
          <w:szCs w:val="32"/>
        </w:rPr>
        <w:t>SG</w:t>
      </w:r>
      <w:r w:rsidRPr="00A40DDE">
        <w:rPr>
          <w:sz w:val="28"/>
          <w:szCs w:val="32"/>
        </w:rPr>
        <w:t xml:space="preserve">, and </w:t>
      </w:r>
      <w:proofErr w:type="spellStart"/>
      <w:r w:rsidRPr="00A40DDE">
        <w:rPr>
          <w:rFonts w:ascii="Calibri" w:eastAsia="Calibri" w:hAnsi="Calibri" w:cs="Calibri"/>
          <w:sz w:val="28"/>
          <w:szCs w:val="32"/>
        </w:rPr>
        <w:t>CommonControls</w:t>
      </w:r>
      <w:proofErr w:type="spellEnd"/>
      <w:r w:rsidRPr="00A40DDE">
        <w:rPr>
          <w:rFonts w:ascii="Calibri" w:eastAsia="Calibri" w:hAnsi="Calibri" w:cs="Calibri"/>
          <w:sz w:val="28"/>
          <w:szCs w:val="32"/>
        </w:rPr>
        <w:t xml:space="preserve"> </w:t>
      </w:r>
      <w:r w:rsidRPr="00A40DDE">
        <w:rPr>
          <w:sz w:val="28"/>
          <w:szCs w:val="32"/>
        </w:rPr>
        <w:t xml:space="preserve">comprises </w:t>
      </w:r>
      <w:r w:rsidRPr="00A40DDE">
        <w:rPr>
          <w:rFonts w:ascii="Calibri" w:eastAsia="Calibri" w:hAnsi="Calibri" w:cs="Calibri"/>
          <w:sz w:val="28"/>
          <w:szCs w:val="32"/>
        </w:rPr>
        <w:t>Size</w:t>
      </w:r>
      <w:r w:rsidRPr="00A40DDE">
        <w:rPr>
          <w:sz w:val="28"/>
          <w:szCs w:val="32"/>
        </w:rPr>
        <w:t xml:space="preserve">, </w:t>
      </w:r>
      <w:r w:rsidRPr="00A40DDE">
        <w:rPr>
          <w:rFonts w:ascii="Calibri" w:eastAsia="Calibri" w:hAnsi="Calibri" w:cs="Calibri"/>
          <w:sz w:val="28"/>
          <w:szCs w:val="32"/>
        </w:rPr>
        <w:t>Liquid</w:t>
      </w:r>
      <w:r w:rsidRPr="00A40DDE">
        <w:rPr>
          <w:sz w:val="28"/>
          <w:szCs w:val="32"/>
        </w:rPr>
        <w:t xml:space="preserve">, </w:t>
      </w:r>
      <w:r w:rsidRPr="00A40DDE">
        <w:rPr>
          <w:rFonts w:ascii="Calibri" w:eastAsia="Calibri" w:hAnsi="Calibri" w:cs="Calibri"/>
          <w:sz w:val="28"/>
          <w:szCs w:val="32"/>
        </w:rPr>
        <w:t>VIX</w:t>
      </w:r>
      <w:r w:rsidRPr="00A40DDE">
        <w:rPr>
          <w:sz w:val="28"/>
          <w:szCs w:val="32"/>
        </w:rPr>
        <w:t xml:space="preserve">, </w:t>
      </w:r>
      <w:proofErr w:type="spellStart"/>
      <w:r w:rsidRPr="00A40DDE">
        <w:rPr>
          <w:rFonts w:ascii="Calibri" w:eastAsia="Calibri" w:hAnsi="Calibri" w:cs="Calibri"/>
          <w:sz w:val="28"/>
          <w:szCs w:val="32"/>
        </w:rPr>
        <w:t>Unemp</w:t>
      </w:r>
      <w:proofErr w:type="spellEnd"/>
      <w:r w:rsidRPr="00A40DDE">
        <w:rPr>
          <w:sz w:val="28"/>
          <w:szCs w:val="32"/>
        </w:rPr>
        <w:t xml:space="preserve">, and </w:t>
      </w:r>
      <w:r w:rsidRPr="00A40DDE">
        <w:rPr>
          <w:rFonts w:ascii="Calibri" w:eastAsia="Calibri" w:hAnsi="Calibri" w:cs="Calibri"/>
          <w:sz w:val="28"/>
          <w:szCs w:val="32"/>
        </w:rPr>
        <w:lastRenderedPageBreak/>
        <w:t>LIBOR</w:t>
      </w:r>
      <w:r w:rsidRPr="00A40DDE">
        <w:rPr>
          <w:sz w:val="28"/>
          <w:szCs w:val="32"/>
        </w:rPr>
        <w:t xml:space="preserve">. We have no predictions for </w:t>
      </w:r>
      <w:r w:rsidRPr="00A40DDE">
        <w:rPr>
          <w:rFonts w:ascii="Calibri" w:eastAsia="Calibri" w:hAnsi="Calibri" w:cs="Calibri"/>
          <w:sz w:val="28"/>
          <w:szCs w:val="32"/>
        </w:rPr>
        <w:t>δ</w:t>
      </w:r>
      <w:r w:rsidRPr="00A40DDE">
        <w:rPr>
          <w:sz w:val="28"/>
          <w:szCs w:val="32"/>
          <w:vertAlign w:val="subscript"/>
        </w:rPr>
        <w:t>1</w:t>
      </w:r>
      <w:r w:rsidRPr="00A40DDE">
        <w:rPr>
          <w:sz w:val="28"/>
          <w:szCs w:val="32"/>
        </w:rPr>
        <w:t xml:space="preserve">, </w:t>
      </w:r>
      <w:r w:rsidRPr="00A40DDE">
        <w:rPr>
          <w:rFonts w:ascii="Calibri" w:eastAsia="Calibri" w:hAnsi="Calibri" w:cs="Calibri"/>
          <w:sz w:val="28"/>
          <w:szCs w:val="32"/>
        </w:rPr>
        <w:t>δ</w:t>
      </w:r>
      <w:r w:rsidRPr="00A40DDE">
        <w:rPr>
          <w:sz w:val="28"/>
          <w:szCs w:val="32"/>
          <w:vertAlign w:val="subscript"/>
        </w:rPr>
        <w:t>2</w:t>
      </w:r>
      <w:r w:rsidRPr="00A40DDE">
        <w:rPr>
          <w:sz w:val="28"/>
          <w:szCs w:val="32"/>
        </w:rPr>
        <w:t xml:space="preserve">, and </w:t>
      </w:r>
      <w:r w:rsidRPr="00A40DDE">
        <w:rPr>
          <w:rFonts w:ascii="Calibri" w:eastAsia="Calibri" w:hAnsi="Calibri" w:cs="Calibri"/>
          <w:sz w:val="28"/>
          <w:szCs w:val="32"/>
        </w:rPr>
        <w:t>δ</w:t>
      </w:r>
      <w:r w:rsidRPr="00A40DDE">
        <w:rPr>
          <w:sz w:val="28"/>
          <w:szCs w:val="32"/>
          <w:vertAlign w:val="subscript"/>
        </w:rPr>
        <w:t xml:space="preserve">3 </w:t>
      </w:r>
      <w:r w:rsidRPr="00A40DDE">
        <w:rPr>
          <w:sz w:val="28"/>
          <w:szCs w:val="32"/>
        </w:rPr>
        <w:t>because we have no predictions for which earnings management tools banks use, or in which order, but our predictions for the other coefficients in Eq. (</w:t>
      </w:r>
      <w:r w:rsidRPr="00A40DDE">
        <w:rPr>
          <w:color w:val="392A97"/>
          <w:sz w:val="28"/>
          <w:szCs w:val="32"/>
        </w:rPr>
        <w:t>3a</w:t>
      </w:r>
      <w:r w:rsidRPr="00A40DDE">
        <w:rPr>
          <w:sz w:val="28"/>
          <w:szCs w:val="32"/>
        </w:rPr>
        <w:t>) are the same as for Eq. (</w:t>
      </w:r>
      <w:r w:rsidRPr="00A40DDE">
        <w:rPr>
          <w:color w:val="392A97"/>
          <w:sz w:val="28"/>
          <w:szCs w:val="32"/>
        </w:rPr>
        <w:t>1</w:t>
      </w:r>
      <w:r w:rsidRPr="00A40DDE">
        <w:rPr>
          <w:sz w:val="28"/>
          <w:szCs w:val="32"/>
        </w:rPr>
        <w:t>).</w:t>
      </w:r>
    </w:p>
    <w:p w:rsidR="007A7C36" w:rsidRPr="00A40DDE" w:rsidRDefault="007A7C36" w:rsidP="007A7C36">
      <w:pPr>
        <w:ind w:left="-15" w:right="-13"/>
        <w:rPr>
          <w:sz w:val="28"/>
          <w:szCs w:val="32"/>
        </w:rPr>
      </w:pPr>
      <w:r w:rsidRPr="00A40DDE">
        <w:rPr>
          <w:sz w:val="28"/>
          <w:szCs w:val="32"/>
        </w:rPr>
        <w:t>To identify the system, each equation includes variables omitted from the others. Equation (</w:t>
      </w:r>
      <w:r w:rsidRPr="00A40DDE">
        <w:rPr>
          <w:color w:val="392A97"/>
          <w:sz w:val="28"/>
          <w:szCs w:val="32"/>
        </w:rPr>
        <w:t>3a</w:t>
      </w:r>
      <w:r w:rsidRPr="00A40DDE">
        <w:rPr>
          <w:sz w:val="28"/>
          <w:szCs w:val="32"/>
        </w:rPr>
        <w:t xml:space="preserve">) includes </w:t>
      </w:r>
      <w:r w:rsidRPr="00A40DDE">
        <w:rPr>
          <w:rFonts w:ascii="Calibri" w:eastAsia="Calibri" w:hAnsi="Calibri" w:cs="Calibri"/>
          <w:sz w:val="28"/>
          <w:szCs w:val="32"/>
        </w:rPr>
        <w:t>UL</w:t>
      </w:r>
      <w:r w:rsidRPr="00A40DDE">
        <w:rPr>
          <w:rFonts w:ascii="Calibri" w:eastAsia="Calibri" w:hAnsi="Calibri" w:cs="Calibri"/>
          <w:sz w:val="28"/>
          <w:szCs w:val="32"/>
          <w:vertAlign w:val="subscript"/>
        </w:rPr>
        <w:t>t−</w:t>
      </w:r>
      <w:r w:rsidRPr="00A40DDE">
        <w:rPr>
          <w:sz w:val="28"/>
          <w:szCs w:val="32"/>
          <w:vertAlign w:val="subscript"/>
        </w:rPr>
        <w:t xml:space="preserve">1 </w:t>
      </w:r>
      <w:r w:rsidRPr="00A40DDE">
        <w:rPr>
          <w:sz w:val="28"/>
          <w:szCs w:val="32"/>
        </w:rPr>
        <w:t xml:space="preserve">and </w:t>
      </w:r>
      <w:r w:rsidRPr="00A40DDE">
        <w:rPr>
          <w:rFonts w:ascii="Calibri" w:eastAsia="Calibri" w:hAnsi="Calibri" w:cs="Calibri"/>
          <w:sz w:val="28"/>
          <w:szCs w:val="32"/>
        </w:rPr>
        <w:t>UG</w:t>
      </w:r>
      <w:r w:rsidRPr="00A40DDE">
        <w:rPr>
          <w:rFonts w:ascii="Calibri" w:eastAsia="Calibri" w:hAnsi="Calibri" w:cs="Calibri"/>
          <w:sz w:val="28"/>
          <w:szCs w:val="32"/>
          <w:vertAlign w:val="subscript"/>
        </w:rPr>
        <w:t>t−</w:t>
      </w:r>
      <w:r w:rsidRPr="00A40DDE">
        <w:rPr>
          <w:sz w:val="28"/>
          <w:szCs w:val="32"/>
          <w:vertAlign w:val="subscript"/>
        </w:rPr>
        <w:t xml:space="preserve">1 </w:t>
      </w:r>
      <w:r w:rsidRPr="00A40DDE">
        <w:rPr>
          <w:sz w:val="28"/>
          <w:szCs w:val="32"/>
        </w:rPr>
        <w:t>because we expect beginning-</w:t>
      </w:r>
      <w:proofErr w:type="spellStart"/>
      <w:r w:rsidRPr="00A40DDE">
        <w:rPr>
          <w:sz w:val="28"/>
          <w:szCs w:val="32"/>
        </w:rPr>
        <w:t>ofquarter</w:t>
      </w:r>
      <w:proofErr w:type="spellEnd"/>
      <w:r w:rsidRPr="00A40DDE">
        <w:rPr>
          <w:sz w:val="28"/>
          <w:szCs w:val="32"/>
        </w:rPr>
        <w:t xml:space="preserve"> accumulated unrecognized gains and losses on AFS securities to be associated with realized gains and losses on the securities during the quarter. Equation (</w:t>
      </w:r>
      <w:r w:rsidRPr="00A40DDE">
        <w:rPr>
          <w:color w:val="392A97"/>
          <w:sz w:val="28"/>
          <w:szCs w:val="32"/>
        </w:rPr>
        <w:t>3b</w:t>
      </w:r>
      <w:r w:rsidRPr="00A40DDE">
        <w:rPr>
          <w:sz w:val="28"/>
          <w:szCs w:val="32"/>
        </w:rPr>
        <w:t xml:space="preserve">) includes </w:t>
      </w:r>
      <w:r w:rsidRPr="00A40DDE">
        <w:rPr>
          <w:rFonts w:ascii="Calibri" w:eastAsia="Calibri" w:hAnsi="Calibri" w:cs="Calibri"/>
          <w:sz w:val="28"/>
          <w:szCs w:val="32"/>
        </w:rPr>
        <w:t>LLP</w:t>
      </w:r>
      <w:r w:rsidRPr="00A40DDE">
        <w:rPr>
          <w:rFonts w:ascii="Calibri" w:eastAsia="Calibri" w:hAnsi="Calibri" w:cs="Calibri"/>
          <w:sz w:val="28"/>
          <w:szCs w:val="32"/>
          <w:vertAlign w:val="subscript"/>
        </w:rPr>
        <w:t>t−</w:t>
      </w:r>
      <w:r w:rsidRPr="00A40DDE">
        <w:rPr>
          <w:sz w:val="28"/>
          <w:szCs w:val="32"/>
          <w:vertAlign w:val="subscript"/>
        </w:rPr>
        <w:t xml:space="preserve">1 </w:t>
      </w:r>
      <w:r w:rsidRPr="00A40DDE">
        <w:rPr>
          <w:sz w:val="28"/>
          <w:szCs w:val="32"/>
        </w:rPr>
        <w:t xml:space="preserve">and </w:t>
      </w:r>
      <w:r w:rsidRPr="00A40DDE">
        <w:rPr>
          <w:rFonts w:ascii="Calibri" w:eastAsia="Calibri" w:hAnsi="Calibri" w:cs="Calibri"/>
          <w:sz w:val="28"/>
          <w:szCs w:val="32"/>
        </w:rPr>
        <w:t>ΔNPL</w:t>
      </w:r>
      <w:r w:rsidRPr="00A40DDE">
        <w:rPr>
          <w:sz w:val="28"/>
          <w:szCs w:val="32"/>
        </w:rPr>
        <w:t>, the change in nonperforming loans and leases deflated by beginning-of-quarter total assets, because we expect the bank</w:t>
      </w:r>
      <w:r w:rsidRPr="00A40DDE">
        <w:rPr>
          <w:rFonts w:ascii="Calibri" w:eastAsia="Calibri" w:hAnsi="Calibri" w:cs="Calibri"/>
          <w:sz w:val="28"/>
          <w:szCs w:val="32"/>
        </w:rPr>
        <w:t>’</w:t>
      </w:r>
      <w:r w:rsidRPr="00A40DDE">
        <w:rPr>
          <w:sz w:val="28"/>
          <w:szCs w:val="32"/>
        </w:rPr>
        <w:t xml:space="preserve">s prior </w:t>
      </w:r>
      <w:proofErr w:type="gramStart"/>
      <w:r w:rsidRPr="00A40DDE">
        <w:rPr>
          <w:sz w:val="28"/>
          <w:szCs w:val="32"/>
        </w:rPr>
        <w:t>quarter loan loss provision</w:t>
      </w:r>
      <w:proofErr w:type="gramEnd"/>
      <w:r w:rsidRPr="00A40DDE">
        <w:rPr>
          <w:sz w:val="28"/>
          <w:szCs w:val="32"/>
        </w:rPr>
        <w:t xml:space="preserve"> and the change in nonperforming loans to be associated with the loan loss provision (Beatty et al. </w:t>
      </w:r>
      <w:r w:rsidRPr="00A40DDE">
        <w:rPr>
          <w:color w:val="392A97"/>
          <w:sz w:val="28"/>
          <w:szCs w:val="32"/>
        </w:rPr>
        <w:t>1995</w:t>
      </w:r>
      <w:r w:rsidRPr="00A40DDE">
        <w:rPr>
          <w:sz w:val="28"/>
          <w:szCs w:val="32"/>
        </w:rPr>
        <w:t>). Equations (</w:t>
      </w:r>
      <w:r w:rsidRPr="00A40DDE">
        <w:rPr>
          <w:color w:val="392A97"/>
          <w:sz w:val="28"/>
          <w:szCs w:val="32"/>
        </w:rPr>
        <w:t>3a</w:t>
      </w:r>
      <w:r w:rsidRPr="00A40DDE">
        <w:rPr>
          <w:sz w:val="28"/>
          <w:szCs w:val="32"/>
        </w:rPr>
        <w:t>) and (</w:t>
      </w:r>
      <w:r w:rsidRPr="00A40DDE">
        <w:rPr>
          <w:color w:val="392A97"/>
          <w:sz w:val="28"/>
          <w:szCs w:val="32"/>
        </w:rPr>
        <w:t>3b</w:t>
      </w:r>
      <w:r w:rsidRPr="00A40DDE">
        <w:rPr>
          <w:sz w:val="28"/>
          <w:szCs w:val="32"/>
        </w:rPr>
        <w:t xml:space="preserve">) include </w:t>
      </w:r>
      <w:r w:rsidRPr="00A40DDE">
        <w:rPr>
          <w:rFonts w:ascii="Calibri" w:eastAsia="Calibri" w:hAnsi="Calibri" w:cs="Calibri"/>
          <w:sz w:val="28"/>
          <w:szCs w:val="32"/>
        </w:rPr>
        <w:t xml:space="preserve">Sec </w:t>
      </w:r>
      <w:r w:rsidRPr="00A40DDE">
        <w:rPr>
          <w:sz w:val="28"/>
          <w:szCs w:val="32"/>
        </w:rPr>
        <w:t>because it captures the bank</w:t>
      </w:r>
      <w:r w:rsidRPr="00A40DDE">
        <w:rPr>
          <w:rFonts w:ascii="Calibri" w:eastAsia="Calibri" w:hAnsi="Calibri" w:cs="Calibri"/>
          <w:sz w:val="28"/>
          <w:szCs w:val="32"/>
        </w:rPr>
        <w:t>’</w:t>
      </w:r>
      <w:r w:rsidRPr="00A40DDE">
        <w:rPr>
          <w:sz w:val="28"/>
          <w:szCs w:val="32"/>
        </w:rPr>
        <w:t>s asset composition; banks with higher investment in securities tend to have lower investment in loans. Equation (</w:t>
      </w:r>
      <w:r w:rsidRPr="00A40DDE">
        <w:rPr>
          <w:color w:val="392A97"/>
          <w:sz w:val="28"/>
          <w:szCs w:val="32"/>
        </w:rPr>
        <w:t>3c</w:t>
      </w:r>
      <w:r w:rsidRPr="00A40DDE">
        <w:rPr>
          <w:sz w:val="28"/>
          <w:szCs w:val="32"/>
        </w:rPr>
        <w:t>) (Eq. (</w:t>
      </w:r>
      <w:r w:rsidRPr="00A40DDE">
        <w:rPr>
          <w:color w:val="392A97"/>
          <w:sz w:val="28"/>
          <w:szCs w:val="32"/>
        </w:rPr>
        <w:t>3d</w:t>
      </w:r>
      <w:r w:rsidRPr="00A40DDE">
        <w:rPr>
          <w:sz w:val="28"/>
          <w:szCs w:val="32"/>
        </w:rPr>
        <w:t xml:space="preserve">)) includes </w:t>
      </w:r>
      <w:r w:rsidRPr="00A40DDE">
        <w:rPr>
          <w:rFonts w:ascii="Calibri" w:eastAsia="Calibri" w:hAnsi="Calibri" w:cs="Calibri"/>
          <w:sz w:val="28"/>
          <w:szCs w:val="32"/>
        </w:rPr>
        <w:t>SG</w:t>
      </w:r>
      <w:r w:rsidRPr="00A40DDE">
        <w:rPr>
          <w:rFonts w:ascii="Calibri" w:eastAsia="Calibri" w:hAnsi="Calibri" w:cs="Calibri"/>
          <w:sz w:val="28"/>
          <w:szCs w:val="32"/>
          <w:vertAlign w:val="subscript"/>
        </w:rPr>
        <w:t>t−</w:t>
      </w:r>
      <w:r w:rsidRPr="00A40DDE">
        <w:rPr>
          <w:sz w:val="28"/>
          <w:szCs w:val="32"/>
          <w:vertAlign w:val="subscript"/>
        </w:rPr>
        <w:t xml:space="preserve">1 </w:t>
      </w:r>
      <w:r w:rsidRPr="00A40DDE">
        <w:rPr>
          <w:sz w:val="28"/>
          <w:szCs w:val="32"/>
        </w:rPr>
        <w:t>(</w:t>
      </w:r>
      <w:r w:rsidRPr="00A40DDE">
        <w:rPr>
          <w:rFonts w:ascii="Calibri" w:eastAsia="Calibri" w:hAnsi="Calibri" w:cs="Calibri"/>
          <w:sz w:val="28"/>
          <w:szCs w:val="32"/>
        </w:rPr>
        <w:t>ΔEqFin</w:t>
      </w:r>
      <w:r w:rsidRPr="00A40DDE">
        <w:rPr>
          <w:rFonts w:ascii="Calibri" w:eastAsia="Calibri" w:hAnsi="Calibri" w:cs="Calibri"/>
          <w:sz w:val="28"/>
          <w:szCs w:val="32"/>
          <w:vertAlign w:val="subscript"/>
        </w:rPr>
        <w:t>t−</w:t>
      </w:r>
      <w:r w:rsidRPr="00A40DDE">
        <w:rPr>
          <w:sz w:val="28"/>
          <w:szCs w:val="32"/>
          <w:vertAlign w:val="subscript"/>
        </w:rPr>
        <w:t xml:space="preserve">1 </w:t>
      </w:r>
      <w:r w:rsidRPr="00A40DDE">
        <w:rPr>
          <w:sz w:val="28"/>
          <w:szCs w:val="32"/>
        </w:rPr>
        <w:t xml:space="preserve">and </w:t>
      </w:r>
      <w:r w:rsidRPr="00A40DDE">
        <w:rPr>
          <w:rFonts w:ascii="Calibri" w:eastAsia="Calibri" w:hAnsi="Calibri" w:cs="Calibri"/>
          <w:sz w:val="28"/>
          <w:szCs w:val="32"/>
        </w:rPr>
        <w:t>Lev</w:t>
      </w:r>
      <w:r w:rsidRPr="00A40DDE">
        <w:rPr>
          <w:rFonts w:ascii="Calibri" w:eastAsia="Calibri" w:hAnsi="Calibri" w:cs="Calibri"/>
          <w:sz w:val="28"/>
          <w:szCs w:val="32"/>
          <w:vertAlign w:val="subscript"/>
        </w:rPr>
        <w:t>t−</w:t>
      </w:r>
      <w:r w:rsidRPr="00A40DDE">
        <w:rPr>
          <w:sz w:val="28"/>
          <w:szCs w:val="32"/>
          <w:vertAlign w:val="subscript"/>
        </w:rPr>
        <w:t>1</w:t>
      </w:r>
      <w:r w:rsidRPr="00A40DDE">
        <w:rPr>
          <w:sz w:val="28"/>
          <w:szCs w:val="32"/>
        </w:rPr>
        <w:t>) because we expect the bank</w:t>
      </w:r>
      <w:r w:rsidRPr="00A40DDE">
        <w:rPr>
          <w:rFonts w:ascii="Calibri" w:eastAsia="Calibri" w:hAnsi="Calibri" w:cs="Calibri"/>
          <w:sz w:val="28"/>
          <w:szCs w:val="32"/>
        </w:rPr>
        <w:t>’</w:t>
      </w:r>
      <w:r w:rsidRPr="00A40DDE">
        <w:rPr>
          <w:sz w:val="28"/>
          <w:szCs w:val="32"/>
        </w:rPr>
        <w:t xml:space="preserve">s prior quarter securitization gains (equity financing and </w:t>
      </w:r>
      <w:proofErr w:type="gramStart"/>
      <w:r w:rsidRPr="00A40DDE">
        <w:rPr>
          <w:sz w:val="28"/>
          <w:szCs w:val="32"/>
        </w:rPr>
        <w:t>leverage</w:t>
      </w:r>
      <w:proofErr w:type="gramEnd"/>
      <w:r w:rsidRPr="00A40DDE">
        <w:rPr>
          <w:sz w:val="28"/>
          <w:szCs w:val="32"/>
        </w:rPr>
        <w:t>) to be associated with the current quarter</w:t>
      </w:r>
      <w:r w:rsidRPr="00A40DDE">
        <w:rPr>
          <w:rFonts w:ascii="Calibri" w:eastAsia="Calibri" w:hAnsi="Calibri" w:cs="Calibri"/>
          <w:sz w:val="28"/>
          <w:szCs w:val="32"/>
        </w:rPr>
        <w:t>’</w:t>
      </w:r>
      <w:r w:rsidRPr="00A40DDE">
        <w:rPr>
          <w:sz w:val="28"/>
          <w:szCs w:val="32"/>
        </w:rPr>
        <w:t>s securitization gains (equity financing).</w:t>
      </w:r>
    </w:p>
    <w:p w:rsidR="007A7C36" w:rsidRPr="00A40DDE" w:rsidRDefault="007A7C36" w:rsidP="007A7C36">
      <w:pPr>
        <w:ind w:left="-15" w:right="-13"/>
        <w:rPr>
          <w:sz w:val="28"/>
          <w:szCs w:val="32"/>
        </w:rPr>
      </w:pPr>
      <w:r w:rsidRPr="00A40DDE">
        <w:rPr>
          <w:sz w:val="28"/>
          <w:szCs w:val="32"/>
        </w:rPr>
        <w:t xml:space="preserve">Table </w:t>
      </w:r>
      <w:proofErr w:type="gramStart"/>
      <w:r w:rsidRPr="00A40DDE">
        <w:rPr>
          <w:color w:val="392A97"/>
          <w:sz w:val="28"/>
          <w:szCs w:val="32"/>
        </w:rPr>
        <w:t>6</w:t>
      </w:r>
      <w:proofErr w:type="gramEnd"/>
      <w:r w:rsidRPr="00A40DDE">
        <w:rPr>
          <w:sz w:val="28"/>
          <w:szCs w:val="32"/>
        </w:rPr>
        <w:t xml:space="preserve">, panel A, presents findings relating to the second-stage estimates for </w:t>
      </w:r>
      <w:proofErr w:type="spellStart"/>
      <w:r w:rsidRPr="00A40DDE">
        <w:rPr>
          <w:sz w:val="28"/>
          <w:szCs w:val="32"/>
        </w:rPr>
        <w:t>Eqs</w:t>
      </w:r>
      <w:proofErr w:type="spellEnd"/>
      <w:r w:rsidRPr="00A40DDE">
        <w:rPr>
          <w:sz w:val="28"/>
          <w:szCs w:val="32"/>
        </w:rPr>
        <w:t>. (</w:t>
      </w:r>
      <w:r w:rsidRPr="00A40DDE">
        <w:rPr>
          <w:color w:val="392A97"/>
          <w:sz w:val="28"/>
          <w:szCs w:val="32"/>
        </w:rPr>
        <w:t>3a</w:t>
      </w:r>
      <w:r w:rsidRPr="00A40DDE">
        <w:rPr>
          <w:sz w:val="28"/>
          <w:szCs w:val="32"/>
        </w:rPr>
        <w:t>) through (</w:t>
      </w:r>
      <w:r w:rsidRPr="00A40DDE">
        <w:rPr>
          <w:color w:val="392A97"/>
          <w:sz w:val="28"/>
          <w:szCs w:val="32"/>
        </w:rPr>
        <w:t>3d</w:t>
      </w:r>
      <w:r w:rsidRPr="00A40DDE">
        <w:rPr>
          <w:sz w:val="28"/>
          <w:szCs w:val="32"/>
        </w:rPr>
        <w:t xml:space="preserve">). The first set of columns reveals that of the alternative dependent variables, securitization gains, </w:t>
      </w:r>
      <w:r w:rsidRPr="00A40DDE">
        <w:rPr>
          <w:rFonts w:ascii="Calibri" w:eastAsia="Calibri" w:hAnsi="Calibri" w:cs="Calibri"/>
          <w:sz w:val="28"/>
          <w:szCs w:val="32"/>
        </w:rPr>
        <w:t>SG</w:t>
      </w:r>
      <w:r w:rsidRPr="00A40DDE">
        <w:rPr>
          <w:sz w:val="28"/>
          <w:szCs w:val="32"/>
        </w:rPr>
        <w:t xml:space="preserve">, and change in equity financing, </w:t>
      </w:r>
      <w:proofErr w:type="spellStart"/>
      <w:r w:rsidRPr="00A40DDE">
        <w:rPr>
          <w:rFonts w:ascii="Calibri" w:eastAsia="Calibri" w:hAnsi="Calibri" w:cs="Calibri"/>
          <w:sz w:val="28"/>
          <w:szCs w:val="32"/>
        </w:rPr>
        <w:t>ΔEqFin</w:t>
      </w:r>
      <w:proofErr w:type="spellEnd"/>
      <w:r w:rsidRPr="00A40DDE">
        <w:rPr>
          <w:sz w:val="28"/>
          <w:szCs w:val="32"/>
        </w:rPr>
        <w:t xml:space="preserve">, </w:t>
      </w:r>
      <w:proofErr w:type="gramStart"/>
      <w:r w:rsidRPr="00A40DDE">
        <w:rPr>
          <w:sz w:val="28"/>
          <w:szCs w:val="32"/>
        </w:rPr>
        <w:t>are significantly positively related</w:t>
      </w:r>
      <w:proofErr w:type="gramEnd"/>
      <w:r w:rsidRPr="00A40DDE">
        <w:rPr>
          <w:sz w:val="28"/>
          <w:szCs w:val="32"/>
        </w:rPr>
        <w:t xml:space="preserve"> to realized AFS securities gains and losses, </w:t>
      </w:r>
      <w:r w:rsidRPr="00A40DDE">
        <w:rPr>
          <w:rFonts w:ascii="Calibri" w:eastAsia="Calibri" w:hAnsi="Calibri" w:cs="Calibri"/>
          <w:sz w:val="28"/>
          <w:szCs w:val="32"/>
        </w:rPr>
        <w:t xml:space="preserve">RGL </w:t>
      </w:r>
      <w:r w:rsidRPr="00A40DDE">
        <w:rPr>
          <w:sz w:val="28"/>
          <w:szCs w:val="32"/>
        </w:rPr>
        <w:t xml:space="preserve">(t-stats. = 1.74 and 5.11). More importantly for our research question, panel A reveals that in the </w:t>
      </w:r>
      <w:r w:rsidRPr="00A40DDE">
        <w:rPr>
          <w:rFonts w:ascii="Calibri" w:eastAsia="Calibri" w:hAnsi="Calibri" w:cs="Calibri"/>
          <w:sz w:val="28"/>
          <w:szCs w:val="32"/>
        </w:rPr>
        <w:t xml:space="preserve">RGL </w:t>
      </w:r>
      <w:r w:rsidRPr="00A40DDE">
        <w:rPr>
          <w:sz w:val="28"/>
          <w:szCs w:val="32"/>
        </w:rPr>
        <w:t xml:space="preserve">equation, the </w:t>
      </w:r>
      <w:r w:rsidRPr="00A40DDE">
        <w:rPr>
          <w:rFonts w:ascii="Calibri" w:eastAsia="Calibri" w:hAnsi="Calibri" w:cs="Calibri"/>
          <w:sz w:val="28"/>
          <w:szCs w:val="32"/>
        </w:rPr>
        <w:t xml:space="preserve">NI^ </w:t>
      </w:r>
      <w:r w:rsidRPr="00A40DDE">
        <w:rPr>
          <w:sz w:val="28"/>
          <w:szCs w:val="32"/>
        </w:rPr>
        <w:t xml:space="preserve">and </w:t>
      </w:r>
      <w:proofErr w:type="spellStart"/>
      <w:r w:rsidRPr="00A40DDE">
        <w:rPr>
          <w:rFonts w:ascii="Calibri" w:eastAsia="Calibri" w:hAnsi="Calibri" w:cs="Calibri"/>
          <w:sz w:val="28"/>
          <w:szCs w:val="32"/>
        </w:rPr>
        <w:t>RegCapLow</w:t>
      </w:r>
      <w:proofErr w:type="spellEnd"/>
      <w:r w:rsidRPr="00A40DDE">
        <w:rPr>
          <w:rFonts w:ascii="Calibri" w:eastAsia="Calibri" w:hAnsi="Calibri" w:cs="Calibri"/>
          <w:sz w:val="28"/>
          <w:szCs w:val="32"/>
        </w:rPr>
        <w:t xml:space="preserve">^ </w:t>
      </w:r>
      <w:r w:rsidRPr="00A40DDE">
        <w:rPr>
          <w:sz w:val="28"/>
          <w:szCs w:val="32"/>
        </w:rPr>
        <w:t xml:space="preserve">coefficients are significantly negative and positive, which is consistent with Table </w:t>
      </w:r>
      <w:r w:rsidRPr="00A40DDE">
        <w:rPr>
          <w:color w:val="392A97"/>
          <w:sz w:val="28"/>
          <w:szCs w:val="32"/>
        </w:rPr>
        <w:t xml:space="preserve">2 </w:t>
      </w:r>
      <w:r w:rsidRPr="00A40DDE">
        <w:rPr>
          <w:sz w:val="28"/>
          <w:szCs w:val="32"/>
        </w:rPr>
        <w:t xml:space="preserve">(t-stats. = </w:t>
      </w:r>
      <w:r w:rsidRPr="00A40DDE">
        <w:rPr>
          <w:rFonts w:ascii="Calibri" w:eastAsia="Calibri" w:hAnsi="Calibri" w:cs="Calibri"/>
          <w:sz w:val="28"/>
          <w:szCs w:val="32"/>
        </w:rPr>
        <w:t>−</w:t>
      </w:r>
      <w:r w:rsidRPr="00A40DDE">
        <w:rPr>
          <w:sz w:val="28"/>
          <w:szCs w:val="32"/>
        </w:rPr>
        <w:t xml:space="preserve">5.12 and 3.26). The </w:t>
      </w:r>
      <w:r w:rsidRPr="00A40DDE">
        <w:rPr>
          <w:rFonts w:ascii="Calibri" w:eastAsia="Calibri" w:hAnsi="Calibri" w:cs="Calibri"/>
          <w:sz w:val="28"/>
          <w:szCs w:val="32"/>
        </w:rPr>
        <w:t>NI^</w:t>
      </w:r>
      <w:r w:rsidRPr="00A40DDE">
        <w:rPr>
          <w:sz w:val="28"/>
          <w:szCs w:val="32"/>
        </w:rPr>
        <w:t>×</w:t>
      </w:r>
      <w:proofErr w:type="spellStart"/>
      <w:r w:rsidRPr="00A40DDE">
        <w:rPr>
          <w:rFonts w:ascii="Calibri" w:eastAsia="Calibri" w:hAnsi="Calibri" w:cs="Calibri"/>
          <w:sz w:val="28"/>
          <w:szCs w:val="32"/>
        </w:rPr>
        <w:t>RegCapLow</w:t>
      </w:r>
      <w:proofErr w:type="spellEnd"/>
      <w:r w:rsidRPr="00A40DDE">
        <w:rPr>
          <w:rFonts w:ascii="Calibri" w:eastAsia="Calibri" w:hAnsi="Calibri" w:cs="Calibri"/>
          <w:sz w:val="28"/>
          <w:szCs w:val="32"/>
        </w:rPr>
        <w:t xml:space="preserve">^ </w:t>
      </w:r>
      <w:r w:rsidRPr="00A40DDE">
        <w:rPr>
          <w:sz w:val="28"/>
          <w:szCs w:val="32"/>
        </w:rPr>
        <w:t xml:space="preserve">coefficient is significantly negative (t-stat. = </w:t>
      </w:r>
      <w:r w:rsidRPr="00A40DDE">
        <w:rPr>
          <w:rFonts w:ascii="Calibri" w:eastAsia="Calibri" w:hAnsi="Calibri" w:cs="Calibri"/>
          <w:sz w:val="28"/>
          <w:szCs w:val="32"/>
        </w:rPr>
        <w:t>−</w:t>
      </w:r>
      <w:r w:rsidRPr="00A40DDE">
        <w:rPr>
          <w:sz w:val="28"/>
          <w:szCs w:val="32"/>
        </w:rPr>
        <w:t xml:space="preserve">2.50), whereas it is negative but insignificantly different from zero in Table </w:t>
      </w:r>
      <w:r w:rsidRPr="00A40DDE">
        <w:rPr>
          <w:color w:val="392A97"/>
          <w:sz w:val="28"/>
          <w:szCs w:val="32"/>
        </w:rPr>
        <w:t xml:space="preserve">2 </w:t>
      </w:r>
      <w:r w:rsidRPr="00A40DDE">
        <w:rPr>
          <w:sz w:val="28"/>
          <w:szCs w:val="32"/>
        </w:rPr>
        <w:t xml:space="preserve">(t-stat. = </w:t>
      </w:r>
      <w:r w:rsidRPr="00A40DDE">
        <w:rPr>
          <w:rFonts w:ascii="Calibri" w:eastAsia="Calibri" w:hAnsi="Calibri" w:cs="Calibri"/>
          <w:sz w:val="28"/>
          <w:szCs w:val="32"/>
        </w:rPr>
        <w:t>−</w:t>
      </w:r>
      <w:r w:rsidRPr="00A40DDE">
        <w:rPr>
          <w:sz w:val="28"/>
          <w:szCs w:val="32"/>
        </w:rPr>
        <w:t>0.84).</w:t>
      </w:r>
    </w:p>
    <w:p w:rsidR="007A7C36" w:rsidRPr="00A40DDE" w:rsidRDefault="007A7C36" w:rsidP="007A7C36">
      <w:pPr>
        <w:spacing w:after="257"/>
        <w:ind w:left="-15" w:right="-13"/>
        <w:rPr>
          <w:sz w:val="28"/>
          <w:szCs w:val="32"/>
        </w:rPr>
      </w:pPr>
      <w:r w:rsidRPr="00A40DDE">
        <w:rPr>
          <w:sz w:val="28"/>
          <w:szCs w:val="32"/>
        </w:rPr>
        <w:t xml:space="preserve">Panel B of Table </w:t>
      </w:r>
      <w:r w:rsidRPr="00A40DDE">
        <w:rPr>
          <w:color w:val="392A97"/>
          <w:sz w:val="28"/>
          <w:szCs w:val="32"/>
        </w:rPr>
        <w:t xml:space="preserve">6 </w:t>
      </w:r>
      <w:r w:rsidRPr="00A40DDE">
        <w:rPr>
          <w:sz w:val="28"/>
          <w:szCs w:val="32"/>
        </w:rPr>
        <w:t xml:space="preserve">presents summary statistics from </w:t>
      </w:r>
      <w:proofErr w:type="spellStart"/>
      <w:r w:rsidRPr="00A40DDE">
        <w:rPr>
          <w:sz w:val="28"/>
          <w:szCs w:val="32"/>
        </w:rPr>
        <w:t>Eqs</w:t>
      </w:r>
      <w:proofErr w:type="spellEnd"/>
      <w:r w:rsidRPr="00A40DDE">
        <w:rPr>
          <w:sz w:val="28"/>
          <w:szCs w:val="32"/>
        </w:rPr>
        <w:t>. (</w:t>
      </w:r>
      <w:r w:rsidRPr="00A40DDE">
        <w:rPr>
          <w:color w:val="392A97"/>
          <w:sz w:val="28"/>
          <w:szCs w:val="32"/>
        </w:rPr>
        <w:t>3a</w:t>
      </w:r>
      <w:r w:rsidRPr="00A40DDE">
        <w:rPr>
          <w:sz w:val="28"/>
          <w:szCs w:val="32"/>
        </w:rPr>
        <w:t>) through (</w:t>
      </w:r>
      <w:r w:rsidRPr="00A40DDE">
        <w:rPr>
          <w:color w:val="392A97"/>
          <w:sz w:val="28"/>
          <w:szCs w:val="32"/>
        </w:rPr>
        <w:t>3d</w:t>
      </w:r>
      <w:r w:rsidRPr="00A40DDE">
        <w:rPr>
          <w:sz w:val="28"/>
          <w:szCs w:val="32"/>
        </w:rPr>
        <w:t xml:space="preserve">), separating positive and negative </w:t>
      </w:r>
      <w:r w:rsidRPr="00A40DDE">
        <w:rPr>
          <w:rFonts w:ascii="Calibri" w:eastAsia="Calibri" w:hAnsi="Calibri" w:cs="Calibri"/>
          <w:sz w:val="28"/>
          <w:szCs w:val="32"/>
        </w:rPr>
        <w:t xml:space="preserve">NI </w:t>
      </w:r>
      <w:r w:rsidRPr="00A40DDE">
        <w:rPr>
          <w:sz w:val="28"/>
          <w:szCs w:val="32"/>
        </w:rPr>
        <w:t xml:space="preserve">as in the middle set of columns in Table </w:t>
      </w:r>
      <w:r w:rsidRPr="00A40DDE">
        <w:rPr>
          <w:color w:val="392A97"/>
          <w:sz w:val="28"/>
          <w:szCs w:val="32"/>
        </w:rPr>
        <w:t>3</w:t>
      </w:r>
      <w:r w:rsidRPr="00A40DDE">
        <w:rPr>
          <w:sz w:val="28"/>
          <w:szCs w:val="32"/>
        </w:rPr>
        <w:t xml:space="preserve">. Panel B reveals the same inferences as Table </w:t>
      </w:r>
      <w:r w:rsidRPr="00A40DDE">
        <w:rPr>
          <w:color w:val="392A97"/>
          <w:sz w:val="28"/>
          <w:szCs w:val="32"/>
        </w:rPr>
        <w:t xml:space="preserve">3 </w:t>
      </w:r>
      <w:r w:rsidRPr="00A40DDE">
        <w:rPr>
          <w:sz w:val="28"/>
          <w:szCs w:val="32"/>
        </w:rPr>
        <w:t xml:space="preserve">regarding </w:t>
      </w:r>
      <w:proofErr w:type="spellStart"/>
      <w:r w:rsidRPr="00A40DDE">
        <w:rPr>
          <w:rFonts w:ascii="Calibri" w:eastAsia="Calibri" w:hAnsi="Calibri" w:cs="Calibri"/>
          <w:sz w:val="28"/>
          <w:szCs w:val="32"/>
        </w:rPr>
        <w:t>NIneg</w:t>
      </w:r>
      <w:proofErr w:type="spellEnd"/>
      <w:r w:rsidRPr="00A40DDE">
        <w:rPr>
          <w:sz w:val="28"/>
          <w:szCs w:val="32"/>
        </w:rPr>
        <w:t xml:space="preserve">^, </w:t>
      </w:r>
      <w:proofErr w:type="spellStart"/>
      <w:r w:rsidRPr="00A40DDE">
        <w:rPr>
          <w:rFonts w:ascii="Calibri" w:eastAsia="Calibri" w:hAnsi="Calibri" w:cs="Calibri"/>
          <w:sz w:val="28"/>
          <w:szCs w:val="32"/>
        </w:rPr>
        <w:t>NIneg</w:t>
      </w:r>
      <w:proofErr w:type="spellEnd"/>
      <w:r w:rsidRPr="00A40DDE">
        <w:rPr>
          <w:rFonts w:ascii="Calibri" w:eastAsia="Calibri" w:hAnsi="Calibri" w:cs="Calibri"/>
          <w:sz w:val="28"/>
          <w:szCs w:val="32"/>
        </w:rPr>
        <w:t>^</w:t>
      </w:r>
      <w:r w:rsidRPr="00A40DDE">
        <w:rPr>
          <w:sz w:val="28"/>
          <w:szCs w:val="32"/>
        </w:rPr>
        <w:t>×</w:t>
      </w:r>
      <w:proofErr w:type="spellStart"/>
      <w:r w:rsidRPr="00A40DDE">
        <w:rPr>
          <w:rFonts w:ascii="Calibri" w:eastAsia="Calibri" w:hAnsi="Calibri" w:cs="Calibri"/>
          <w:sz w:val="28"/>
          <w:szCs w:val="32"/>
        </w:rPr>
        <w:t>RegCapLow</w:t>
      </w:r>
      <w:proofErr w:type="spellEnd"/>
      <w:r w:rsidRPr="00A40DDE">
        <w:rPr>
          <w:rFonts w:ascii="Calibri" w:eastAsia="Calibri" w:hAnsi="Calibri" w:cs="Calibri"/>
          <w:sz w:val="28"/>
          <w:szCs w:val="32"/>
        </w:rPr>
        <w:t>^</w:t>
      </w:r>
      <w:r w:rsidRPr="00A40DDE">
        <w:rPr>
          <w:sz w:val="28"/>
          <w:szCs w:val="32"/>
        </w:rPr>
        <w:t xml:space="preserve">, and </w:t>
      </w:r>
      <w:proofErr w:type="spellStart"/>
      <w:r w:rsidRPr="00A40DDE">
        <w:rPr>
          <w:rFonts w:ascii="Calibri" w:eastAsia="Calibri" w:hAnsi="Calibri" w:cs="Calibri"/>
          <w:sz w:val="28"/>
          <w:szCs w:val="32"/>
        </w:rPr>
        <w:t>NIpos</w:t>
      </w:r>
      <w:proofErr w:type="spellEnd"/>
      <w:r w:rsidRPr="00A40DDE">
        <w:rPr>
          <w:rFonts w:ascii="Calibri" w:eastAsia="Calibri" w:hAnsi="Calibri" w:cs="Calibri"/>
          <w:sz w:val="28"/>
          <w:szCs w:val="32"/>
        </w:rPr>
        <w:t>^</w:t>
      </w:r>
      <w:r w:rsidRPr="00A40DDE">
        <w:rPr>
          <w:sz w:val="28"/>
          <w:szCs w:val="32"/>
        </w:rPr>
        <w:t>, in that their coefficients are significantly positive, negative, and negative (</w:t>
      </w:r>
      <w:proofErr w:type="spellStart"/>
      <w:r w:rsidRPr="00A40DDE">
        <w:rPr>
          <w:sz w:val="28"/>
          <w:szCs w:val="32"/>
        </w:rPr>
        <w:t>tstats</w:t>
      </w:r>
      <w:proofErr w:type="spellEnd"/>
      <w:r w:rsidRPr="00A40DDE">
        <w:rPr>
          <w:sz w:val="28"/>
          <w:szCs w:val="32"/>
        </w:rPr>
        <w:t xml:space="preserve">. = 5.03, </w:t>
      </w:r>
      <w:r w:rsidRPr="00A40DDE">
        <w:rPr>
          <w:rFonts w:ascii="Calibri" w:eastAsia="Calibri" w:hAnsi="Calibri" w:cs="Calibri"/>
          <w:sz w:val="28"/>
          <w:szCs w:val="32"/>
        </w:rPr>
        <w:t>−</w:t>
      </w:r>
      <w:r w:rsidRPr="00A40DDE">
        <w:rPr>
          <w:sz w:val="28"/>
          <w:szCs w:val="32"/>
        </w:rPr>
        <w:t xml:space="preserve">3.19, and </w:t>
      </w:r>
      <w:r w:rsidRPr="00A40DDE">
        <w:rPr>
          <w:rFonts w:ascii="Calibri" w:eastAsia="Calibri" w:hAnsi="Calibri" w:cs="Calibri"/>
          <w:sz w:val="28"/>
          <w:szCs w:val="32"/>
        </w:rPr>
        <w:t>−</w:t>
      </w:r>
      <w:r w:rsidRPr="00A40DDE">
        <w:rPr>
          <w:sz w:val="28"/>
          <w:szCs w:val="32"/>
        </w:rPr>
        <w:t xml:space="preserve">6.77). However, the </w:t>
      </w:r>
      <w:proofErr w:type="spellStart"/>
      <w:r w:rsidRPr="00A40DDE">
        <w:rPr>
          <w:rFonts w:ascii="Calibri" w:eastAsia="Calibri" w:hAnsi="Calibri" w:cs="Calibri"/>
          <w:sz w:val="28"/>
          <w:szCs w:val="32"/>
        </w:rPr>
        <w:t>RegCapLow</w:t>
      </w:r>
      <w:proofErr w:type="spellEnd"/>
      <w:r w:rsidRPr="00A40DDE">
        <w:rPr>
          <w:rFonts w:ascii="Calibri" w:eastAsia="Calibri" w:hAnsi="Calibri" w:cs="Calibri"/>
          <w:sz w:val="28"/>
          <w:szCs w:val="32"/>
        </w:rPr>
        <w:t xml:space="preserve">^ </w:t>
      </w:r>
      <w:r w:rsidRPr="00A40DDE">
        <w:rPr>
          <w:sz w:val="28"/>
          <w:szCs w:val="32"/>
        </w:rPr>
        <w:t xml:space="preserve">coefficient is significantly positive in panel B (t-stat. = 2.04), whereas it is positive but insignificantly different from zero in Table </w:t>
      </w:r>
      <w:r w:rsidRPr="00A40DDE">
        <w:rPr>
          <w:color w:val="392A97"/>
          <w:sz w:val="28"/>
          <w:szCs w:val="32"/>
        </w:rPr>
        <w:t xml:space="preserve">3 </w:t>
      </w:r>
      <w:r w:rsidRPr="00A40DDE">
        <w:rPr>
          <w:sz w:val="28"/>
          <w:szCs w:val="32"/>
        </w:rPr>
        <w:t>(t-stat. = 1.43).</w:t>
      </w:r>
    </w:p>
    <w:p w:rsidR="007A7C36" w:rsidRPr="00A40DDE" w:rsidRDefault="007A7C36" w:rsidP="007A7C36">
      <w:pPr>
        <w:spacing w:after="229" w:line="250" w:lineRule="auto"/>
        <w:ind w:left="-5" w:right="0" w:hanging="10"/>
        <w:jc w:val="left"/>
        <w:rPr>
          <w:sz w:val="28"/>
          <w:szCs w:val="32"/>
        </w:rPr>
      </w:pPr>
      <w:r w:rsidRPr="00A40DDE">
        <w:rPr>
          <w:rFonts w:ascii="Calibri" w:eastAsia="Calibri" w:hAnsi="Calibri" w:cs="Calibri"/>
          <w:sz w:val="28"/>
          <w:szCs w:val="32"/>
        </w:rPr>
        <w:t>5.5.2 Using trading securities to manage earnings and regulatory capital</w:t>
      </w:r>
    </w:p>
    <w:p w:rsidR="009C459B" w:rsidRPr="00A40DDE" w:rsidRDefault="007A7C36" w:rsidP="009C459B">
      <w:pPr>
        <w:ind w:left="-15" w:right="-13" w:firstLine="0"/>
        <w:rPr>
          <w:sz w:val="28"/>
          <w:szCs w:val="32"/>
        </w:rPr>
      </w:pPr>
      <w:r w:rsidRPr="00A40DDE">
        <w:rPr>
          <w:sz w:val="28"/>
          <w:szCs w:val="32"/>
        </w:rPr>
        <w:lastRenderedPageBreak/>
        <w:t xml:space="preserve">As section </w:t>
      </w:r>
      <w:r w:rsidRPr="00A40DDE">
        <w:rPr>
          <w:color w:val="392A97"/>
          <w:sz w:val="28"/>
          <w:szCs w:val="32"/>
        </w:rPr>
        <w:t xml:space="preserve">2 </w:t>
      </w:r>
      <w:r w:rsidRPr="00A40DDE">
        <w:rPr>
          <w:sz w:val="28"/>
          <w:szCs w:val="32"/>
        </w:rPr>
        <w:t>explains, we do not expect banks to manage earnings or regulatory capital using trading securities. Thus, as a validity check, we re-estimate Eq. (</w:t>
      </w:r>
      <w:r w:rsidRPr="00A40DDE">
        <w:rPr>
          <w:color w:val="392A97"/>
          <w:sz w:val="28"/>
          <w:szCs w:val="32"/>
        </w:rPr>
        <w:t>1</w:t>
      </w:r>
      <w:r w:rsidRPr="00A40DDE">
        <w:rPr>
          <w:sz w:val="28"/>
          <w:szCs w:val="32"/>
        </w:rPr>
        <w:t>) using fair value gains and losses on trading securities as the dependent variable and</w:t>
      </w:r>
      <w:r w:rsidR="009C459B" w:rsidRPr="00A40DDE">
        <w:rPr>
          <w:rFonts w:hint="cs"/>
          <w:sz w:val="28"/>
          <w:szCs w:val="32"/>
          <w:rtl/>
        </w:rPr>
        <w:t xml:space="preserve"> </w:t>
      </w:r>
      <w:r w:rsidR="009C459B" w:rsidRPr="00A40DDE">
        <w:rPr>
          <w:sz w:val="28"/>
          <w:szCs w:val="32"/>
        </w:rPr>
        <w:t xml:space="preserve">redefining </w:t>
      </w:r>
      <w:r w:rsidR="009C459B" w:rsidRPr="00A40DDE">
        <w:rPr>
          <w:rFonts w:ascii="Calibri" w:eastAsia="Calibri" w:hAnsi="Calibri" w:cs="Calibri"/>
          <w:sz w:val="28"/>
          <w:szCs w:val="32"/>
        </w:rPr>
        <w:t xml:space="preserve">NI </w:t>
      </w:r>
      <w:r w:rsidR="009C459B" w:rsidRPr="00A40DDE">
        <w:rPr>
          <w:sz w:val="28"/>
          <w:szCs w:val="32"/>
        </w:rPr>
        <w:t xml:space="preserve">and </w:t>
      </w:r>
      <w:proofErr w:type="spellStart"/>
      <w:r w:rsidR="009C459B" w:rsidRPr="00A40DDE">
        <w:rPr>
          <w:rFonts w:ascii="Calibri" w:eastAsia="Calibri" w:hAnsi="Calibri" w:cs="Calibri"/>
          <w:sz w:val="28"/>
          <w:szCs w:val="32"/>
        </w:rPr>
        <w:t>RegCapLow</w:t>
      </w:r>
      <w:proofErr w:type="spellEnd"/>
      <w:r w:rsidR="009C459B" w:rsidRPr="00A40DDE">
        <w:rPr>
          <w:rFonts w:ascii="Calibri" w:eastAsia="Calibri" w:hAnsi="Calibri" w:cs="Calibri"/>
          <w:sz w:val="28"/>
          <w:szCs w:val="32"/>
        </w:rPr>
        <w:t xml:space="preserve"> </w:t>
      </w:r>
      <w:r w:rsidR="009C459B" w:rsidRPr="00A40DDE">
        <w:rPr>
          <w:sz w:val="28"/>
          <w:szCs w:val="32"/>
        </w:rPr>
        <w:t xml:space="preserve">to be before fair value gains and losses rather than before </w:t>
      </w:r>
      <w:r w:rsidR="009C459B" w:rsidRPr="00A40DDE">
        <w:rPr>
          <w:rFonts w:ascii="Calibri" w:eastAsia="Calibri" w:hAnsi="Calibri" w:cs="Calibri"/>
          <w:sz w:val="28"/>
          <w:szCs w:val="32"/>
        </w:rPr>
        <w:t>RGL</w:t>
      </w:r>
      <w:r w:rsidR="009C459B" w:rsidRPr="00A40DDE">
        <w:rPr>
          <w:sz w:val="28"/>
          <w:szCs w:val="32"/>
        </w:rPr>
        <w:t xml:space="preserve">. Of the 4561 observations with non-zero trading securities, 4389 have trading gains and losses. The </w:t>
      </w:r>
      <w:proofErr w:type="spellStart"/>
      <w:r w:rsidR="009C459B" w:rsidRPr="00A40DDE">
        <w:rPr>
          <w:sz w:val="28"/>
          <w:szCs w:val="32"/>
        </w:rPr>
        <w:t>untabulated</w:t>
      </w:r>
      <w:proofErr w:type="spellEnd"/>
      <w:r w:rsidR="009C459B" w:rsidRPr="00A40DDE">
        <w:rPr>
          <w:sz w:val="28"/>
          <w:szCs w:val="32"/>
        </w:rPr>
        <w:t xml:space="preserve"> findings reveal no evidence of earnings or regulatory capital management using trading securities. In Models </w:t>
      </w:r>
      <w:proofErr w:type="gramStart"/>
      <w:r w:rsidR="009C459B" w:rsidRPr="00A40DDE">
        <w:rPr>
          <w:sz w:val="28"/>
          <w:szCs w:val="32"/>
        </w:rPr>
        <w:t>I</w:t>
      </w:r>
      <w:proofErr w:type="gramEnd"/>
      <w:r w:rsidR="009C459B" w:rsidRPr="00A40DDE">
        <w:rPr>
          <w:sz w:val="28"/>
          <w:szCs w:val="32"/>
        </w:rPr>
        <w:t xml:space="preserve"> and II of Table </w:t>
      </w:r>
      <w:r w:rsidR="009C459B" w:rsidRPr="00A40DDE">
        <w:rPr>
          <w:color w:val="392A97"/>
          <w:sz w:val="28"/>
          <w:szCs w:val="32"/>
        </w:rPr>
        <w:t>2</w:t>
      </w:r>
      <w:r w:rsidR="009C459B" w:rsidRPr="00A40DDE">
        <w:rPr>
          <w:sz w:val="28"/>
          <w:szCs w:val="32"/>
        </w:rPr>
        <w:t xml:space="preserve">, t-statistics for the revised </w:t>
      </w:r>
      <w:r w:rsidR="009C459B" w:rsidRPr="00A40DDE">
        <w:rPr>
          <w:rFonts w:ascii="Calibri" w:eastAsia="Calibri" w:hAnsi="Calibri" w:cs="Calibri"/>
          <w:sz w:val="28"/>
          <w:szCs w:val="32"/>
        </w:rPr>
        <w:t xml:space="preserve">NI </w:t>
      </w:r>
      <w:r w:rsidR="009C459B" w:rsidRPr="00A40DDE">
        <w:rPr>
          <w:sz w:val="28"/>
          <w:szCs w:val="32"/>
        </w:rPr>
        <w:t xml:space="preserve">coefficients are 1.41 and 0.95, and t-statistics for the </w:t>
      </w:r>
      <w:proofErr w:type="spellStart"/>
      <w:r w:rsidR="009C459B" w:rsidRPr="00A40DDE">
        <w:rPr>
          <w:rFonts w:ascii="Calibri" w:eastAsia="Calibri" w:hAnsi="Calibri" w:cs="Calibri"/>
          <w:sz w:val="28"/>
          <w:szCs w:val="32"/>
        </w:rPr>
        <w:t>RegCapLow</w:t>
      </w:r>
      <w:proofErr w:type="spellEnd"/>
      <w:r w:rsidR="009C459B" w:rsidRPr="00A40DDE">
        <w:rPr>
          <w:rFonts w:ascii="Calibri" w:eastAsia="Calibri" w:hAnsi="Calibri" w:cs="Calibri"/>
          <w:sz w:val="28"/>
          <w:szCs w:val="32"/>
        </w:rPr>
        <w:t xml:space="preserve"> </w:t>
      </w:r>
      <w:r w:rsidR="009C459B" w:rsidRPr="00A40DDE">
        <w:rPr>
          <w:sz w:val="28"/>
          <w:szCs w:val="32"/>
        </w:rPr>
        <w:t xml:space="preserve">coefficients are </w:t>
      </w:r>
      <w:r w:rsidR="009C459B" w:rsidRPr="00A40DDE">
        <w:rPr>
          <w:rFonts w:ascii="Calibri" w:eastAsia="Calibri" w:hAnsi="Calibri" w:cs="Calibri"/>
          <w:sz w:val="28"/>
          <w:szCs w:val="32"/>
        </w:rPr>
        <w:t>−</w:t>
      </w:r>
      <w:r w:rsidR="009C459B" w:rsidRPr="00A40DDE">
        <w:rPr>
          <w:sz w:val="28"/>
          <w:szCs w:val="32"/>
        </w:rPr>
        <w:t xml:space="preserve">0.80 and </w:t>
      </w:r>
      <w:r w:rsidR="009C459B" w:rsidRPr="00A40DDE">
        <w:rPr>
          <w:rFonts w:ascii="Calibri" w:eastAsia="Calibri" w:hAnsi="Calibri" w:cs="Calibri"/>
          <w:sz w:val="28"/>
          <w:szCs w:val="32"/>
        </w:rPr>
        <w:t>−</w:t>
      </w:r>
      <w:r w:rsidR="009C459B" w:rsidRPr="00A40DDE">
        <w:rPr>
          <w:sz w:val="28"/>
          <w:szCs w:val="32"/>
        </w:rPr>
        <w:t xml:space="preserve">1.07. As in Table </w:t>
      </w:r>
      <w:r w:rsidR="009C459B" w:rsidRPr="00A40DDE">
        <w:rPr>
          <w:color w:val="392A97"/>
          <w:sz w:val="28"/>
          <w:szCs w:val="32"/>
        </w:rPr>
        <w:t>2</w:t>
      </w:r>
      <w:r w:rsidR="009C459B" w:rsidRPr="00A40DDE">
        <w:rPr>
          <w:sz w:val="28"/>
          <w:szCs w:val="32"/>
        </w:rPr>
        <w:t xml:space="preserve">, the </w:t>
      </w:r>
      <w:proofErr w:type="spellStart"/>
      <w:r w:rsidR="009C459B" w:rsidRPr="00A40DDE">
        <w:rPr>
          <w:rFonts w:ascii="Calibri" w:eastAsia="Calibri" w:hAnsi="Calibri" w:cs="Calibri"/>
          <w:sz w:val="28"/>
          <w:szCs w:val="32"/>
        </w:rPr>
        <w:t>NI</w:t>
      </w:r>
      <w:r w:rsidR="009C459B" w:rsidRPr="00A40DDE">
        <w:rPr>
          <w:sz w:val="28"/>
          <w:szCs w:val="32"/>
        </w:rPr>
        <w:t>×</w:t>
      </w:r>
      <w:r w:rsidR="009C459B" w:rsidRPr="00A40DDE">
        <w:rPr>
          <w:rFonts w:ascii="Calibri" w:eastAsia="Calibri" w:hAnsi="Calibri" w:cs="Calibri"/>
          <w:sz w:val="28"/>
          <w:szCs w:val="32"/>
        </w:rPr>
        <w:t>RegCapLow</w:t>
      </w:r>
      <w:proofErr w:type="spellEnd"/>
      <w:r w:rsidR="009C459B" w:rsidRPr="00A40DDE">
        <w:rPr>
          <w:rFonts w:ascii="Calibri" w:eastAsia="Calibri" w:hAnsi="Calibri" w:cs="Calibri"/>
          <w:sz w:val="28"/>
          <w:szCs w:val="32"/>
        </w:rPr>
        <w:t xml:space="preserve"> </w:t>
      </w:r>
      <w:r w:rsidR="009C459B" w:rsidRPr="00A40DDE">
        <w:rPr>
          <w:sz w:val="28"/>
          <w:szCs w:val="32"/>
        </w:rPr>
        <w:t>coefficient is not significantly different from zero (t-stat. = 1.25).</w:t>
      </w:r>
    </w:p>
    <w:p w:rsidR="009C459B" w:rsidRPr="00A40DDE" w:rsidRDefault="009C459B" w:rsidP="009C459B">
      <w:pPr>
        <w:spacing w:after="242"/>
        <w:ind w:left="-15" w:right="-13"/>
        <w:rPr>
          <w:sz w:val="28"/>
          <w:szCs w:val="32"/>
        </w:rPr>
      </w:pPr>
      <w:r w:rsidRPr="00A40DDE">
        <w:rPr>
          <w:sz w:val="28"/>
          <w:szCs w:val="32"/>
        </w:rPr>
        <w:t>To ensure that these findings are attributable to trading securities gains and losses and not to sample composition, we also re-estimate Eq. (</w:t>
      </w:r>
      <w:r w:rsidRPr="00A40DDE">
        <w:rPr>
          <w:color w:val="392A97"/>
          <w:sz w:val="28"/>
          <w:szCs w:val="32"/>
        </w:rPr>
        <w:t>1</w:t>
      </w:r>
      <w:r w:rsidRPr="00A40DDE">
        <w:rPr>
          <w:sz w:val="28"/>
          <w:szCs w:val="32"/>
        </w:rPr>
        <w:t xml:space="preserve">) on this sample using </w:t>
      </w:r>
      <w:r w:rsidRPr="00A40DDE">
        <w:rPr>
          <w:rFonts w:ascii="Calibri" w:eastAsia="Calibri" w:hAnsi="Calibri" w:cs="Calibri"/>
          <w:sz w:val="28"/>
          <w:szCs w:val="32"/>
        </w:rPr>
        <w:t xml:space="preserve">RGL </w:t>
      </w:r>
      <w:r w:rsidRPr="00A40DDE">
        <w:rPr>
          <w:sz w:val="28"/>
          <w:szCs w:val="32"/>
        </w:rPr>
        <w:t xml:space="preserve">as the dependent variable. </w:t>
      </w:r>
      <w:proofErr w:type="spellStart"/>
      <w:r w:rsidRPr="00A40DDE">
        <w:rPr>
          <w:sz w:val="28"/>
          <w:szCs w:val="32"/>
        </w:rPr>
        <w:t>Untabulated</w:t>
      </w:r>
      <w:proofErr w:type="spellEnd"/>
      <w:r w:rsidRPr="00A40DDE">
        <w:rPr>
          <w:sz w:val="28"/>
          <w:szCs w:val="32"/>
        </w:rPr>
        <w:t xml:space="preserve"> statistics reveal that the </w:t>
      </w:r>
      <w:proofErr w:type="spellStart"/>
      <w:r w:rsidRPr="00A40DDE">
        <w:rPr>
          <w:rFonts w:ascii="Calibri" w:eastAsia="Calibri" w:hAnsi="Calibri" w:cs="Calibri"/>
          <w:sz w:val="28"/>
          <w:szCs w:val="32"/>
        </w:rPr>
        <w:t>RegCapLow</w:t>
      </w:r>
      <w:proofErr w:type="spellEnd"/>
      <w:r w:rsidRPr="00A40DDE">
        <w:rPr>
          <w:rFonts w:ascii="Calibri" w:eastAsia="Calibri" w:hAnsi="Calibri" w:cs="Calibri"/>
          <w:sz w:val="28"/>
          <w:szCs w:val="32"/>
        </w:rPr>
        <w:t xml:space="preserve"> </w:t>
      </w:r>
      <w:r w:rsidRPr="00A40DDE">
        <w:rPr>
          <w:sz w:val="28"/>
          <w:szCs w:val="32"/>
        </w:rPr>
        <w:t>coefficients are positive as predicted but</w:t>
      </w:r>
      <w:r w:rsidRPr="00A40DDE">
        <w:rPr>
          <w:rFonts w:ascii="Calibri" w:eastAsia="Calibri" w:hAnsi="Calibri" w:cs="Calibri"/>
          <w:sz w:val="28"/>
          <w:szCs w:val="32"/>
        </w:rPr>
        <w:t>—</w:t>
      </w:r>
      <w:r w:rsidRPr="00A40DDE">
        <w:rPr>
          <w:sz w:val="28"/>
          <w:szCs w:val="32"/>
        </w:rPr>
        <w:t>perhaps because of reduced power associated with the smaller sample size</w:t>
      </w:r>
      <w:r w:rsidRPr="00A40DDE">
        <w:rPr>
          <w:rFonts w:ascii="Calibri" w:eastAsia="Calibri" w:hAnsi="Calibri" w:cs="Calibri"/>
          <w:sz w:val="28"/>
          <w:szCs w:val="32"/>
        </w:rPr>
        <w:t>—</w:t>
      </w:r>
      <w:r w:rsidRPr="00A40DDE">
        <w:rPr>
          <w:sz w:val="28"/>
          <w:szCs w:val="32"/>
        </w:rPr>
        <w:t xml:space="preserve">not significantly different from zero. As in Table </w:t>
      </w:r>
      <w:r w:rsidRPr="00A40DDE">
        <w:rPr>
          <w:color w:val="392A97"/>
          <w:sz w:val="28"/>
          <w:szCs w:val="32"/>
        </w:rPr>
        <w:t>2</w:t>
      </w:r>
      <w:r w:rsidRPr="00A40DDE">
        <w:rPr>
          <w:sz w:val="28"/>
          <w:szCs w:val="32"/>
        </w:rPr>
        <w:t xml:space="preserve">, the </w:t>
      </w:r>
      <w:proofErr w:type="spellStart"/>
      <w:r w:rsidRPr="00A40DDE">
        <w:rPr>
          <w:rFonts w:ascii="Calibri" w:eastAsia="Calibri" w:hAnsi="Calibri" w:cs="Calibri"/>
          <w:sz w:val="28"/>
          <w:szCs w:val="32"/>
        </w:rPr>
        <w:t>NI</w:t>
      </w:r>
      <w:r w:rsidRPr="00A40DDE">
        <w:rPr>
          <w:sz w:val="28"/>
          <w:szCs w:val="32"/>
        </w:rPr>
        <w:t>×</w:t>
      </w:r>
      <w:r w:rsidRPr="00A40DDE">
        <w:rPr>
          <w:rFonts w:ascii="Calibri" w:eastAsia="Calibri" w:hAnsi="Calibri" w:cs="Calibri"/>
          <w:sz w:val="28"/>
          <w:szCs w:val="32"/>
        </w:rPr>
        <w:t>RegCapLow</w:t>
      </w:r>
      <w:proofErr w:type="spellEnd"/>
      <w:r w:rsidRPr="00A40DDE">
        <w:rPr>
          <w:rFonts w:ascii="Calibri" w:eastAsia="Calibri" w:hAnsi="Calibri" w:cs="Calibri"/>
          <w:sz w:val="28"/>
          <w:szCs w:val="32"/>
        </w:rPr>
        <w:t xml:space="preserve"> </w:t>
      </w:r>
      <w:r w:rsidRPr="00A40DDE">
        <w:rPr>
          <w:sz w:val="28"/>
          <w:szCs w:val="32"/>
        </w:rPr>
        <w:t xml:space="preserve">coefficient is not significantly different from zero, and the </w:t>
      </w:r>
      <w:r w:rsidRPr="00A40DDE">
        <w:rPr>
          <w:rFonts w:ascii="Calibri" w:eastAsia="Calibri" w:hAnsi="Calibri" w:cs="Calibri"/>
          <w:sz w:val="28"/>
          <w:szCs w:val="32"/>
        </w:rPr>
        <w:t xml:space="preserve">NI </w:t>
      </w:r>
      <w:r w:rsidRPr="00A40DDE">
        <w:rPr>
          <w:sz w:val="28"/>
          <w:szCs w:val="32"/>
        </w:rPr>
        <w:t xml:space="preserve">coefficients are significantly negative (t-stats. = </w:t>
      </w:r>
      <w:r w:rsidRPr="00A40DDE">
        <w:rPr>
          <w:rFonts w:ascii="Calibri" w:eastAsia="Calibri" w:hAnsi="Calibri" w:cs="Calibri"/>
          <w:sz w:val="28"/>
          <w:szCs w:val="32"/>
        </w:rPr>
        <w:t>−</w:t>
      </w:r>
      <w:r w:rsidRPr="00A40DDE">
        <w:rPr>
          <w:sz w:val="28"/>
          <w:szCs w:val="32"/>
        </w:rPr>
        <w:t xml:space="preserve">3.05 and </w:t>
      </w:r>
      <w:r w:rsidRPr="00A40DDE">
        <w:rPr>
          <w:rFonts w:ascii="Calibri" w:eastAsia="Calibri" w:hAnsi="Calibri" w:cs="Calibri"/>
          <w:sz w:val="28"/>
          <w:szCs w:val="32"/>
        </w:rPr>
        <w:t>−</w:t>
      </w:r>
      <w:r w:rsidRPr="00A40DDE">
        <w:rPr>
          <w:sz w:val="28"/>
          <w:szCs w:val="32"/>
        </w:rPr>
        <w:t xml:space="preserve">2.56). The </w:t>
      </w:r>
      <w:r w:rsidRPr="00A40DDE">
        <w:rPr>
          <w:rFonts w:ascii="Calibri" w:eastAsia="Calibri" w:hAnsi="Calibri" w:cs="Calibri"/>
          <w:sz w:val="28"/>
          <w:szCs w:val="32"/>
        </w:rPr>
        <w:t xml:space="preserve">NI </w:t>
      </w:r>
      <w:r w:rsidRPr="00A40DDE">
        <w:rPr>
          <w:sz w:val="28"/>
          <w:szCs w:val="32"/>
        </w:rPr>
        <w:t xml:space="preserve">coefficient findings are consistent with those in Table </w:t>
      </w:r>
      <w:r w:rsidRPr="00A40DDE">
        <w:rPr>
          <w:color w:val="392A97"/>
          <w:sz w:val="28"/>
          <w:szCs w:val="32"/>
        </w:rPr>
        <w:t xml:space="preserve">2 </w:t>
      </w:r>
      <w:r w:rsidRPr="00A40DDE">
        <w:rPr>
          <w:sz w:val="28"/>
          <w:szCs w:val="32"/>
        </w:rPr>
        <w:t xml:space="preserve">in revealing evidence of earnings smoothing using </w:t>
      </w:r>
      <w:r w:rsidRPr="00A40DDE">
        <w:rPr>
          <w:rFonts w:ascii="Calibri" w:eastAsia="Calibri" w:hAnsi="Calibri" w:cs="Calibri"/>
          <w:sz w:val="28"/>
          <w:szCs w:val="32"/>
        </w:rPr>
        <w:t>RGL</w:t>
      </w:r>
      <w:r w:rsidRPr="00A40DDE">
        <w:rPr>
          <w:sz w:val="28"/>
          <w:szCs w:val="32"/>
        </w:rPr>
        <w:t>.</w:t>
      </w:r>
    </w:p>
    <w:p w:rsidR="009C459B" w:rsidRPr="00A40DDE" w:rsidRDefault="009C459B" w:rsidP="009C459B">
      <w:pPr>
        <w:spacing w:after="229" w:line="250" w:lineRule="auto"/>
        <w:ind w:left="-5" w:right="0" w:hanging="10"/>
        <w:jc w:val="left"/>
        <w:rPr>
          <w:sz w:val="28"/>
          <w:szCs w:val="32"/>
        </w:rPr>
      </w:pPr>
      <w:r w:rsidRPr="00A40DDE">
        <w:rPr>
          <w:rFonts w:ascii="Calibri" w:eastAsia="Calibri" w:hAnsi="Calibri" w:cs="Calibri"/>
          <w:sz w:val="28"/>
          <w:szCs w:val="32"/>
        </w:rPr>
        <w:t>5.5.3 Alternative earnings management benchmark</w:t>
      </w:r>
    </w:p>
    <w:p w:rsidR="009C459B" w:rsidRPr="00A40DDE" w:rsidRDefault="009C459B" w:rsidP="009C459B">
      <w:pPr>
        <w:ind w:left="-15" w:right="-13" w:firstLine="0"/>
        <w:rPr>
          <w:sz w:val="28"/>
          <w:szCs w:val="32"/>
        </w:rPr>
      </w:pPr>
      <w:r w:rsidRPr="00A40DDE">
        <w:rPr>
          <w:sz w:val="28"/>
          <w:szCs w:val="32"/>
        </w:rPr>
        <w:t>Although our tests implicitly assume that the benchmark for earnings management is net income before realized gains and losses on AFS securities, there could be other benchmarks. As an alternative, we consider the median net income for all banks.</w:t>
      </w:r>
      <w:r w:rsidRPr="00A40DDE">
        <w:rPr>
          <w:sz w:val="28"/>
          <w:szCs w:val="32"/>
          <w:vertAlign w:val="superscript"/>
        </w:rPr>
        <w:footnoteReference w:id="27"/>
      </w:r>
      <w:r w:rsidRPr="00A40DDE">
        <w:rPr>
          <w:sz w:val="28"/>
          <w:szCs w:val="32"/>
          <w:vertAlign w:val="superscript"/>
        </w:rPr>
        <w:t xml:space="preserve"> </w:t>
      </w:r>
      <w:r w:rsidRPr="00A40DDE">
        <w:rPr>
          <w:sz w:val="28"/>
          <w:szCs w:val="32"/>
        </w:rPr>
        <w:t xml:space="preserve">We estimate </w:t>
      </w:r>
      <w:proofErr w:type="spellStart"/>
      <w:r w:rsidRPr="00A40DDE">
        <w:rPr>
          <w:sz w:val="28"/>
          <w:szCs w:val="32"/>
        </w:rPr>
        <w:t>Eqs</w:t>
      </w:r>
      <w:proofErr w:type="spellEnd"/>
      <w:r w:rsidRPr="00A40DDE">
        <w:rPr>
          <w:sz w:val="28"/>
          <w:szCs w:val="32"/>
        </w:rPr>
        <w:t>. (</w:t>
      </w:r>
      <w:r w:rsidRPr="00A40DDE">
        <w:rPr>
          <w:color w:val="392A97"/>
          <w:sz w:val="28"/>
          <w:szCs w:val="32"/>
        </w:rPr>
        <w:t>1</w:t>
      </w:r>
      <w:r w:rsidRPr="00A40DDE">
        <w:rPr>
          <w:sz w:val="28"/>
          <w:szCs w:val="32"/>
        </w:rPr>
        <w:t xml:space="preserve">) </w:t>
      </w:r>
      <w:proofErr w:type="gramStart"/>
      <w:r w:rsidRPr="00A40DDE">
        <w:rPr>
          <w:sz w:val="28"/>
          <w:szCs w:val="32"/>
        </w:rPr>
        <w:t>and</w:t>
      </w:r>
      <w:proofErr w:type="gramEnd"/>
      <w:r w:rsidRPr="00A40DDE">
        <w:rPr>
          <w:sz w:val="28"/>
          <w:szCs w:val="32"/>
        </w:rPr>
        <w:t xml:space="preserve"> (</w:t>
      </w:r>
      <w:r w:rsidRPr="00A40DDE">
        <w:rPr>
          <w:color w:val="392A97"/>
          <w:sz w:val="28"/>
          <w:szCs w:val="32"/>
        </w:rPr>
        <w:t>2</w:t>
      </w:r>
      <w:r w:rsidRPr="00A40DDE">
        <w:rPr>
          <w:sz w:val="28"/>
          <w:szCs w:val="32"/>
        </w:rPr>
        <w:t>) using [</w:t>
      </w:r>
      <w:r w:rsidRPr="00A40DDE">
        <w:rPr>
          <w:rFonts w:ascii="Calibri" w:eastAsia="Calibri" w:hAnsi="Calibri" w:cs="Calibri"/>
          <w:sz w:val="28"/>
          <w:szCs w:val="32"/>
        </w:rPr>
        <w:t xml:space="preserve">NI – </w:t>
      </w:r>
      <w:proofErr w:type="spellStart"/>
      <w:r w:rsidRPr="00A40DDE">
        <w:rPr>
          <w:rFonts w:ascii="Calibri" w:eastAsia="Calibri" w:hAnsi="Calibri" w:cs="Calibri"/>
          <w:sz w:val="28"/>
          <w:szCs w:val="32"/>
        </w:rPr>
        <w:t>mNI</w:t>
      </w:r>
      <w:proofErr w:type="spellEnd"/>
      <w:r w:rsidRPr="00A40DDE">
        <w:rPr>
          <w:sz w:val="28"/>
          <w:szCs w:val="32"/>
        </w:rPr>
        <w:t xml:space="preserve">] in place of </w:t>
      </w:r>
      <w:r w:rsidRPr="00A40DDE">
        <w:rPr>
          <w:rFonts w:ascii="Calibri" w:eastAsia="Calibri" w:hAnsi="Calibri" w:cs="Calibri"/>
          <w:sz w:val="28"/>
          <w:szCs w:val="32"/>
        </w:rPr>
        <w:t>NI</w:t>
      </w:r>
      <w:r w:rsidRPr="00A40DDE">
        <w:rPr>
          <w:sz w:val="28"/>
          <w:szCs w:val="32"/>
        </w:rPr>
        <w:t xml:space="preserve">, where </w:t>
      </w:r>
      <w:proofErr w:type="spellStart"/>
      <w:r w:rsidRPr="00A40DDE">
        <w:rPr>
          <w:rFonts w:ascii="Calibri" w:eastAsia="Calibri" w:hAnsi="Calibri" w:cs="Calibri"/>
          <w:sz w:val="28"/>
          <w:szCs w:val="32"/>
        </w:rPr>
        <w:t>mNI</w:t>
      </w:r>
      <w:proofErr w:type="spellEnd"/>
      <w:r w:rsidRPr="00A40DDE">
        <w:rPr>
          <w:rFonts w:ascii="Calibri" w:eastAsia="Calibri" w:hAnsi="Calibri" w:cs="Calibri"/>
          <w:sz w:val="28"/>
          <w:szCs w:val="32"/>
        </w:rPr>
        <w:t xml:space="preserve"> </w:t>
      </w:r>
      <w:r w:rsidRPr="00A40DDE">
        <w:rPr>
          <w:sz w:val="28"/>
          <w:szCs w:val="32"/>
        </w:rPr>
        <w:t xml:space="preserve">is the median of net income before taxes for all banks in quarter </w:t>
      </w:r>
      <w:r w:rsidRPr="00A40DDE">
        <w:rPr>
          <w:rFonts w:ascii="Calibri" w:eastAsia="Calibri" w:hAnsi="Calibri" w:cs="Calibri"/>
          <w:sz w:val="28"/>
          <w:szCs w:val="32"/>
        </w:rPr>
        <w:t>t</w:t>
      </w:r>
      <w:r w:rsidRPr="00A40DDE">
        <w:rPr>
          <w:sz w:val="28"/>
          <w:szCs w:val="32"/>
        </w:rPr>
        <w:t>.</w:t>
      </w:r>
    </w:p>
    <w:p w:rsidR="009C459B" w:rsidRPr="00A40DDE" w:rsidRDefault="009C459B" w:rsidP="009C459B">
      <w:pPr>
        <w:spacing w:after="255"/>
        <w:ind w:left="-15" w:right="-13"/>
        <w:rPr>
          <w:sz w:val="28"/>
          <w:szCs w:val="32"/>
        </w:rPr>
      </w:pPr>
      <w:proofErr w:type="spellStart"/>
      <w:r w:rsidRPr="00A40DDE">
        <w:rPr>
          <w:sz w:val="28"/>
          <w:szCs w:val="32"/>
        </w:rPr>
        <w:t>Untabulated</w:t>
      </w:r>
      <w:proofErr w:type="spellEnd"/>
      <w:r w:rsidRPr="00A40DDE">
        <w:rPr>
          <w:sz w:val="28"/>
          <w:szCs w:val="32"/>
        </w:rPr>
        <w:t xml:space="preserve"> findings related to Eq. (</w:t>
      </w:r>
      <w:r w:rsidRPr="00A40DDE">
        <w:rPr>
          <w:color w:val="392A97"/>
          <w:sz w:val="28"/>
          <w:szCs w:val="32"/>
        </w:rPr>
        <w:t>1</w:t>
      </w:r>
      <w:r w:rsidRPr="00A40DDE">
        <w:rPr>
          <w:sz w:val="28"/>
          <w:szCs w:val="32"/>
        </w:rPr>
        <w:t xml:space="preserve">) but using the alternative benchmark reveal inferences regarding earnings smoothing identical to those revealed by Table </w:t>
      </w:r>
      <w:r w:rsidRPr="00A40DDE">
        <w:rPr>
          <w:color w:val="392A97"/>
          <w:sz w:val="28"/>
          <w:szCs w:val="32"/>
        </w:rPr>
        <w:t>2</w:t>
      </w:r>
      <w:r w:rsidRPr="00A40DDE">
        <w:rPr>
          <w:sz w:val="28"/>
          <w:szCs w:val="32"/>
        </w:rPr>
        <w:t xml:space="preserve">. The </w:t>
      </w:r>
      <w:proofErr w:type="spellStart"/>
      <w:r w:rsidRPr="00A40DDE">
        <w:rPr>
          <w:sz w:val="28"/>
          <w:szCs w:val="32"/>
        </w:rPr>
        <w:t>untabulated</w:t>
      </w:r>
      <w:proofErr w:type="spellEnd"/>
      <w:r w:rsidRPr="00A40DDE">
        <w:rPr>
          <w:sz w:val="28"/>
          <w:szCs w:val="32"/>
        </w:rPr>
        <w:t xml:space="preserve"> [</w:t>
      </w:r>
      <w:r w:rsidRPr="00A40DDE">
        <w:rPr>
          <w:rFonts w:ascii="Calibri" w:eastAsia="Calibri" w:hAnsi="Calibri" w:cs="Calibri"/>
          <w:sz w:val="28"/>
          <w:szCs w:val="32"/>
        </w:rPr>
        <w:t xml:space="preserve">NI – </w:t>
      </w:r>
      <w:proofErr w:type="spellStart"/>
      <w:r w:rsidRPr="00A40DDE">
        <w:rPr>
          <w:rFonts w:ascii="Calibri" w:eastAsia="Calibri" w:hAnsi="Calibri" w:cs="Calibri"/>
          <w:sz w:val="28"/>
          <w:szCs w:val="32"/>
        </w:rPr>
        <w:t>mNI</w:t>
      </w:r>
      <w:proofErr w:type="spellEnd"/>
      <w:r w:rsidRPr="00A40DDE">
        <w:rPr>
          <w:sz w:val="28"/>
          <w:szCs w:val="32"/>
        </w:rPr>
        <w:t>] coefficients are significantly negative (</w:t>
      </w:r>
      <w:proofErr w:type="spellStart"/>
      <w:r w:rsidRPr="00A40DDE">
        <w:rPr>
          <w:sz w:val="28"/>
          <w:szCs w:val="32"/>
        </w:rPr>
        <w:t>tstats</w:t>
      </w:r>
      <w:proofErr w:type="spellEnd"/>
      <w:r w:rsidRPr="00A40DDE">
        <w:rPr>
          <w:sz w:val="28"/>
          <w:szCs w:val="32"/>
        </w:rPr>
        <w:t xml:space="preserve">. = </w:t>
      </w:r>
      <w:r w:rsidRPr="00A40DDE">
        <w:rPr>
          <w:rFonts w:ascii="Calibri" w:eastAsia="Calibri" w:hAnsi="Calibri" w:cs="Calibri"/>
          <w:sz w:val="28"/>
          <w:szCs w:val="32"/>
        </w:rPr>
        <w:t>−</w:t>
      </w:r>
      <w:r w:rsidRPr="00A40DDE">
        <w:rPr>
          <w:sz w:val="28"/>
          <w:szCs w:val="32"/>
        </w:rPr>
        <w:t xml:space="preserve">3.60 and </w:t>
      </w:r>
      <w:r w:rsidRPr="00A40DDE">
        <w:rPr>
          <w:rFonts w:ascii="Calibri" w:eastAsia="Calibri" w:hAnsi="Calibri" w:cs="Calibri"/>
          <w:sz w:val="28"/>
          <w:szCs w:val="32"/>
        </w:rPr>
        <w:t>−</w:t>
      </w:r>
      <w:r w:rsidRPr="00A40DDE">
        <w:rPr>
          <w:sz w:val="28"/>
          <w:szCs w:val="32"/>
        </w:rPr>
        <w:t>3.54)</w:t>
      </w:r>
      <w:proofErr w:type="gramStart"/>
      <w:r w:rsidRPr="00A40DDE">
        <w:rPr>
          <w:sz w:val="28"/>
          <w:szCs w:val="32"/>
        </w:rPr>
        <w:t>;</w:t>
      </w:r>
      <w:proofErr w:type="gramEnd"/>
      <w:r w:rsidRPr="00A40DDE">
        <w:rPr>
          <w:sz w:val="28"/>
          <w:szCs w:val="32"/>
        </w:rPr>
        <w:t xml:space="preserve"> the </w:t>
      </w:r>
      <w:proofErr w:type="spellStart"/>
      <w:r w:rsidRPr="00A40DDE">
        <w:rPr>
          <w:sz w:val="28"/>
          <w:szCs w:val="32"/>
        </w:rPr>
        <w:t>untabulated</w:t>
      </w:r>
      <w:proofErr w:type="spellEnd"/>
      <w:r w:rsidRPr="00A40DDE">
        <w:rPr>
          <w:sz w:val="28"/>
          <w:szCs w:val="32"/>
        </w:rPr>
        <w:t xml:space="preserve"> </w:t>
      </w:r>
      <w:proofErr w:type="spellStart"/>
      <w:r w:rsidRPr="00A40DDE">
        <w:rPr>
          <w:rFonts w:ascii="Calibri" w:eastAsia="Calibri" w:hAnsi="Calibri" w:cs="Calibri"/>
          <w:sz w:val="28"/>
          <w:szCs w:val="32"/>
        </w:rPr>
        <w:t>RegCapLow</w:t>
      </w:r>
      <w:proofErr w:type="spellEnd"/>
      <w:r w:rsidRPr="00A40DDE">
        <w:rPr>
          <w:rFonts w:ascii="Calibri" w:eastAsia="Calibri" w:hAnsi="Calibri" w:cs="Calibri"/>
          <w:sz w:val="28"/>
          <w:szCs w:val="32"/>
        </w:rPr>
        <w:t xml:space="preserve"> </w:t>
      </w:r>
      <w:r w:rsidRPr="00A40DDE">
        <w:rPr>
          <w:sz w:val="28"/>
          <w:szCs w:val="32"/>
        </w:rPr>
        <w:t xml:space="preserve">coefficients are significantly positive (t-stats. = 1.86 and 1.78), and the </w:t>
      </w:r>
      <w:proofErr w:type="spellStart"/>
      <w:r w:rsidRPr="00A40DDE">
        <w:rPr>
          <w:sz w:val="28"/>
          <w:szCs w:val="32"/>
        </w:rPr>
        <w:t>untabulated</w:t>
      </w:r>
      <w:proofErr w:type="spellEnd"/>
      <w:r w:rsidRPr="00A40DDE">
        <w:rPr>
          <w:sz w:val="28"/>
          <w:szCs w:val="32"/>
        </w:rPr>
        <w:t xml:space="preserve"> </w:t>
      </w:r>
      <w:proofErr w:type="spellStart"/>
      <w:r w:rsidRPr="00A40DDE">
        <w:rPr>
          <w:rFonts w:ascii="Calibri" w:eastAsia="Calibri" w:hAnsi="Calibri" w:cs="Calibri"/>
          <w:sz w:val="28"/>
          <w:szCs w:val="32"/>
        </w:rPr>
        <w:t>RegCapLow</w:t>
      </w:r>
      <w:proofErr w:type="spellEnd"/>
      <w:proofErr w:type="gramStart"/>
      <w:r w:rsidRPr="00A40DDE">
        <w:rPr>
          <w:sz w:val="28"/>
          <w:szCs w:val="32"/>
        </w:rPr>
        <w:t>×[</w:t>
      </w:r>
      <w:proofErr w:type="gramEnd"/>
      <w:r w:rsidRPr="00A40DDE">
        <w:rPr>
          <w:rFonts w:ascii="Calibri" w:eastAsia="Calibri" w:hAnsi="Calibri" w:cs="Calibri"/>
          <w:sz w:val="28"/>
          <w:szCs w:val="32"/>
        </w:rPr>
        <w:t xml:space="preserve">NI – </w:t>
      </w:r>
      <w:proofErr w:type="spellStart"/>
      <w:r w:rsidRPr="00A40DDE">
        <w:rPr>
          <w:rFonts w:ascii="Calibri" w:eastAsia="Calibri" w:hAnsi="Calibri" w:cs="Calibri"/>
          <w:sz w:val="28"/>
          <w:szCs w:val="32"/>
        </w:rPr>
        <w:t>mNI</w:t>
      </w:r>
      <w:proofErr w:type="spellEnd"/>
      <w:r w:rsidRPr="00A40DDE">
        <w:rPr>
          <w:sz w:val="28"/>
          <w:szCs w:val="32"/>
        </w:rPr>
        <w:t xml:space="preserve">] coefficient is not significantly different from zero (t-stat. = </w:t>
      </w:r>
      <w:r w:rsidRPr="00A40DDE">
        <w:rPr>
          <w:rFonts w:ascii="Calibri" w:eastAsia="Calibri" w:hAnsi="Calibri" w:cs="Calibri"/>
          <w:sz w:val="28"/>
          <w:szCs w:val="32"/>
        </w:rPr>
        <w:t>−</w:t>
      </w:r>
      <w:r w:rsidRPr="00A40DDE">
        <w:rPr>
          <w:sz w:val="28"/>
          <w:szCs w:val="32"/>
        </w:rPr>
        <w:t xml:space="preserve">0.87). </w:t>
      </w:r>
      <w:proofErr w:type="spellStart"/>
      <w:r w:rsidRPr="00A40DDE">
        <w:rPr>
          <w:sz w:val="28"/>
          <w:szCs w:val="32"/>
        </w:rPr>
        <w:t>Untabulated</w:t>
      </w:r>
      <w:proofErr w:type="spellEnd"/>
      <w:r w:rsidRPr="00A40DDE">
        <w:rPr>
          <w:sz w:val="28"/>
          <w:szCs w:val="32"/>
        </w:rPr>
        <w:t xml:space="preserve"> findings relating to Eq. (</w:t>
      </w:r>
      <w:r w:rsidRPr="00A40DDE">
        <w:rPr>
          <w:color w:val="392A97"/>
          <w:sz w:val="28"/>
          <w:szCs w:val="32"/>
        </w:rPr>
        <w:t>2</w:t>
      </w:r>
      <w:r w:rsidRPr="00A40DDE">
        <w:rPr>
          <w:sz w:val="28"/>
          <w:szCs w:val="32"/>
        </w:rPr>
        <w:t xml:space="preserve">) generally reveal the same inferences as those based on Table </w:t>
      </w:r>
      <w:r w:rsidRPr="00A40DDE">
        <w:rPr>
          <w:color w:val="392A97"/>
          <w:sz w:val="28"/>
          <w:szCs w:val="32"/>
        </w:rPr>
        <w:t>3</w:t>
      </w:r>
      <w:r w:rsidRPr="00A40DDE">
        <w:rPr>
          <w:sz w:val="28"/>
          <w:szCs w:val="32"/>
        </w:rPr>
        <w:t xml:space="preserve">. One exception </w:t>
      </w:r>
      <w:r w:rsidRPr="00A40DDE">
        <w:rPr>
          <w:sz w:val="28"/>
          <w:szCs w:val="32"/>
        </w:rPr>
        <w:lastRenderedPageBreak/>
        <w:t xml:space="preserve">is that the </w:t>
      </w:r>
      <w:proofErr w:type="spellStart"/>
      <w:proofErr w:type="gramStart"/>
      <w:r w:rsidRPr="00A40DDE">
        <w:rPr>
          <w:rFonts w:ascii="Calibri" w:eastAsia="Calibri" w:hAnsi="Calibri" w:cs="Calibri"/>
          <w:sz w:val="28"/>
          <w:szCs w:val="32"/>
        </w:rPr>
        <w:t>neg</w:t>
      </w:r>
      <w:proofErr w:type="spellEnd"/>
      <w:r w:rsidRPr="00A40DDE">
        <w:rPr>
          <w:sz w:val="28"/>
          <w:szCs w:val="32"/>
        </w:rPr>
        <w:t>[</w:t>
      </w:r>
      <w:proofErr w:type="gramEnd"/>
      <w:r w:rsidRPr="00A40DDE">
        <w:rPr>
          <w:rFonts w:ascii="Calibri" w:eastAsia="Calibri" w:hAnsi="Calibri" w:cs="Calibri"/>
          <w:sz w:val="28"/>
          <w:szCs w:val="32"/>
        </w:rPr>
        <w:t xml:space="preserve">NI – </w:t>
      </w:r>
      <w:proofErr w:type="spellStart"/>
      <w:r w:rsidRPr="00A40DDE">
        <w:rPr>
          <w:rFonts w:ascii="Calibri" w:eastAsia="Calibri" w:hAnsi="Calibri" w:cs="Calibri"/>
          <w:sz w:val="28"/>
          <w:szCs w:val="32"/>
        </w:rPr>
        <w:t>mNI</w:t>
      </w:r>
      <w:proofErr w:type="spellEnd"/>
      <w:r w:rsidRPr="00A40DDE">
        <w:rPr>
          <w:sz w:val="28"/>
          <w:szCs w:val="32"/>
        </w:rPr>
        <w:t xml:space="preserve">] coefficients are not significantly different from zero in all three models (t-stats. = </w:t>
      </w:r>
      <w:r w:rsidRPr="00A40DDE">
        <w:rPr>
          <w:rFonts w:ascii="Calibri" w:eastAsia="Calibri" w:hAnsi="Calibri" w:cs="Calibri"/>
          <w:sz w:val="28"/>
          <w:szCs w:val="32"/>
        </w:rPr>
        <w:t>−</w:t>
      </w:r>
      <w:r w:rsidRPr="00A40DDE">
        <w:rPr>
          <w:sz w:val="28"/>
          <w:szCs w:val="32"/>
        </w:rPr>
        <w:t xml:space="preserve">1.38, </w:t>
      </w:r>
      <w:r w:rsidRPr="00A40DDE">
        <w:rPr>
          <w:rFonts w:ascii="Calibri" w:eastAsia="Calibri" w:hAnsi="Calibri" w:cs="Calibri"/>
          <w:sz w:val="28"/>
          <w:szCs w:val="32"/>
        </w:rPr>
        <w:t>−</w:t>
      </w:r>
      <w:r w:rsidRPr="00A40DDE">
        <w:rPr>
          <w:sz w:val="28"/>
          <w:szCs w:val="32"/>
        </w:rPr>
        <w:t>0.82, and 0.27), which reveals that the extent of earnings management for banks below this benchmark depends on the bank</w:t>
      </w:r>
      <w:r w:rsidRPr="00A40DDE">
        <w:rPr>
          <w:rFonts w:ascii="Calibri" w:eastAsia="Calibri" w:hAnsi="Calibri" w:cs="Calibri"/>
          <w:sz w:val="28"/>
          <w:szCs w:val="32"/>
        </w:rPr>
        <w:t>’</w:t>
      </w:r>
      <w:r w:rsidRPr="00A40DDE">
        <w:rPr>
          <w:sz w:val="28"/>
          <w:szCs w:val="32"/>
        </w:rPr>
        <w:t xml:space="preserve">s </w:t>
      </w:r>
      <w:r w:rsidRPr="00A40DDE">
        <w:rPr>
          <w:rFonts w:ascii="Calibri" w:eastAsia="Calibri" w:hAnsi="Calibri" w:cs="Calibri"/>
          <w:sz w:val="28"/>
          <w:szCs w:val="32"/>
        </w:rPr>
        <w:t>UG</w:t>
      </w:r>
      <w:r w:rsidRPr="00A40DDE">
        <w:rPr>
          <w:sz w:val="28"/>
          <w:szCs w:val="32"/>
        </w:rPr>
        <w:t xml:space="preserve">, </w:t>
      </w:r>
      <w:r w:rsidRPr="00A40DDE">
        <w:rPr>
          <w:rFonts w:ascii="Calibri" w:eastAsia="Calibri" w:hAnsi="Calibri" w:cs="Calibri"/>
          <w:sz w:val="28"/>
          <w:szCs w:val="32"/>
        </w:rPr>
        <w:t>UL</w:t>
      </w:r>
      <w:r w:rsidRPr="00A40DDE">
        <w:rPr>
          <w:sz w:val="28"/>
          <w:szCs w:val="32"/>
        </w:rPr>
        <w:t xml:space="preserve">, and </w:t>
      </w:r>
      <w:proofErr w:type="spellStart"/>
      <w:r w:rsidRPr="00A40DDE">
        <w:rPr>
          <w:rFonts w:ascii="Calibri" w:eastAsia="Calibri" w:hAnsi="Calibri" w:cs="Calibri"/>
          <w:sz w:val="28"/>
          <w:szCs w:val="32"/>
        </w:rPr>
        <w:t>RegCapLow</w:t>
      </w:r>
      <w:proofErr w:type="spellEnd"/>
      <w:r w:rsidRPr="00A40DDE">
        <w:rPr>
          <w:sz w:val="28"/>
          <w:szCs w:val="32"/>
        </w:rPr>
        <w:t xml:space="preserve">. Another exception is that in Model III the </w:t>
      </w:r>
      <w:proofErr w:type="spellStart"/>
      <w:r w:rsidRPr="00A40DDE">
        <w:rPr>
          <w:rFonts w:ascii="Calibri" w:eastAsia="Calibri" w:hAnsi="Calibri" w:cs="Calibri"/>
          <w:sz w:val="28"/>
          <w:szCs w:val="32"/>
        </w:rPr>
        <w:t>pos</w:t>
      </w:r>
      <w:proofErr w:type="spellEnd"/>
      <w:r w:rsidRPr="00A40DDE">
        <w:rPr>
          <w:sz w:val="28"/>
          <w:szCs w:val="32"/>
        </w:rPr>
        <w:t>[</w:t>
      </w:r>
      <w:r w:rsidRPr="00A40DDE">
        <w:rPr>
          <w:rFonts w:ascii="Calibri" w:eastAsia="Calibri" w:hAnsi="Calibri" w:cs="Calibri"/>
          <w:sz w:val="28"/>
          <w:szCs w:val="32"/>
        </w:rPr>
        <w:t xml:space="preserve">NI – </w:t>
      </w:r>
      <w:proofErr w:type="spellStart"/>
      <w:r w:rsidRPr="00A40DDE">
        <w:rPr>
          <w:rFonts w:ascii="Calibri" w:eastAsia="Calibri" w:hAnsi="Calibri" w:cs="Calibri"/>
          <w:sz w:val="28"/>
          <w:szCs w:val="32"/>
        </w:rPr>
        <w:t>mNI</w:t>
      </w:r>
      <w:proofErr w:type="spellEnd"/>
      <w:r w:rsidRPr="00A40DDE">
        <w:rPr>
          <w:sz w:val="28"/>
          <w:szCs w:val="32"/>
        </w:rPr>
        <w:t>]×</w:t>
      </w:r>
      <w:r w:rsidRPr="00A40DDE">
        <w:rPr>
          <w:rFonts w:ascii="Calibri" w:eastAsia="Calibri" w:hAnsi="Calibri" w:cs="Calibri"/>
          <w:sz w:val="28"/>
          <w:szCs w:val="32"/>
        </w:rPr>
        <w:t>UL</w:t>
      </w:r>
      <w:r w:rsidRPr="00A40DDE">
        <w:rPr>
          <w:rFonts w:ascii="Calibri" w:eastAsia="Calibri" w:hAnsi="Calibri" w:cs="Calibri"/>
          <w:sz w:val="28"/>
          <w:szCs w:val="32"/>
          <w:vertAlign w:val="subscript"/>
        </w:rPr>
        <w:t>t−</w:t>
      </w:r>
      <w:r w:rsidRPr="00A40DDE">
        <w:rPr>
          <w:sz w:val="28"/>
          <w:szCs w:val="32"/>
          <w:vertAlign w:val="subscript"/>
        </w:rPr>
        <w:t xml:space="preserve">1 </w:t>
      </w:r>
      <w:r w:rsidRPr="00A40DDE">
        <w:rPr>
          <w:sz w:val="28"/>
          <w:szCs w:val="32"/>
        </w:rPr>
        <w:t>coefficient is not significantly different from zero (t-stat. = 1.34), which reveals that</w:t>
      </w:r>
      <w:r w:rsidRPr="00A40DDE">
        <w:rPr>
          <w:rFonts w:hint="cs"/>
          <w:sz w:val="28"/>
          <w:szCs w:val="32"/>
          <w:rtl/>
        </w:rPr>
        <w:t xml:space="preserve"> </w:t>
      </w:r>
      <w:r w:rsidRPr="00A40DDE">
        <w:rPr>
          <w:sz w:val="28"/>
          <w:szCs w:val="32"/>
        </w:rPr>
        <w:t xml:space="preserve">partitioning positive </w:t>
      </w:r>
      <w:r w:rsidRPr="00A40DDE">
        <w:rPr>
          <w:rFonts w:ascii="Calibri" w:eastAsia="Calibri" w:hAnsi="Calibri" w:cs="Calibri"/>
          <w:sz w:val="28"/>
          <w:szCs w:val="32"/>
        </w:rPr>
        <w:t xml:space="preserve">NI </w:t>
      </w:r>
      <w:r w:rsidRPr="00A40DDE">
        <w:rPr>
          <w:sz w:val="28"/>
          <w:szCs w:val="32"/>
        </w:rPr>
        <w:t xml:space="preserve">banks into those above and below median </w:t>
      </w:r>
      <w:r w:rsidRPr="00A40DDE">
        <w:rPr>
          <w:rFonts w:ascii="Calibri" w:eastAsia="Calibri" w:hAnsi="Calibri" w:cs="Calibri"/>
          <w:sz w:val="28"/>
          <w:szCs w:val="32"/>
        </w:rPr>
        <w:t xml:space="preserve">NI </w:t>
      </w:r>
      <w:r w:rsidRPr="00A40DDE">
        <w:rPr>
          <w:sz w:val="28"/>
          <w:szCs w:val="32"/>
        </w:rPr>
        <w:t xml:space="preserve">eliminates the unpredicted significantly negative coefficient in Table </w:t>
      </w:r>
      <w:r w:rsidRPr="00A40DDE">
        <w:rPr>
          <w:color w:val="392A97"/>
          <w:sz w:val="28"/>
          <w:szCs w:val="32"/>
        </w:rPr>
        <w:t>3</w:t>
      </w:r>
      <w:r w:rsidRPr="00A40DDE">
        <w:rPr>
          <w:sz w:val="28"/>
          <w:szCs w:val="32"/>
        </w:rPr>
        <w:t>.</w:t>
      </w:r>
    </w:p>
    <w:p w:rsidR="009C459B" w:rsidRPr="00A40DDE" w:rsidRDefault="009C459B" w:rsidP="009C459B">
      <w:pPr>
        <w:spacing w:after="229" w:line="250" w:lineRule="auto"/>
        <w:ind w:left="-5" w:right="0" w:hanging="10"/>
        <w:jc w:val="left"/>
        <w:rPr>
          <w:sz w:val="28"/>
          <w:szCs w:val="32"/>
        </w:rPr>
      </w:pPr>
      <w:r w:rsidRPr="00A40DDE">
        <w:rPr>
          <w:rFonts w:ascii="Calibri" w:eastAsia="Calibri" w:hAnsi="Calibri" w:cs="Calibri"/>
          <w:sz w:val="28"/>
          <w:szCs w:val="32"/>
        </w:rPr>
        <w:t>5.5.4 Depositors as earnings management incentives for non-listed banks</w:t>
      </w:r>
    </w:p>
    <w:p w:rsidR="009C459B" w:rsidRPr="00A40DDE" w:rsidRDefault="009C459B" w:rsidP="009C459B">
      <w:pPr>
        <w:ind w:left="-15" w:right="-13" w:firstLine="0"/>
        <w:rPr>
          <w:sz w:val="28"/>
          <w:szCs w:val="32"/>
        </w:rPr>
      </w:pPr>
      <w:r w:rsidRPr="00A40DDE">
        <w:rPr>
          <w:sz w:val="28"/>
          <w:szCs w:val="32"/>
        </w:rPr>
        <w:t xml:space="preserve">The incentive for non-listed banks to engage in earnings management could stem from depositors (Beatty et al. </w:t>
      </w:r>
      <w:r w:rsidRPr="00A40DDE">
        <w:rPr>
          <w:color w:val="392A97"/>
          <w:sz w:val="28"/>
          <w:szCs w:val="32"/>
        </w:rPr>
        <w:t>2002</w:t>
      </w:r>
      <w:r w:rsidRPr="00A40DDE">
        <w:rPr>
          <w:sz w:val="28"/>
          <w:szCs w:val="32"/>
        </w:rPr>
        <w:t xml:space="preserve">). Thus, we re-estimate the Table </w:t>
      </w:r>
      <w:r w:rsidRPr="00A40DDE">
        <w:rPr>
          <w:color w:val="392A97"/>
          <w:sz w:val="28"/>
          <w:szCs w:val="32"/>
        </w:rPr>
        <w:t>5</w:t>
      </w:r>
      <w:r w:rsidRPr="00A40DDE">
        <w:rPr>
          <w:sz w:val="28"/>
          <w:szCs w:val="32"/>
        </w:rPr>
        <w:t xml:space="preserve">, panel </w:t>
      </w:r>
      <w:proofErr w:type="gramStart"/>
      <w:r w:rsidRPr="00A40DDE">
        <w:rPr>
          <w:sz w:val="28"/>
          <w:szCs w:val="32"/>
        </w:rPr>
        <w:t>A</w:t>
      </w:r>
      <w:proofErr w:type="gramEnd"/>
      <w:r w:rsidRPr="00A40DDE">
        <w:rPr>
          <w:sz w:val="28"/>
          <w:szCs w:val="32"/>
        </w:rPr>
        <w:t xml:space="preserve">, specifications for non-listed banks after including </w:t>
      </w:r>
      <w:r w:rsidRPr="00A40DDE">
        <w:rPr>
          <w:rFonts w:ascii="Calibri" w:eastAsia="Calibri" w:hAnsi="Calibri" w:cs="Calibri"/>
          <w:sz w:val="28"/>
          <w:szCs w:val="32"/>
        </w:rPr>
        <w:t>Dep</w:t>
      </w:r>
      <w:r w:rsidRPr="00A40DDE">
        <w:rPr>
          <w:sz w:val="28"/>
          <w:szCs w:val="32"/>
        </w:rPr>
        <w:t>, the bank</w:t>
      </w:r>
      <w:r w:rsidRPr="00A40DDE">
        <w:rPr>
          <w:rFonts w:ascii="Calibri" w:eastAsia="Calibri" w:hAnsi="Calibri" w:cs="Calibri"/>
          <w:sz w:val="28"/>
          <w:szCs w:val="32"/>
        </w:rPr>
        <w:t>’</w:t>
      </w:r>
      <w:r w:rsidRPr="00A40DDE">
        <w:rPr>
          <w:sz w:val="28"/>
          <w:szCs w:val="32"/>
        </w:rPr>
        <w:t xml:space="preserve">s deposit liability deflated by total assets, and its interaction with </w:t>
      </w:r>
      <w:r w:rsidRPr="00A40DDE">
        <w:rPr>
          <w:rFonts w:ascii="Calibri" w:eastAsia="Calibri" w:hAnsi="Calibri" w:cs="Calibri"/>
          <w:sz w:val="28"/>
          <w:szCs w:val="32"/>
        </w:rPr>
        <w:t xml:space="preserve">NI </w:t>
      </w:r>
      <w:r w:rsidRPr="00A40DDE">
        <w:rPr>
          <w:sz w:val="28"/>
          <w:szCs w:val="32"/>
        </w:rPr>
        <w:t xml:space="preserve">and </w:t>
      </w:r>
      <w:proofErr w:type="spellStart"/>
      <w:r w:rsidRPr="00A40DDE">
        <w:rPr>
          <w:rFonts w:ascii="Calibri" w:eastAsia="Calibri" w:hAnsi="Calibri" w:cs="Calibri"/>
          <w:sz w:val="28"/>
          <w:szCs w:val="32"/>
        </w:rPr>
        <w:t>RegCapLow</w:t>
      </w:r>
      <w:proofErr w:type="spellEnd"/>
      <w:r w:rsidRPr="00A40DDE">
        <w:rPr>
          <w:sz w:val="28"/>
          <w:szCs w:val="32"/>
        </w:rPr>
        <w:t xml:space="preserve">, individually and together. </w:t>
      </w:r>
      <w:proofErr w:type="spellStart"/>
      <w:r w:rsidRPr="00A40DDE">
        <w:rPr>
          <w:sz w:val="28"/>
          <w:szCs w:val="32"/>
        </w:rPr>
        <w:t>Untabulated</w:t>
      </w:r>
      <w:proofErr w:type="spellEnd"/>
      <w:r w:rsidRPr="00A40DDE">
        <w:rPr>
          <w:sz w:val="28"/>
          <w:szCs w:val="32"/>
        </w:rPr>
        <w:t xml:space="preserve"> findings reveal that the earnings smoothing we observe in Table </w:t>
      </w:r>
      <w:r w:rsidRPr="00A40DDE">
        <w:rPr>
          <w:color w:val="392A97"/>
          <w:sz w:val="28"/>
          <w:szCs w:val="32"/>
        </w:rPr>
        <w:t xml:space="preserve">2 </w:t>
      </w:r>
      <w:r w:rsidRPr="00A40DDE">
        <w:rPr>
          <w:sz w:val="28"/>
          <w:szCs w:val="32"/>
        </w:rPr>
        <w:t xml:space="preserve">for non-listed banks stems from incentives relating to depositors. The </w:t>
      </w:r>
      <w:proofErr w:type="spellStart"/>
      <w:r w:rsidRPr="00A40DDE">
        <w:rPr>
          <w:rFonts w:ascii="Calibri" w:eastAsia="Calibri" w:hAnsi="Calibri" w:cs="Calibri"/>
          <w:sz w:val="28"/>
          <w:szCs w:val="32"/>
        </w:rPr>
        <w:t>Dep×NI</w:t>
      </w:r>
      <w:proofErr w:type="spellEnd"/>
      <w:r w:rsidRPr="00A40DDE">
        <w:rPr>
          <w:rFonts w:ascii="Calibri" w:eastAsia="Calibri" w:hAnsi="Calibri" w:cs="Calibri"/>
          <w:sz w:val="28"/>
          <w:szCs w:val="32"/>
        </w:rPr>
        <w:t xml:space="preserve"> </w:t>
      </w:r>
      <w:r w:rsidRPr="00A40DDE">
        <w:rPr>
          <w:sz w:val="28"/>
          <w:szCs w:val="32"/>
        </w:rPr>
        <w:t xml:space="preserve">coefficients are significantly negative (t-stats. = </w:t>
      </w:r>
      <w:r w:rsidRPr="00A40DDE">
        <w:rPr>
          <w:rFonts w:ascii="Calibri" w:eastAsia="Calibri" w:hAnsi="Calibri" w:cs="Calibri"/>
          <w:sz w:val="28"/>
          <w:szCs w:val="32"/>
        </w:rPr>
        <w:t>−</w:t>
      </w:r>
      <w:r w:rsidRPr="00A40DDE">
        <w:rPr>
          <w:sz w:val="28"/>
          <w:szCs w:val="32"/>
        </w:rPr>
        <w:t xml:space="preserve">5.81 and </w:t>
      </w:r>
      <w:r w:rsidRPr="00A40DDE">
        <w:rPr>
          <w:rFonts w:ascii="Calibri" w:eastAsia="Calibri" w:hAnsi="Calibri" w:cs="Calibri"/>
          <w:sz w:val="28"/>
          <w:szCs w:val="32"/>
        </w:rPr>
        <w:t>−</w:t>
      </w:r>
      <w:r w:rsidRPr="00A40DDE">
        <w:rPr>
          <w:sz w:val="28"/>
          <w:szCs w:val="32"/>
        </w:rPr>
        <w:t xml:space="preserve">5.97), and the </w:t>
      </w:r>
      <w:r w:rsidRPr="00A40DDE">
        <w:rPr>
          <w:rFonts w:ascii="Calibri" w:eastAsia="Calibri" w:hAnsi="Calibri" w:cs="Calibri"/>
          <w:sz w:val="28"/>
          <w:szCs w:val="32"/>
        </w:rPr>
        <w:t xml:space="preserve">NI </w:t>
      </w:r>
      <w:r w:rsidRPr="00A40DDE">
        <w:rPr>
          <w:sz w:val="28"/>
          <w:szCs w:val="32"/>
        </w:rPr>
        <w:t>coefficients are significantly positive (t-stats. = 4.27 and 4.41).</w:t>
      </w:r>
    </w:p>
    <w:p w:rsidR="007A7C36" w:rsidRPr="00A40DDE" w:rsidRDefault="00B13699" w:rsidP="009C459B">
      <w:pPr>
        <w:rPr>
          <w:sz w:val="28"/>
          <w:szCs w:val="32"/>
          <w:lang w:bidi="fa-IR"/>
        </w:rPr>
      </w:pPr>
      <w:r w:rsidRPr="00A40DDE">
        <w:rPr>
          <w:noProof/>
          <w:sz w:val="24"/>
          <w:szCs w:val="28"/>
        </w:rPr>
        <w:lastRenderedPageBreak/>
        <w:drawing>
          <wp:inline distT="0" distB="0" distL="0" distR="0" wp14:anchorId="052AA222" wp14:editId="22D3B788">
            <wp:extent cx="3438525" cy="5448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438525" cy="5448300"/>
                    </a:xfrm>
                    <a:prstGeom prst="rect">
                      <a:avLst/>
                    </a:prstGeom>
                  </pic:spPr>
                </pic:pic>
              </a:graphicData>
            </a:graphic>
          </wp:inline>
        </w:drawing>
      </w:r>
    </w:p>
    <w:p w:rsidR="00B13699" w:rsidRPr="00A40DDE" w:rsidRDefault="00B13699" w:rsidP="009C459B">
      <w:pPr>
        <w:rPr>
          <w:sz w:val="28"/>
          <w:szCs w:val="32"/>
          <w:rtl/>
          <w:lang w:bidi="fa-IR"/>
        </w:rPr>
      </w:pPr>
    </w:p>
    <w:p w:rsidR="009C459B" w:rsidRPr="00A40DDE" w:rsidRDefault="00B13699" w:rsidP="009C459B">
      <w:pPr>
        <w:rPr>
          <w:sz w:val="28"/>
          <w:szCs w:val="32"/>
          <w:rtl/>
          <w:lang w:bidi="fa-IR"/>
        </w:rPr>
      </w:pPr>
      <w:r w:rsidRPr="00A40DDE">
        <w:rPr>
          <w:noProof/>
          <w:sz w:val="24"/>
          <w:szCs w:val="28"/>
        </w:rPr>
        <w:lastRenderedPageBreak/>
        <w:drawing>
          <wp:inline distT="0" distB="0" distL="0" distR="0" wp14:anchorId="258A7B76" wp14:editId="5D9C3332">
            <wp:extent cx="3343275" cy="54483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343275" cy="5448300"/>
                    </a:xfrm>
                    <a:prstGeom prst="rect">
                      <a:avLst/>
                    </a:prstGeom>
                  </pic:spPr>
                </pic:pic>
              </a:graphicData>
            </a:graphic>
          </wp:inline>
        </w:drawing>
      </w:r>
    </w:p>
    <w:p w:rsidR="009C459B" w:rsidRPr="00A40DDE" w:rsidRDefault="009C459B" w:rsidP="009C459B">
      <w:pPr>
        <w:rPr>
          <w:sz w:val="28"/>
          <w:szCs w:val="32"/>
          <w:rtl/>
          <w:lang w:bidi="fa-IR"/>
        </w:rPr>
      </w:pPr>
    </w:p>
    <w:p w:rsidR="009C459B" w:rsidRPr="00A40DDE" w:rsidRDefault="009C459B" w:rsidP="009C459B">
      <w:pPr>
        <w:rPr>
          <w:sz w:val="28"/>
          <w:szCs w:val="32"/>
          <w:rtl/>
          <w:lang w:bidi="fa-IR"/>
        </w:rPr>
      </w:pPr>
    </w:p>
    <w:p w:rsidR="009C459B" w:rsidRPr="00A40DDE" w:rsidRDefault="009C459B" w:rsidP="009C459B">
      <w:pPr>
        <w:rPr>
          <w:sz w:val="28"/>
          <w:szCs w:val="32"/>
          <w:rtl/>
          <w:lang w:bidi="fa-IR"/>
        </w:rPr>
      </w:pPr>
    </w:p>
    <w:p w:rsidR="009C459B" w:rsidRPr="00A40DDE" w:rsidRDefault="009C459B" w:rsidP="009C459B">
      <w:pPr>
        <w:rPr>
          <w:sz w:val="28"/>
          <w:szCs w:val="32"/>
          <w:rtl/>
          <w:lang w:bidi="fa-IR"/>
        </w:rPr>
      </w:pPr>
    </w:p>
    <w:p w:rsidR="009C459B" w:rsidRPr="00A40DDE" w:rsidRDefault="009C459B" w:rsidP="009C459B">
      <w:pPr>
        <w:rPr>
          <w:sz w:val="28"/>
          <w:szCs w:val="32"/>
          <w:rtl/>
          <w:lang w:bidi="fa-IR"/>
        </w:rPr>
      </w:pPr>
    </w:p>
    <w:p w:rsidR="009C459B" w:rsidRPr="00A40DDE" w:rsidRDefault="009C459B" w:rsidP="009C459B">
      <w:pPr>
        <w:rPr>
          <w:sz w:val="28"/>
          <w:szCs w:val="32"/>
          <w:rtl/>
          <w:lang w:bidi="fa-IR"/>
        </w:rPr>
      </w:pPr>
      <w:r w:rsidRPr="00A40DDE">
        <w:rPr>
          <w:noProof/>
          <w:sz w:val="28"/>
          <w:szCs w:val="32"/>
        </w:rPr>
        <w:lastRenderedPageBreak/>
        <w:drawing>
          <wp:inline distT="0" distB="0" distL="0" distR="0" wp14:anchorId="175BB517" wp14:editId="343EE170">
            <wp:extent cx="2167128" cy="7141464"/>
            <wp:effectExtent l="0" t="0" r="0" b="0"/>
            <wp:docPr id="66569" name="Picture 66569"/>
            <wp:cNvGraphicFramePr/>
            <a:graphic xmlns:a="http://schemas.openxmlformats.org/drawingml/2006/main">
              <a:graphicData uri="http://schemas.openxmlformats.org/drawingml/2006/picture">
                <pic:pic xmlns:pic="http://schemas.openxmlformats.org/drawingml/2006/picture">
                  <pic:nvPicPr>
                    <pic:cNvPr id="66569" name="Picture 66569"/>
                    <pic:cNvPicPr/>
                  </pic:nvPicPr>
                  <pic:blipFill>
                    <a:blip r:embed="rId18"/>
                    <a:stretch>
                      <a:fillRect/>
                    </a:stretch>
                  </pic:blipFill>
                  <pic:spPr>
                    <a:xfrm>
                      <a:off x="0" y="0"/>
                      <a:ext cx="2167128" cy="7141464"/>
                    </a:xfrm>
                    <a:prstGeom prst="rect">
                      <a:avLst/>
                    </a:prstGeom>
                  </pic:spPr>
                </pic:pic>
              </a:graphicData>
            </a:graphic>
          </wp:inline>
        </w:drawing>
      </w:r>
    </w:p>
    <w:p w:rsidR="009C459B" w:rsidRPr="00A40DDE" w:rsidRDefault="009C459B" w:rsidP="009C459B">
      <w:pPr>
        <w:rPr>
          <w:sz w:val="28"/>
          <w:szCs w:val="32"/>
          <w:rtl/>
          <w:lang w:bidi="fa-IR"/>
        </w:rPr>
      </w:pPr>
    </w:p>
    <w:p w:rsidR="009C459B" w:rsidRPr="00A40DDE" w:rsidRDefault="009C459B" w:rsidP="009C459B">
      <w:pPr>
        <w:rPr>
          <w:sz w:val="28"/>
          <w:szCs w:val="32"/>
          <w:rtl/>
          <w:lang w:bidi="fa-IR"/>
        </w:rPr>
      </w:pPr>
    </w:p>
    <w:p w:rsidR="009C459B" w:rsidRPr="00A40DDE" w:rsidRDefault="009C459B" w:rsidP="009C459B">
      <w:pPr>
        <w:rPr>
          <w:sz w:val="28"/>
          <w:szCs w:val="32"/>
          <w:rtl/>
          <w:lang w:bidi="fa-IR"/>
        </w:rPr>
      </w:pPr>
    </w:p>
    <w:p w:rsidR="009C459B" w:rsidRPr="00A40DDE" w:rsidRDefault="009C459B" w:rsidP="009C459B">
      <w:pPr>
        <w:rPr>
          <w:sz w:val="28"/>
          <w:szCs w:val="32"/>
          <w:rtl/>
          <w:lang w:bidi="fa-IR"/>
        </w:rPr>
      </w:pPr>
    </w:p>
    <w:p w:rsidR="009C459B" w:rsidRPr="00A40DDE" w:rsidRDefault="009C459B" w:rsidP="00B13699">
      <w:pPr>
        <w:ind w:firstLine="0"/>
        <w:rPr>
          <w:sz w:val="28"/>
          <w:szCs w:val="32"/>
          <w:rtl/>
          <w:lang w:bidi="fa-IR"/>
        </w:rPr>
      </w:pPr>
    </w:p>
    <w:p w:rsidR="009C459B" w:rsidRPr="00A40DDE" w:rsidRDefault="009C459B" w:rsidP="009C459B">
      <w:pPr>
        <w:pStyle w:val="Heading1"/>
        <w:ind w:left="158" w:hanging="173"/>
        <w:rPr>
          <w:b/>
          <w:bCs/>
          <w:sz w:val="32"/>
          <w:szCs w:val="32"/>
        </w:rPr>
      </w:pPr>
      <w:r w:rsidRPr="00A40DDE">
        <w:rPr>
          <w:b/>
          <w:bCs/>
          <w:sz w:val="32"/>
          <w:szCs w:val="32"/>
        </w:rPr>
        <w:t>Conclusion</w:t>
      </w:r>
    </w:p>
    <w:p w:rsidR="009C459B" w:rsidRPr="00A40DDE" w:rsidRDefault="009C459B" w:rsidP="009C459B">
      <w:pPr>
        <w:ind w:left="-15" w:right="-13" w:firstLine="0"/>
        <w:rPr>
          <w:sz w:val="28"/>
          <w:szCs w:val="32"/>
        </w:rPr>
      </w:pPr>
      <w:r w:rsidRPr="00A40DDE">
        <w:rPr>
          <w:sz w:val="28"/>
          <w:szCs w:val="32"/>
        </w:rPr>
        <w:t>The question we address is the extent to which, and how, banks use realized gains and losses on available for sale (AFS) securities to manage earnings and regulatory capital. AFS securities gains and losses are recognized in earnings and, largely, in regulatory capital only when they are realized. We base our inferences relating to earnings management on a large sample of publicly listed and non-listed banks from 1996 to 2011 and on estimations of the relations between realized gains and losses on AFS securities and earnings and regulatory capital, each calculated before the effect of the gains and losses. We find robust evidence consistent with banks using realized AFS securities gains and losses to smooth earnings and increase low regulatory capital. We also find evidence consistent with banks with negative earnings avoiding or reducing losses or engaging in big bath earnings management, with regulatory capital constraining big bath earnings management. The extent to which banks use realized AFS securities gains and losses to manage earnings and regulatory capital depends on their circumstances, including the extent to which they have unrealized gains and losses to realize. Our findings generally apply to listed and non-listed banks, which indicates that incentives to manage earnings and regulatory capital are not limited to banks whose equity trades in public capital markets. Findings from several additional analyses support our inferences, including the absence of evidence that banks use fair value gains and losses on trading securities to smooth earnings.</w:t>
      </w:r>
    </w:p>
    <w:p w:rsidR="009C459B" w:rsidRPr="00A40DDE" w:rsidRDefault="009C459B" w:rsidP="009C459B">
      <w:pPr>
        <w:spacing w:after="253"/>
        <w:ind w:left="-15" w:right="-13"/>
        <w:rPr>
          <w:sz w:val="28"/>
          <w:szCs w:val="32"/>
        </w:rPr>
      </w:pPr>
      <w:r w:rsidRPr="00A40DDE">
        <w:rPr>
          <w:sz w:val="28"/>
          <w:szCs w:val="32"/>
        </w:rPr>
        <w:t>Our findings reveal that banks opportunistically use the discretion afforded to them by accounting standards and regulatory requirements and selectively realize AFS securities gains and losses to manage earnings and regulatory capital in a variety of ways. From a policy perspective, our findings suggest that including unrealized AFS securities gains and losses in regulatory capital and earnings would eliminate these incentives. Recent banking regulation has taken steps in this direction by requiring the largest, most sophisticated banks to include unrealized AFS securities gains and losses in regulatory capital. Our findings reveal that the inclusion of these gains and losses in other comprehensive income does not eliminate the incentive for banks to use realized AFS securities gains and losses to manage earnings. Rather, our findings suggest that recognizing these gains and losses in earnings</w:t>
      </w:r>
      <w:r w:rsidRPr="00A40DDE">
        <w:rPr>
          <w:rFonts w:ascii="Calibri" w:eastAsia="Calibri" w:hAnsi="Calibri" w:cs="Calibri"/>
          <w:sz w:val="28"/>
          <w:szCs w:val="32"/>
        </w:rPr>
        <w:t>—</w:t>
      </w:r>
      <w:r w:rsidRPr="00A40DDE">
        <w:rPr>
          <w:sz w:val="28"/>
          <w:szCs w:val="32"/>
        </w:rPr>
        <w:t>similar to the treatment of unrealized gains and losses on trading securities</w:t>
      </w:r>
      <w:r w:rsidRPr="00A40DDE">
        <w:rPr>
          <w:rFonts w:ascii="Calibri" w:eastAsia="Calibri" w:hAnsi="Calibri" w:cs="Calibri"/>
          <w:sz w:val="28"/>
          <w:szCs w:val="32"/>
        </w:rPr>
        <w:t>—</w:t>
      </w:r>
      <w:r w:rsidRPr="00A40DDE">
        <w:rPr>
          <w:sz w:val="28"/>
          <w:szCs w:val="32"/>
        </w:rPr>
        <w:t>is necessary to remove this incentive and, thus, eliminate realized AFS securities gains and losses as an earnings management tool.</w:t>
      </w:r>
    </w:p>
    <w:p w:rsidR="009C459B" w:rsidRPr="00A40DDE" w:rsidRDefault="009C459B" w:rsidP="009C459B">
      <w:pPr>
        <w:rPr>
          <w:sz w:val="28"/>
          <w:szCs w:val="32"/>
          <w:rtl/>
          <w:lang w:bidi="fa-IR"/>
        </w:rPr>
      </w:pPr>
      <w:proofErr w:type="gramStart"/>
      <w:r w:rsidRPr="00A40DDE">
        <w:rPr>
          <w:sz w:val="22"/>
          <w:szCs w:val="32"/>
        </w:rPr>
        <w:lastRenderedPageBreak/>
        <w:t xml:space="preserve">Acknowledgements We appreciate the helpful comments and suggestions from Michael </w:t>
      </w:r>
      <w:proofErr w:type="spellStart"/>
      <w:r w:rsidRPr="00A40DDE">
        <w:rPr>
          <w:sz w:val="22"/>
          <w:szCs w:val="32"/>
        </w:rPr>
        <w:t>Minnis</w:t>
      </w:r>
      <w:proofErr w:type="spellEnd"/>
      <w:r w:rsidRPr="00A40DDE">
        <w:rPr>
          <w:sz w:val="22"/>
          <w:szCs w:val="32"/>
        </w:rPr>
        <w:t xml:space="preserve">, </w:t>
      </w:r>
      <w:proofErr w:type="spellStart"/>
      <w:r w:rsidRPr="00A40DDE">
        <w:rPr>
          <w:sz w:val="22"/>
          <w:szCs w:val="32"/>
        </w:rPr>
        <w:t>Doron</w:t>
      </w:r>
      <w:proofErr w:type="spellEnd"/>
      <w:r w:rsidRPr="00A40DDE">
        <w:rPr>
          <w:sz w:val="22"/>
          <w:szCs w:val="32"/>
        </w:rPr>
        <w:t xml:space="preserve"> </w:t>
      </w:r>
      <w:proofErr w:type="spellStart"/>
      <w:r w:rsidRPr="00A40DDE">
        <w:rPr>
          <w:sz w:val="22"/>
          <w:szCs w:val="32"/>
        </w:rPr>
        <w:t>Nissim</w:t>
      </w:r>
      <w:proofErr w:type="spellEnd"/>
      <w:r w:rsidRPr="00A40DDE">
        <w:rPr>
          <w:sz w:val="22"/>
          <w:szCs w:val="32"/>
        </w:rPr>
        <w:t xml:space="preserve">, Stephen Penman, and seminar participants at the American Accounting Association annual meeting, especially John McInnis the discussant; Barcelona Accounting Seminar Series; European Accounting Association Annual Congress; Spanish Finance Association annual conference, especially Ricardo </w:t>
      </w:r>
      <w:proofErr w:type="spellStart"/>
      <w:r w:rsidRPr="00A40DDE">
        <w:rPr>
          <w:sz w:val="22"/>
          <w:szCs w:val="32"/>
        </w:rPr>
        <w:t>Gimeno</w:t>
      </w:r>
      <w:proofErr w:type="spellEnd"/>
      <w:r w:rsidRPr="00A40DDE">
        <w:rPr>
          <w:sz w:val="22"/>
          <w:szCs w:val="32"/>
        </w:rPr>
        <w:t xml:space="preserve"> the discussant; Universidad de Navarra; University of Neuchatel; </w:t>
      </w:r>
      <w:proofErr w:type="spellStart"/>
      <w:r w:rsidRPr="00A40DDE">
        <w:rPr>
          <w:sz w:val="22"/>
          <w:szCs w:val="32"/>
        </w:rPr>
        <w:t>Universitat</w:t>
      </w:r>
      <w:proofErr w:type="spellEnd"/>
      <w:r w:rsidRPr="00A40DDE">
        <w:rPr>
          <w:sz w:val="22"/>
          <w:szCs w:val="32"/>
        </w:rPr>
        <w:t xml:space="preserve"> </w:t>
      </w:r>
      <w:proofErr w:type="spellStart"/>
      <w:r w:rsidRPr="00A40DDE">
        <w:rPr>
          <w:sz w:val="22"/>
          <w:szCs w:val="32"/>
        </w:rPr>
        <w:t>Pompeu</w:t>
      </w:r>
      <w:proofErr w:type="spellEnd"/>
      <w:r w:rsidRPr="00A40DDE">
        <w:rPr>
          <w:sz w:val="22"/>
          <w:szCs w:val="32"/>
        </w:rPr>
        <w:t xml:space="preserve"> </w:t>
      </w:r>
      <w:proofErr w:type="spellStart"/>
      <w:r w:rsidRPr="00A40DDE">
        <w:rPr>
          <w:sz w:val="22"/>
          <w:szCs w:val="32"/>
        </w:rPr>
        <w:t>Fabra</w:t>
      </w:r>
      <w:proofErr w:type="spellEnd"/>
      <w:r w:rsidRPr="00A40DDE">
        <w:rPr>
          <w:sz w:val="22"/>
          <w:szCs w:val="32"/>
        </w:rPr>
        <w:t xml:space="preserve">; Universidad de Valladolid; and the VII International Research Symposium for Accounting Academics (Madrid), especially Pedro J. </w:t>
      </w:r>
      <w:proofErr w:type="spellStart"/>
      <w:r w:rsidRPr="00A40DDE">
        <w:rPr>
          <w:sz w:val="22"/>
          <w:szCs w:val="32"/>
        </w:rPr>
        <w:t>García</w:t>
      </w:r>
      <w:proofErr w:type="spellEnd"/>
      <w:r w:rsidRPr="00A40DDE">
        <w:rPr>
          <w:sz w:val="22"/>
          <w:szCs w:val="32"/>
        </w:rPr>
        <w:t xml:space="preserve"> the discussant.</w:t>
      </w:r>
      <w:proofErr w:type="gramEnd"/>
      <w:r w:rsidRPr="00A40DDE">
        <w:rPr>
          <w:sz w:val="22"/>
          <w:szCs w:val="32"/>
        </w:rPr>
        <w:t xml:space="preserve"> We also appreciate the data collection efforts of Min Ji Lee. </w:t>
      </w:r>
      <w:proofErr w:type="spellStart"/>
      <w:r w:rsidRPr="00A40DDE">
        <w:rPr>
          <w:sz w:val="22"/>
          <w:szCs w:val="32"/>
        </w:rPr>
        <w:t>Germán</w:t>
      </w:r>
      <w:proofErr w:type="spellEnd"/>
      <w:r w:rsidRPr="00A40DDE">
        <w:rPr>
          <w:sz w:val="22"/>
          <w:szCs w:val="32"/>
        </w:rPr>
        <w:t xml:space="preserve"> </w:t>
      </w:r>
      <w:proofErr w:type="spellStart"/>
      <w:r w:rsidRPr="00A40DDE">
        <w:rPr>
          <w:sz w:val="22"/>
          <w:szCs w:val="32"/>
        </w:rPr>
        <w:t>LópezEspinosa</w:t>
      </w:r>
      <w:proofErr w:type="spellEnd"/>
      <w:r w:rsidRPr="00A40DDE">
        <w:rPr>
          <w:sz w:val="22"/>
          <w:szCs w:val="32"/>
        </w:rPr>
        <w:t xml:space="preserve"> (Javier Gomez-</w:t>
      </w:r>
      <w:proofErr w:type="spellStart"/>
      <w:r w:rsidRPr="00A40DDE">
        <w:rPr>
          <w:sz w:val="22"/>
          <w:szCs w:val="32"/>
        </w:rPr>
        <w:t>Biscarri</w:t>
      </w:r>
      <w:proofErr w:type="spellEnd"/>
      <w:r w:rsidRPr="00A40DDE">
        <w:rPr>
          <w:sz w:val="22"/>
          <w:szCs w:val="32"/>
        </w:rPr>
        <w:t>) acknowledges financial support</w:t>
      </w:r>
    </w:p>
    <w:p w:rsidR="009C459B" w:rsidRPr="00A40DDE" w:rsidRDefault="009C459B" w:rsidP="009C459B">
      <w:pPr>
        <w:spacing w:line="262" w:lineRule="auto"/>
        <w:ind w:left="-15" w:right="0" w:firstLine="0"/>
        <w:rPr>
          <w:sz w:val="22"/>
          <w:szCs w:val="32"/>
          <w:rtl/>
        </w:rPr>
      </w:pPr>
      <w:proofErr w:type="gramStart"/>
      <w:r w:rsidRPr="00A40DDE">
        <w:rPr>
          <w:sz w:val="22"/>
          <w:szCs w:val="32"/>
        </w:rPr>
        <w:t>from</w:t>
      </w:r>
      <w:proofErr w:type="gramEnd"/>
      <w:r w:rsidRPr="00A40DDE">
        <w:rPr>
          <w:sz w:val="22"/>
          <w:szCs w:val="32"/>
        </w:rPr>
        <w:t xml:space="preserve"> the </w:t>
      </w:r>
      <w:proofErr w:type="spellStart"/>
      <w:r w:rsidRPr="00A40DDE">
        <w:rPr>
          <w:sz w:val="22"/>
          <w:szCs w:val="32"/>
        </w:rPr>
        <w:t>Ministerio</w:t>
      </w:r>
      <w:proofErr w:type="spellEnd"/>
      <w:r w:rsidRPr="00A40DDE">
        <w:rPr>
          <w:sz w:val="22"/>
          <w:szCs w:val="32"/>
        </w:rPr>
        <w:t xml:space="preserve"> de </w:t>
      </w:r>
      <w:proofErr w:type="spellStart"/>
      <w:r w:rsidRPr="00A40DDE">
        <w:rPr>
          <w:sz w:val="22"/>
          <w:szCs w:val="32"/>
        </w:rPr>
        <w:t>Ciencia</w:t>
      </w:r>
      <w:proofErr w:type="spellEnd"/>
      <w:r w:rsidRPr="00A40DDE">
        <w:rPr>
          <w:sz w:val="22"/>
          <w:szCs w:val="32"/>
        </w:rPr>
        <w:t xml:space="preserve"> e </w:t>
      </w:r>
      <w:proofErr w:type="spellStart"/>
      <w:r w:rsidRPr="00A40DDE">
        <w:rPr>
          <w:sz w:val="22"/>
          <w:szCs w:val="32"/>
        </w:rPr>
        <w:t>Innovación</w:t>
      </w:r>
      <w:proofErr w:type="spellEnd"/>
      <w:r w:rsidRPr="00A40DDE">
        <w:rPr>
          <w:sz w:val="22"/>
          <w:szCs w:val="32"/>
        </w:rPr>
        <w:t xml:space="preserve"> project ECO2012-33619 (ECO-2014-55488-P &amp; SEV-2015-0563) and from the </w:t>
      </w:r>
      <w:proofErr w:type="spellStart"/>
      <w:r w:rsidRPr="00A40DDE">
        <w:rPr>
          <w:sz w:val="22"/>
          <w:szCs w:val="32"/>
        </w:rPr>
        <w:t>Gobierno</w:t>
      </w:r>
      <w:proofErr w:type="spellEnd"/>
      <w:r w:rsidRPr="00A40DDE">
        <w:rPr>
          <w:sz w:val="22"/>
          <w:szCs w:val="32"/>
        </w:rPr>
        <w:t xml:space="preserve"> de Navarra </w:t>
      </w:r>
      <w:proofErr w:type="spellStart"/>
      <w:r w:rsidRPr="00A40DDE">
        <w:rPr>
          <w:sz w:val="22"/>
          <w:szCs w:val="32"/>
        </w:rPr>
        <w:t>Jerónimo</w:t>
      </w:r>
      <w:proofErr w:type="spellEnd"/>
      <w:r w:rsidRPr="00A40DDE">
        <w:rPr>
          <w:sz w:val="22"/>
          <w:szCs w:val="32"/>
        </w:rPr>
        <w:t xml:space="preserve"> de </w:t>
      </w:r>
      <w:proofErr w:type="spellStart"/>
      <w:r w:rsidRPr="00A40DDE">
        <w:rPr>
          <w:sz w:val="22"/>
          <w:szCs w:val="32"/>
        </w:rPr>
        <w:t>Ayanz</w:t>
      </w:r>
      <w:proofErr w:type="spellEnd"/>
      <w:r w:rsidRPr="00A40DDE">
        <w:rPr>
          <w:sz w:val="22"/>
          <w:szCs w:val="32"/>
        </w:rPr>
        <w:t xml:space="preserve"> program (Barcelona GSE).</w:t>
      </w:r>
    </w:p>
    <w:p w:rsidR="009C459B" w:rsidRPr="00A40DDE" w:rsidRDefault="009C459B" w:rsidP="009C459B">
      <w:pPr>
        <w:spacing w:line="262" w:lineRule="auto"/>
        <w:ind w:left="-15" w:right="0" w:firstLine="0"/>
        <w:rPr>
          <w:sz w:val="22"/>
          <w:szCs w:val="32"/>
          <w:rtl/>
        </w:rPr>
      </w:pPr>
    </w:p>
    <w:p w:rsidR="009C459B" w:rsidRPr="00A40DDE" w:rsidRDefault="009C459B" w:rsidP="009C459B">
      <w:pPr>
        <w:spacing w:line="262" w:lineRule="auto"/>
        <w:ind w:left="-15" w:right="0" w:firstLine="0"/>
        <w:rPr>
          <w:sz w:val="22"/>
          <w:szCs w:val="32"/>
          <w:rtl/>
        </w:rPr>
      </w:pPr>
    </w:p>
    <w:p w:rsidR="009C459B" w:rsidRPr="00A40DDE" w:rsidRDefault="009C459B" w:rsidP="009C459B">
      <w:pPr>
        <w:spacing w:line="262" w:lineRule="auto"/>
        <w:ind w:left="-15" w:right="0" w:firstLine="0"/>
        <w:rPr>
          <w:sz w:val="22"/>
          <w:szCs w:val="32"/>
          <w:rtl/>
        </w:rPr>
      </w:pPr>
    </w:p>
    <w:p w:rsidR="009C459B" w:rsidRPr="00A40DDE" w:rsidRDefault="009C459B" w:rsidP="009C459B">
      <w:pPr>
        <w:spacing w:line="262" w:lineRule="auto"/>
        <w:ind w:left="-15" w:right="0" w:firstLine="0"/>
        <w:rPr>
          <w:sz w:val="22"/>
          <w:szCs w:val="32"/>
          <w:rtl/>
        </w:rPr>
      </w:pPr>
    </w:p>
    <w:p w:rsidR="009C459B" w:rsidRPr="00A40DDE" w:rsidRDefault="009C459B" w:rsidP="009C459B">
      <w:pPr>
        <w:spacing w:line="262" w:lineRule="auto"/>
        <w:ind w:left="-15" w:right="0" w:firstLine="0"/>
        <w:rPr>
          <w:sz w:val="22"/>
          <w:szCs w:val="32"/>
          <w:rtl/>
        </w:rPr>
      </w:pPr>
    </w:p>
    <w:p w:rsidR="009C459B" w:rsidRPr="00A40DDE" w:rsidRDefault="009C459B" w:rsidP="009C459B">
      <w:pPr>
        <w:spacing w:line="262" w:lineRule="auto"/>
        <w:ind w:left="-15" w:right="0" w:firstLine="0"/>
        <w:rPr>
          <w:sz w:val="22"/>
          <w:szCs w:val="32"/>
          <w:rtl/>
        </w:rPr>
      </w:pPr>
    </w:p>
    <w:p w:rsidR="009C459B" w:rsidRPr="00A40DDE" w:rsidRDefault="009C459B" w:rsidP="009C459B">
      <w:pPr>
        <w:spacing w:line="262" w:lineRule="auto"/>
        <w:ind w:left="-15" w:right="0" w:firstLine="0"/>
        <w:rPr>
          <w:sz w:val="22"/>
          <w:szCs w:val="32"/>
          <w:rtl/>
        </w:rPr>
      </w:pPr>
    </w:p>
    <w:p w:rsidR="009C459B" w:rsidRPr="00A40DDE" w:rsidRDefault="009C459B" w:rsidP="009C459B">
      <w:pPr>
        <w:spacing w:line="262" w:lineRule="auto"/>
        <w:ind w:left="-15" w:right="0" w:firstLine="0"/>
        <w:rPr>
          <w:sz w:val="22"/>
          <w:szCs w:val="32"/>
          <w:rtl/>
        </w:rPr>
      </w:pPr>
    </w:p>
    <w:p w:rsidR="009C459B" w:rsidRPr="00A40DDE" w:rsidRDefault="009C459B" w:rsidP="009C459B">
      <w:pPr>
        <w:spacing w:line="262" w:lineRule="auto"/>
        <w:ind w:left="-15" w:right="0" w:firstLine="0"/>
        <w:rPr>
          <w:sz w:val="22"/>
          <w:szCs w:val="32"/>
          <w:rtl/>
        </w:rPr>
      </w:pPr>
    </w:p>
    <w:p w:rsidR="009C459B" w:rsidRPr="00A40DDE" w:rsidRDefault="009C459B" w:rsidP="009C459B">
      <w:pPr>
        <w:spacing w:line="262" w:lineRule="auto"/>
        <w:ind w:left="-15" w:right="0" w:firstLine="0"/>
        <w:rPr>
          <w:sz w:val="22"/>
          <w:szCs w:val="32"/>
          <w:rtl/>
        </w:rPr>
      </w:pPr>
    </w:p>
    <w:p w:rsidR="009C459B" w:rsidRPr="00A40DDE" w:rsidRDefault="009C459B" w:rsidP="009C459B">
      <w:pPr>
        <w:spacing w:line="262" w:lineRule="auto"/>
        <w:ind w:left="-15" w:right="0" w:firstLine="0"/>
        <w:rPr>
          <w:sz w:val="22"/>
          <w:szCs w:val="32"/>
          <w:rtl/>
        </w:rPr>
      </w:pPr>
    </w:p>
    <w:p w:rsidR="009C459B" w:rsidRPr="00A40DDE" w:rsidRDefault="009C459B" w:rsidP="009C459B">
      <w:pPr>
        <w:spacing w:line="262" w:lineRule="auto"/>
        <w:ind w:left="-15" w:right="0" w:firstLine="0"/>
        <w:rPr>
          <w:sz w:val="22"/>
          <w:szCs w:val="32"/>
          <w:rtl/>
        </w:rPr>
      </w:pPr>
    </w:p>
    <w:p w:rsidR="009C459B" w:rsidRPr="00A40DDE" w:rsidRDefault="009C459B" w:rsidP="009C459B">
      <w:pPr>
        <w:spacing w:line="262" w:lineRule="auto"/>
        <w:ind w:left="-15" w:right="0" w:firstLine="0"/>
        <w:rPr>
          <w:sz w:val="28"/>
          <w:szCs w:val="32"/>
        </w:rPr>
      </w:pPr>
    </w:p>
    <w:p w:rsidR="009C459B" w:rsidRPr="00A40DDE" w:rsidRDefault="009C459B" w:rsidP="009C459B">
      <w:pPr>
        <w:pStyle w:val="Heading1"/>
        <w:numPr>
          <w:ilvl w:val="0"/>
          <w:numId w:val="0"/>
        </w:numPr>
        <w:spacing w:after="698"/>
        <w:ind w:left="-5"/>
        <w:rPr>
          <w:sz w:val="32"/>
          <w:szCs w:val="32"/>
        </w:rPr>
      </w:pPr>
      <w:r w:rsidRPr="00A40DDE">
        <w:rPr>
          <w:sz w:val="32"/>
          <w:szCs w:val="32"/>
        </w:rPr>
        <w:t>Appendix</w:t>
      </w:r>
    </w:p>
    <w:p w:rsidR="009C459B" w:rsidRPr="00A40DDE" w:rsidRDefault="009C459B" w:rsidP="009C459B">
      <w:pPr>
        <w:spacing w:line="262" w:lineRule="auto"/>
        <w:ind w:left="-15" w:right="0" w:firstLine="0"/>
        <w:rPr>
          <w:sz w:val="28"/>
          <w:szCs w:val="32"/>
        </w:rPr>
      </w:pPr>
      <w:r w:rsidRPr="00A40DDE">
        <w:rPr>
          <w:sz w:val="22"/>
          <w:szCs w:val="32"/>
        </w:rPr>
        <w:t>Table 7 Variable definitions</w:t>
      </w:r>
    </w:p>
    <w:tbl>
      <w:tblPr>
        <w:tblStyle w:val="TableGrid"/>
        <w:tblW w:w="6746" w:type="dxa"/>
        <w:tblInd w:w="0" w:type="dxa"/>
        <w:tblCellMar>
          <w:top w:w="52" w:type="dxa"/>
          <w:right w:w="17" w:type="dxa"/>
        </w:tblCellMar>
        <w:tblLook w:val="04A0" w:firstRow="1" w:lastRow="0" w:firstColumn="1" w:lastColumn="0" w:noHBand="0" w:noVBand="1"/>
      </w:tblPr>
      <w:tblGrid>
        <w:gridCol w:w="798"/>
        <w:gridCol w:w="5948"/>
      </w:tblGrid>
      <w:tr w:rsidR="009C459B" w:rsidRPr="00A40DDE" w:rsidTr="00E702B6">
        <w:trPr>
          <w:trHeight w:val="402"/>
        </w:trPr>
        <w:tc>
          <w:tcPr>
            <w:tcW w:w="684" w:type="dxa"/>
            <w:tcBorders>
              <w:top w:val="single" w:sz="4" w:space="0" w:color="131313"/>
              <w:left w:val="nil"/>
              <w:bottom w:val="single" w:sz="4" w:space="0" w:color="131313"/>
              <w:right w:val="nil"/>
            </w:tcBorders>
            <w:vAlign w:val="center"/>
          </w:tcPr>
          <w:p w:rsidR="009C459B" w:rsidRPr="00A40DDE" w:rsidRDefault="009C459B" w:rsidP="00E702B6">
            <w:pPr>
              <w:spacing w:after="0" w:line="259" w:lineRule="auto"/>
              <w:ind w:right="0" w:firstLine="0"/>
              <w:jc w:val="left"/>
              <w:rPr>
                <w:sz w:val="28"/>
                <w:szCs w:val="32"/>
              </w:rPr>
            </w:pPr>
            <w:r w:rsidRPr="00A40DDE">
              <w:rPr>
                <w:sz w:val="22"/>
                <w:szCs w:val="32"/>
              </w:rPr>
              <w:t>Variable</w:t>
            </w:r>
          </w:p>
        </w:tc>
        <w:tc>
          <w:tcPr>
            <w:tcW w:w="6063" w:type="dxa"/>
            <w:tcBorders>
              <w:top w:val="single" w:sz="4" w:space="0" w:color="131313"/>
              <w:left w:val="nil"/>
              <w:bottom w:val="single" w:sz="4" w:space="0" w:color="131313"/>
              <w:right w:val="nil"/>
            </w:tcBorders>
            <w:vAlign w:val="center"/>
          </w:tcPr>
          <w:p w:rsidR="009C459B" w:rsidRPr="00A40DDE" w:rsidRDefault="009C459B" w:rsidP="00E702B6">
            <w:pPr>
              <w:spacing w:after="0" w:line="259" w:lineRule="auto"/>
              <w:ind w:right="0" w:firstLine="0"/>
              <w:jc w:val="left"/>
              <w:rPr>
                <w:sz w:val="28"/>
                <w:szCs w:val="32"/>
              </w:rPr>
            </w:pPr>
            <w:r w:rsidRPr="00A40DDE">
              <w:rPr>
                <w:sz w:val="22"/>
                <w:szCs w:val="32"/>
              </w:rPr>
              <w:t>Definition</w:t>
            </w:r>
          </w:p>
        </w:tc>
      </w:tr>
      <w:tr w:rsidR="009C459B" w:rsidRPr="00A40DDE" w:rsidTr="00E702B6">
        <w:trPr>
          <w:trHeight w:val="532"/>
        </w:trPr>
        <w:tc>
          <w:tcPr>
            <w:tcW w:w="684" w:type="dxa"/>
            <w:tcBorders>
              <w:top w:val="single" w:sz="4" w:space="0" w:color="131313"/>
              <w:left w:val="nil"/>
              <w:bottom w:val="nil"/>
              <w:right w:val="nil"/>
            </w:tcBorders>
            <w:vAlign w:val="center"/>
          </w:tcPr>
          <w:p w:rsidR="009C459B" w:rsidRPr="00A40DDE" w:rsidRDefault="009C459B" w:rsidP="00E702B6">
            <w:pPr>
              <w:spacing w:after="0" w:line="259" w:lineRule="auto"/>
              <w:ind w:right="0" w:firstLine="0"/>
              <w:jc w:val="left"/>
              <w:rPr>
                <w:sz w:val="28"/>
                <w:szCs w:val="32"/>
              </w:rPr>
            </w:pPr>
            <w:r w:rsidRPr="00A40DDE">
              <w:rPr>
                <w:rFonts w:ascii="Calibri" w:eastAsia="Calibri" w:hAnsi="Calibri" w:cs="Calibri"/>
                <w:sz w:val="22"/>
                <w:szCs w:val="32"/>
              </w:rPr>
              <w:t>RGL</w:t>
            </w:r>
          </w:p>
        </w:tc>
        <w:tc>
          <w:tcPr>
            <w:tcW w:w="6063" w:type="dxa"/>
            <w:tcBorders>
              <w:top w:val="single" w:sz="4" w:space="0" w:color="131313"/>
              <w:left w:val="nil"/>
              <w:bottom w:val="nil"/>
              <w:right w:val="nil"/>
            </w:tcBorders>
          </w:tcPr>
          <w:p w:rsidR="009C459B" w:rsidRPr="00A40DDE" w:rsidRDefault="009C459B" w:rsidP="00E702B6">
            <w:pPr>
              <w:spacing w:after="0" w:line="259" w:lineRule="auto"/>
              <w:ind w:left="170" w:right="0" w:hanging="170"/>
              <w:jc w:val="left"/>
              <w:rPr>
                <w:sz w:val="28"/>
                <w:szCs w:val="32"/>
              </w:rPr>
            </w:pPr>
            <w:r w:rsidRPr="00A40DDE">
              <w:rPr>
                <w:sz w:val="22"/>
                <w:szCs w:val="32"/>
              </w:rPr>
              <w:t>Realized gains and losses on available for sale (AFS) securities, deflated by beginning-of-quarter total assets</w:t>
            </w:r>
          </w:p>
        </w:tc>
      </w:tr>
      <w:tr w:rsidR="009C459B" w:rsidRPr="00A40DDE" w:rsidTr="00E702B6">
        <w:trPr>
          <w:trHeight w:val="249"/>
        </w:trPr>
        <w:tc>
          <w:tcPr>
            <w:tcW w:w="684"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r w:rsidRPr="00A40DDE">
              <w:rPr>
                <w:rFonts w:ascii="Calibri" w:eastAsia="Calibri" w:hAnsi="Calibri" w:cs="Calibri"/>
                <w:sz w:val="22"/>
                <w:szCs w:val="32"/>
              </w:rPr>
              <w:t>NI</w:t>
            </w:r>
          </w:p>
        </w:tc>
        <w:tc>
          <w:tcPr>
            <w:tcW w:w="6063"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r w:rsidRPr="00A40DDE">
              <w:rPr>
                <w:sz w:val="22"/>
                <w:szCs w:val="32"/>
              </w:rPr>
              <w:t xml:space="preserve">Net income before taxes and </w:t>
            </w:r>
            <w:r w:rsidRPr="00A40DDE">
              <w:rPr>
                <w:rFonts w:ascii="Calibri" w:eastAsia="Calibri" w:hAnsi="Calibri" w:cs="Calibri"/>
                <w:sz w:val="22"/>
                <w:szCs w:val="32"/>
              </w:rPr>
              <w:t>RGL</w:t>
            </w:r>
            <w:r w:rsidRPr="00A40DDE">
              <w:rPr>
                <w:sz w:val="22"/>
                <w:szCs w:val="32"/>
              </w:rPr>
              <w:t>, deflated by beginning-of-quarter total assets</w:t>
            </w:r>
          </w:p>
        </w:tc>
      </w:tr>
      <w:tr w:rsidR="009C459B" w:rsidRPr="00A40DDE" w:rsidTr="00E702B6">
        <w:trPr>
          <w:trHeight w:val="249"/>
        </w:trPr>
        <w:tc>
          <w:tcPr>
            <w:tcW w:w="684"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proofErr w:type="spellStart"/>
            <w:r w:rsidRPr="00A40DDE">
              <w:rPr>
                <w:rFonts w:ascii="Calibri" w:eastAsia="Calibri" w:hAnsi="Calibri" w:cs="Calibri"/>
                <w:sz w:val="22"/>
                <w:szCs w:val="32"/>
              </w:rPr>
              <w:t>NIpos</w:t>
            </w:r>
            <w:proofErr w:type="spellEnd"/>
          </w:p>
        </w:tc>
        <w:tc>
          <w:tcPr>
            <w:tcW w:w="6063"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r w:rsidRPr="00A40DDE">
              <w:rPr>
                <w:rFonts w:ascii="Calibri" w:eastAsia="Calibri" w:hAnsi="Calibri" w:cs="Calibri"/>
                <w:sz w:val="22"/>
                <w:szCs w:val="32"/>
              </w:rPr>
              <w:t xml:space="preserve">NI </w:t>
            </w:r>
            <w:r w:rsidRPr="00A40DDE">
              <w:rPr>
                <w:sz w:val="22"/>
                <w:szCs w:val="32"/>
              </w:rPr>
              <w:t xml:space="preserve">when </w:t>
            </w:r>
            <w:r w:rsidRPr="00A40DDE">
              <w:rPr>
                <w:rFonts w:ascii="Calibri" w:eastAsia="Calibri" w:hAnsi="Calibri" w:cs="Calibri"/>
                <w:sz w:val="22"/>
                <w:szCs w:val="32"/>
              </w:rPr>
              <w:t xml:space="preserve">NI </w:t>
            </w:r>
            <w:r w:rsidRPr="00A40DDE">
              <w:rPr>
                <w:sz w:val="22"/>
                <w:szCs w:val="32"/>
              </w:rPr>
              <w:t>is greater than or equal to zero, and zero otherwise</w:t>
            </w:r>
          </w:p>
        </w:tc>
      </w:tr>
      <w:tr w:rsidR="009C459B" w:rsidRPr="00A40DDE" w:rsidTr="00E702B6">
        <w:trPr>
          <w:trHeight w:val="249"/>
        </w:trPr>
        <w:tc>
          <w:tcPr>
            <w:tcW w:w="684"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proofErr w:type="spellStart"/>
            <w:r w:rsidRPr="00A40DDE">
              <w:rPr>
                <w:rFonts w:ascii="Calibri" w:eastAsia="Calibri" w:hAnsi="Calibri" w:cs="Calibri"/>
                <w:sz w:val="22"/>
                <w:szCs w:val="32"/>
              </w:rPr>
              <w:t>NIneg</w:t>
            </w:r>
            <w:proofErr w:type="spellEnd"/>
          </w:p>
        </w:tc>
        <w:tc>
          <w:tcPr>
            <w:tcW w:w="6063"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r w:rsidRPr="00A40DDE">
              <w:rPr>
                <w:rFonts w:ascii="Calibri" w:eastAsia="Calibri" w:hAnsi="Calibri" w:cs="Calibri"/>
                <w:sz w:val="22"/>
                <w:szCs w:val="32"/>
              </w:rPr>
              <w:t xml:space="preserve">NI </w:t>
            </w:r>
            <w:r w:rsidRPr="00A40DDE">
              <w:rPr>
                <w:sz w:val="22"/>
                <w:szCs w:val="32"/>
              </w:rPr>
              <w:t xml:space="preserve">when </w:t>
            </w:r>
            <w:r w:rsidRPr="00A40DDE">
              <w:rPr>
                <w:rFonts w:ascii="Calibri" w:eastAsia="Calibri" w:hAnsi="Calibri" w:cs="Calibri"/>
                <w:sz w:val="22"/>
                <w:szCs w:val="32"/>
              </w:rPr>
              <w:t xml:space="preserve">NI </w:t>
            </w:r>
            <w:r w:rsidRPr="00A40DDE">
              <w:rPr>
                <w:sz w:val="22"/>
                <w:szCs w:val="32"/>
              </w:rPr>
              <w:t>is less than zero, and zero otherwise</w:t>
            </w:r>
          </w:p>
        </w:tc>
      </w:tr>
      <w:tr w:rsidR="009C459B" w:rsidRPr="00A40DDE" w:rsidTr="00E702B6">
        <w:trPr>
          <w:trHeight w:val="438"/>
        </w:trPr>
        <w:tc>
          <w:tcPr>
            <w:tcW w:w="684"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proofErr w:type="spellStart"/>
            <w:r w:rsidRPr="00A40DDE">
              <w:rPr>
                <w:rFonts w:ascii="Calibri" w:eastAsia="Calibri" w:hAnsi="Calibri" w:cs="Calibri"/>
                <w:sz w:val="22"/>
                <w:szCs w:val="32"/>
              </w:rPr>
              <w:t>RegCap</w:t>
            </w:r>
            <w:proofErr w:type="spellEnd"/>
          </w:p>
        </w:tc>
        <w:tc>
          <w:tcPr>
            <w:tcW w:w="6063" w:type="dxa"/>
            <w:tcBorders>
              <w:top w:val="nil"/>
              <w:left w:val="nil"/>
              <w:bottom w:val="nil"/>
              <w:right w:val="nil"/>
            </w:tcBorders>
          </w:tcPr>
          <w:p w:rsidR="009C459B" w:rsidRPr="00A40DDE" w:rsidRDefault="009C459B" w:rsidP="00E702B6">
            <w:pPr>
              <w:spacing w:after="0" w:line="259" w:lineRule="auto"/>
              <w:ind w:left="170" w:right="0" w:hanging="170"/>
              <w:jc w:val="left"/>
              <w:rPr>
                <w:sz w:val="28"/>
                <w:szCs w:val="32"/>
              </w:rPr>
            </w:pPr>
            <w:r w:rsidRPr="00A40DDE">
              <w:rPr>
                <w:sz w:val="22"/>
                <w:szCs w:val="32"/>
              </w:rPr>
              <w:t xml:space="preserve">Regulatory capital ratio, i.e., allowable Tier 1 plus Tier 2 regulatory capital before </w:t>
            </w:r>
            <w:r w:rsidRPr="00A40DDE">
              <w:rPr>
                <w:rFonts w:ascii="Calibri" w:eastAsia="Calibri" w:hAnsi="Calibri" w:cs="Calibri"/>
                <w:sz w:val="22"/>
                <w:szCs w:val="32"/>
              </w:rPr>
              <w:t xml:space="preserve">RGL </w:t>
            </w:r>
            <w:r w:rsidRPr="00A40DDE">
              <w:rPr>
                <w:sz w:val="22"/>
                <w:szCs w:val="32"/>
              </w:rPr>
              <w:t>and after taxes, deflated by risk-weighted assets</w:t>
            </w:r>
          </w:p>
        </w:tc>
      </w:tr>
      <w:tr w:rsidR="009C459B" w:rsidRPr="00A40DDE" w:rsidTr="00E702B6">
        <w:trPr>
          <w:trHeight w:val="249"/>
        </w:trPr>
        <w:tc>
          <w:tcPr>
            <w:tcW w:w="684"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r w:rsidRPr="00A40DDE">
              <w:rPr>
                <w:rFonts w:ascii="Calibri" w:eastAsia="Calibri" w:hAnsi="Calibri" w:cs="Calibri"/>
                <w:sz w:val="22"/>
                <w:szCs w:val="32"/>
              </w:rPr>
              <w:lastRenderedPageBreak/>
              <w:t>UG</w:t>
            </w:r>
          </w:p>
        </w:tc>
        <w:tc>
          <w:tcPr>
            <w:tcW w:w="6063"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r w:rsidRPr="00A40DDE">
              <w:rPr>
                <w:sz w:val="22"/>
                <w:szCs w:val="32"/>
              </w:rPr>
              <w:t>Accumulated unrealized gains on AFS securities, deflated by total assets</w:t>
            </w:r>
          </w:p>
        </w:tc>
      </w:tr>
      <w:tr w:rsidR="009C459B" w:rsidRPr="00A40DDE" w:rsidTr="00E702B6">
        <w:trPr>
          <w:trHeight w:val="249"/>
        </w:trPr>
        <w:tc>
          <w:tcPr>
            <w:tcW w:w="684"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r w:rsidRPr="00A40DDE">
              <w:rPr>
                <w:rFonts w:ascii="Calibri" w:eastAsia="Calibri" w:hAnsi="Calibri" w:cs="Calibri"/>
                <w:sz w:val="22"/>
                <w:szCs w:val="32"/>
              </w:rPr>
              <w:t>UL</w:t>
            </w:r>
          </w:p>
        </w:tc>
        <w:tc>
          <w:tcPr>
            <w:tcW w:w="6063"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r w:rsidRPr="00A40DDE">
              <w:rPr>
                <w:sz w:val="22"/>
                <w:szCs w:val="32"/>
              </w:rPr>
              <w:t>Accumulated unrealized losses on AFS securities, deflated by total assets</w:t>
            </w:r>
          </w:p>
        </w:tc>
      </w:tr>
      <w:tr w:rsidR="009C459B" w:rsidRPr="00A40DDE" w:rsidTr="00E702B6">
        <w:trPr>
          <w:trHeight w:val="249"/>
        </w:trPr>
        <w:tc>
          <w:tcPr>
            <w:tcW w:w="684"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r w:rsidRPr="00A40DDE">
              <w:rPr>
                <w:rFonts w:ascii="Calibri" w:eastAsia="Calibri" w:hAnsi="Calibri" w:cs="Calibri"/>
                <w:sz w:val="22"/>
                <w:szCs w:val="32"/>
              </w:rPr>
              <w:t>Size</w:t>
            </w:r>
          </w:p>
        </w:tc>
        <w:tc>
          <w:tcPr>
            <w:tcW w:w="6063"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r w:rsidRPr="00A40DDE">
              <w:rPr>
                <w:sz w:val="22"/>
                <w:szCs w:val="32"/>
              </w:rPr>
              <w:t>Natural logarithm of beginning-of-quarter total assets</w:t>
            </w:r>
          </w:p>
        </w:tc>
      </w:tr>
      <w:tr w:rsidR="009C459B" w:rsidRPr="00A40DDE" w:rsidTr="00E702B6">
        <w:trPr>
          <w:trHeight w:val="249"/>
        </w:trPr>
        <w:tc>
          <w:tcPr>
            <w:tcW w:w="684"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r w:rsidRPr="00A40DDE">
              <w:rPr>
                <w:rFonts w:ascii="Calibri" w:eastAsia="Calibri" w:hAnsi="Calibri" w:cs="Calibri"/>
                <w:sz w:val="22"/>
                <w:szCs w:val="32"/>
              </w:rPr>
              <w:t>Sec</w:t>
            </w:r>
          </w:p>
        </w:tc>
        <w:tc>
          <w:tcPr>
            <w:tcW w:w="6063"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r w:rsidRPr="00A40DDE">
              <w:rPr>
                <w:sz w:val="22"/>
                <w:szCs w:val="32"/>
              </w:rPr>
              <w:t>Total securities, deflated by beginning-of-quarter total assets</w:t>
            </w:r>
          </w:p>
        </w:tc>
      </w:tr>
      <w:tr w:rsidR="009C459B" w:rsidRPr="00A40DDE" w:rsidTr="00E702B6">
        <w:trPr>
          <w:trHeight w:val="249"/>
        </w:trPr>
        <w:tc>
          <w:tcPr>
            <w:tcW w:w="684"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r w:rsidRPr="00A40DDE">
              <w:rPr>
                <w:rFonts w:ascii="Calibri" w:eastAsia="Calibri" w:hAnsi="Calibri" w:cs="Calibri"/>
                <w:sz w:val="22"/>
                <w:szCs w:val="32"/>
              </w:rPr>
              <w:t>Liquid</w:t>
            </w:r>
          </w:p>
        </w:tc>
        <w:tc>
          <w:tcPr>
            <w:tcW w:w="6063"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r w:rsidRPr="00A40DDE">
              <w:rPr>
                <w:sz w:val="22"/>
                <w:szCs w:val="32"/>
              </w:rPr>
              <w:t>Total liquid assets, deflated by beginning-of-quarter total assets</w:t>
            </w:r>
          </w:p>
        </w:tc>
      </w:tr>
      <w:tr w:rsidR="009C459B" w:rsidRPr="00A40DDE" w:rsidTr="00E702B6">
        <w:trPr>
          <w:trHeight w:val="249"/>
        </w:trPr>
        <w:tc>
          <w:tcPr>
            <w:tcW w:w="684"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r w:rsidRPr="00A40DDE">
              <w:rPr>
                <w:rFonts w:ascii="Calibri" w:eastAsia="Calibri" w:hAnsi="Calibri" w:cs="Calibri"/>
                <w:sz w:val="22"/>
                <w:szCs w:val="32"/>
              </w:rPr>
              <w:t>VIX</w:t>
            </w:r>
          </w:p>
        </w:tc>
        <w:tc>
          <w:tcPr>
            <w:tcW w:w="6063"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r w:rsidRPr="00A40DDE">
              <w:rPr>
                <w:sz w:val="22"/>
                <w:szCs w:val="32"/>
              </w:rPr>
              <w:t>Implied volatility of options on the S&amp;P 500 Index</w:t>
            </w:r>
          </w:p>
        </w:tc>
      </w:tr>
      <w:tr w:rsidR="009C459B" w:rsidRPr="00A40DDE" w:rsidTr="00E702B6">
        <w:trPr>
          <w:trHeight w:val="249"/>
        </w:trPr>
        <w:tc>
          <w:tcPr>
            <w:tcW w:w="684"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proofErr w:type="spellStart"/>
            <w:r w:rsidRPr="00A40DDE">
              <w:rPr>
                <w:rFonts w:ascii="Calibri" w:eastAsia="Calibri" w:hAnsi="Calibri" w:cs="Calibri"/>
                <w:sz w:val="22"/>
                <w:szCs w:val="32"/>
              </w:rPr>
              <w:t>Unemp</w:t>
            </w:r>
            <w:proofErr w:type="spellEnd"/>
          </w:p>
        </w:tc>
        <w:tc>
          <w:tcPr>
            <w:tcW w:w="6063"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r w:rsidRPr="00A40DDE">
              <w:rPr>
                <w:sz w:val="22"/>
                <w:szCs w:val="32"/>
              </w:rPr>
              <w:t>One-year-ahead consensus forecast of the US unemployment rate</w:t>
            </w:r>
          </w:p>
        </w:tc>
      </w:tr>
      <w:tr w:rsidR="009C459B" w:rsidRPr="00A40DDE" w:rsidTr="00E702B6">
        <w:trPr>
          <w:trHeight w:val="249"/>
        </w:trPr>
        <w:tc>
          <w:tcPr>
            <w:tcW w:w="684"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r w:rsidRPr="00A40DDE">
              <w:rPr>
                <w:rFonts w:ascii="Calibri" w:eastAsia="Calibri" w:hAnsi="Calibri" w:cs="Calibri"/>
                <w:sz w:val="22"/>
                <w:szCs w:val="32"/>
              </w:rPr>
              <w:t>LIBOR</w:t>
            </w:r>
          </w:p>
        </w:tc>
        <w:tc>
          <w:tcPr>
            <w:tcW w:w="6063"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r w:rsidRPr="00A40DDE">
              <w:rPr>
                <w:sz w:val="22"/>
                <w:szCs w:val="32"/>
              </w:rPr>
              <w:t>Difference between the London Interbank Offer Rate and overnight indexed swap rates</w:t>
            </w:r>
          </w:p>
        </w:tc>
      </w:tr>
      <w:tr w:rsidR="009C459B" w:rsidRPr="00A40DDE" w:rsidTr="00E702B6">
        <w:trPr>
          <w:trHeight w:val="234"/>
        </w:trPr>
        <w:tc>
          <w:tcPr>
            <w:tcW w:w="684"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r w:rsidRPr="00A40DDE">
              <w:rPr>
                <w:rFonts w:ascii="Calibri" w:eastAsia="Calibri" w:hAnsi="Calibri" w:cs="Calibri"/>
                <w:sz w:val="22"/>
                <w:szCs w:val="32"/>
              </w:rPr>
              <w:t>LLP</w:t>
            </w:r>
          </w:p>
        </w:tc>
        <w:tc>
          <w:tcPr>
            <w:tcW w:w="6063"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r w:rsidRPr="00A40DDE">
              <w:rPr>
                <w:sz w:val="22"/>
                <w:szCs w:val="32"/>
              </w:rPr>
              <w:t>Quarterly loan loss provision, deflated by beginning-of-quarter total assets</w:t>
            </w:r>
          </w:p>
        </w:tc>
      </w:tr>
      <w:tr w:rsidR="009C459B" w:rsidRPr="00A40DDE" w:rsidTr="00E702B6">
        <w:trPr>
          <w:trHeight w:val="643"/>
        </w:trPr>
        <w:tc>
          <w:tcPr>
            <w:tcW w:w="684"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proofErr w:type="spellStart"/>
            <w:r w:rsidRPr="00A40DDE">
              <w:rPr>
                <w:rFonts w:ascii="Calibri" w:eastAsia="Calibri" w:hAnsi="Calibri" w:cs="Calibri"/>
                <w:sz w:val="22"/>
                <w:szCs w:val="32"/>
              </w:rPr>
              <w:t>ΔEqFin</w:t>
            </w:r>
            <w:proofErr w:type="spellEnd"/>
          </w:p>
        </w:tc>
        <w:tc>
          <w:tcPr>
            <w:tcW w:w="6063" w:type="dxa"/>
            <w:tcBorders>
              <w:top w:val="nil"/>
              <w:left w:val="nil"/>
              <w:bottom w:val="nil"/>
              <w:right w:val="nil"/>
            </w:tcBorders>
          </w:tcPr>
          <w:p w:rsidR="009C459B" w:rsidRPr="00A40DDE" w:rsidRDefault="009C459B" w:rsidP="00E702B6">
            <w:pPr>
              <w:spacing w:after="0" w:line="259" w:lineRule="auto"/>
              <w:ind w:left="170" w:right="0" w:hanging="170"/>
              <w:jc w:val="left"/>
              <w:rPr>
                <w:sz w:val="28"/>
                <w:szCs w:val="32"/>
              </w:rPr>
            </w:pPr>
            <w:r w:rsidRPr="00A40DDE">
              <w:rPr>
                <w:sz w:val="22"/>
                <w:szCs w:val="32"/>
              </w:rPr>
              <w:t>Change in shareholders</w:t>
            </w:r>
            <w:r w:rsidRPr="00A40DDE">
              <w:rPr>
                <w:rFonts w:ascii="Calibri" w:eastAsia="Calibri" w:hAnsi="Calibri" w:cs="Calibri"/>
                <w:sz w:val="22"/>
                <w:szCs w:val="32"/>
              </w:rPr>
              <w:t xml:space="preserve">’ </w:t>
            </w:r>
            <w:r w:rsidRPr="00A40DDE">
              <w:rPr>
                <w:sz w:val="22"/>
                <w:szCs w:val="32"/>
              </w:rPr>
              <w:t>equity other than that associated with current quarter comprehensive income, i.e., the change in total equity minus total comprehensive income, deflated by beginning-of-quarter total assets</w:t>
            </w:r>
          </w:p>
        </w:tc>
      </w:tr>
      <w:tr w:rsidR="009C459B" w:rsidRPr="00A40DDE" w:rsidTr="00E702B6">
        <w:trPr>
          <w:trHeight w:val="234"/>
        </w:trPr>
        <w:tc>
          <w:tcPr>
            <w:tcW w:w="684"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r w:rsidRPr="00A40DDE">
              <w:rPr>
                <w:rFonts w:ascii="Calibri" w:eastAsia="Calibri" w:hAnsi="Calibri" w:cs="Calibri"/>
                <w:sz w:val="22"/>
                <w:szCs w:val="32"/>
              </w:rPr>
              <w:t>SG</w:t>
            </w:r>
          </w:p>
        </w:tc>
        <w:tc>
          <w:tcPr>
            <w:tcW w:w="6063"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r w:rsidRPr="00A40DDE">
              <w:rPr>
                <w:sz w:val="22"/>
                <w:szCs w:val="32"/>
              </w:rPr>
              <w:t>Securitization gains, i.e., net securitization income, deflated by beginning-of-quarter total assets</w:t>
            </w:r>
          </w:p>
        </w:tc>
      </w:tr>
      <w:tr w:rsidR="009C459B" w:rsidRPr="00A40DDE" w:rsidTr="00E702B6">
        <w:trPr>
          <w:trHeight w:val="252"/>
        </w:trPr>
        <w:tc>
          <w:tcPr>
            <w:tcW w:w="684"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r w:rsidRPr="00A40DDE">
              <w:rPr>
                <w:rFonts w:ascii="Calibri" w:eastAsia="Calibri" w:hAnsi="Calibri" w:cs="Calibri"/>
                <w:sz w:val="22"/>
                <w:szCs w:val="32"/>
              </w:rPr>
              <w:t>ΔNPL</w:t>
            </w:r>
          </w:p>
        </w:tc>
        <w:tc>
          <w:tcPr>
            <w:tcW w:w="6063"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r w:rsidRPr="00A40DDE">
              <w:rPr>
                <w:sz w:val="22"/>
                <w:szCs w:val="32"/>
              </w:rPr>
              <w:t>Change in nonperforming loans and leases, deflated by beginning-of-quarter total assets</w:t>
            </w:r>
          </w:p>
        </w:tc>
      </w:tr>
      <w:tr w:rsidR="009C459B" w:rsidRPr="00A40DDE" w:rsidTr="00E702B6">
        <w:trPr>
          <w:trHeight w:val="261"/>
        </w:trPr>
        <w:tc>
          <w:tcPr>
            <w:tcW w:w="684"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r w:rsidRPr="00A40DDE">
              <w:rPr>
                <w:rFonts w:ascii="Calibri" w:eastAsia="Calibri" w:hAnsi="Calibri" w:cs="Calibri"/>
                <w:sz w:val="22"/>
                <w:szCs w:val="32"/>
              </w:rPr>
              <w:t>Lev</w:t>
            </w:r>
          </w:p>
        </w:tc>
        <w:tc>
          <w:tcPr>
            <w:tcW w:w="6063"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r w:rsidRPr="00A40DDE">
              <w:rPr>
                <w:sz w:val="22"/>
                <w:szCs w:val="32"/>
              </w:rPr>
              <w:t>Total shareholders</w:t>
            </w:r>
            <w:r w:rsidRPr="00A40DDE">
              <w:rPr>
                <w:rFonts w:ascii="Calibri" w:eastAsia="Calibri" w:hAnsi="Calibri" w:cs="Calibri"/>
                <w:sz w:val="22"/>
                <w:szCs w:val="32"/>
              </w:rPr>
              <w:t xml:space="preserve">’ </w:t>
            </w:r>
            <w:r w:rsidRPr="00A40DDE">
              <w:rPr>
                <w:sz w:val="22"/>
                <w:szCs w:val="32"/>
              </w:rPr>
              <w:t>equity deflated by total assets</w:t>
            </w:r>
          </w:p>
        </w:tc>
      </w:tr>
      <w:tr w:rsidR="009C459B" w:rsidRPr="00A40DDE" w:rsidTr="00E702B6">
        <w:trPr>
          <w:trHeight w:val="249"/>
        </w:trPr>
        <w:tc>
          <w:tcPr>
            <w:tcW w:w="684"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r w:rsidRPr="00A40DDE">
              <w:rPr>
                <w:rFonts w:ascii="Calibri" w:eastAsia="Calibri" w:hAnsi="Calibri" w:cs="Calibri"/>
                <w:sz w:val="22"/>
                <w:szCs w:val="32"/>
              </w:rPr>
              <w:t>NI^</w:t>
            </w:r>
          </w:p>
        </w:tc>
        <w:tc>
          <w:tcPr>
            <w:tcW w:w="6063" w:type="dxa"/>
            <w:tcBorders>
              <w:top w:val="nil"/>
              <w:left w:val="nil"/>
              <w:bottom w:val="nil"/>
              <w:right w:val="nil"/>
            </w:tcBorders>
          </w:tcPr>
          <w:p w:rsidR="009C459B" w:rsidRPr="00A40DDE" w:rsidRDefault="009C459B" w:rsidP="00E702B6">
            <w:pPr>
              <w:spacing w:after="0" w:line="259" w:lineRule="auto"/>
              <w:ind w:right="0" w:firstLine="0"/>
              <w:jc w:val="left"/>
              <w:rPr>
                <w:sz w:val="28"/>
                <w:szCs w:val="32"/>
              </w:rPr>
            </w:pPr>
            <w:r w:rsidRPr="00A40DDE">
              <w:rPr>
                <w:sz w:val="22"/>
                <w:szCs w:val="32"/>
              </w:rPr>
              <w:t xml:space="preserve">Net income before </w:t>
            </w:r>
            <w:r w:rsidRPr="00A40DDE">
              <w:rPr>
                <w:rFonts w:ascii="Calibri" w:eastAsia="Calibri" w:hAnsi="Calibri" w:cs="Calibri"/>
                <w:sz w:val="22"/>
                <w:szCs w:val="32"/>
              </w:rPr>
              <w:t>RGL</w:t>
            </w:r>
            <w:r w:rsidRPr="00A40DDE">
              <w:rPr>
                <w:sz w:val="22"/>
                <w:szCs w:val="32"/>
              </w:rPr>
              <w:t xml:space="preserve">, </w:t>
            </w:r>
            <w:r w:rsidRPr="00A40DDE">
              <w:rPr>
                <w:rFonts w:ascii="Calibri" w:eastAsia="Calibri" w:hAnsi="Calibri" w:cs="Calibri"/>
                <w:sz w:val="22"/>
                <w:szCs w:val="32"/>
              </w:rPr>
              <w:t>LLP</w:t>
            </w:r>
            <w:r w:rsidRPr="00A40DDE">
              <w:rPr>
                <w:sz w:val="22"/>
                <w:szCs w:val="32"/>
              </w:rPr>
              <w:t xml:space="preserve">, and </w:t>
            </w:r>
            <w:r w:rsidRPr="00A40DDE">
              <w:rPr>
                <w:rFonts w:ascii="Calibri" w:eastAsia="Calibri" w:hAnsi="Calibri" w:cs="Calibri"/>
                <w:sz w:val="22"/>
                <w:szCs w:val="32"/>
              </w:rPr>
              <w:t>SG</w:t>
            </w:r>
          </w:p>
        </w:tc>
      </w:tr>
      <w:tr w:rsidR="009C459B" w:rsidRPr="00A40DDE" w:rsidTr="00E702B6">
        <w:trPr>
          <w:trHeight w:val="311"/>
        </w:trPr>
        <w:tc>
          <w:tcPr>
            <w:tcW w:w="684" w:type="dxa"/>
            <w:tcBorders>
              <w:top w:val="nil"/>
              <w:left w:val="nil"/>
              <w:bottom w:val="single" w:sz="5" w:space="0" w:color="131313"/>
              <w:right w:val="nil"/>
            </w:tcBorders>
          </w:tcPr>
          <w:p w:rsidR="009C459B" w:rsidRPr="00A40DDE" w:rsidRDefault="009C459B" w:rsidP="00E702B6">
            <w:pPr>
              <w:spacing w:after="0" w:line="259" w:lineRule="auto"/>
              <w:ind w:right="0" w:firstLine="0"/>
              <w:jc w:val="left"/>
              <w:rPr>
                <w:sz w:val="28"/>
                <w:szCs w:val="32"/>
              </w:rPr>
            </w:pPr>
            <w:proofErr w:type="spellStart"/>
            <w:r w:rsidRPr="00A40DDE">
              <w:rPr>
                <w:rFonts w:ascii="Calibri" w:eastAsia="Calibri" w:hAnsi="Calibri" w:cs="Calibri"/>
                <w:sz w:val="22"/>
                <w:szCs w:val="32"/>
              </w:rPr>
              <w:t>RegCap</w:t>
            </w:r>
            <w:proofErr w:type="spellEnd"/>
            <w:r w:rsidRPr="00A40DDE">
              <w:rPr>
                <w:rFonts w:ascii="Calibri" w:eastAsia="Calibri" w:hAnsi="Calibri" w:cs="Calibri"/>
                <w:sz w:val="22"/>
                <w:szCs w:val="32"/>
              </w:rPr>
              <w:t>^</w:t>
            </w:r>
          </w:p>
        </w:tc>
        <w:tc>
          <w:tcPr>
            <w:tcW w:w="6063" w:type="dxa"/>
            <w:tcBorders>
              <w:top w:val="nil"/>
              <w:left w:val="nil"/>
              <w:bottom w:val="single" w:sz="5" w:space="0" w:color="131313"/>
              <w:right w:val="nil"/>
            </w:tcBorders>
          </w:tcPr>
          <w:p w:rsidR="009C459B" w:rsidRPr="00A40DDE" w:rsidRDefault="009C459B" w:rsidP="00E702B6">
            <w:pPr>
              <w:spacing w:after="0" w:line="259" w:lineRule="auto"/>
              <w:ind w:right="0" w:firstLine="0"/>
              <w:jc w:val="left"/>
              <w:rPr>
                <w:sz w:val="28"/>
                <w:szCs w:val="32"/>
              </w:rPr>
            </w:pPr>
            <w:r w:rsidRPr="00A40DDE">
              <w:rPr>
                <w:sz w:val="22"/>
                <w:szCs w:val="32"/>
              </w:rPr>
              <w:t xml:space="preserve">Regulatory capital before </w:t>
            </w:r>
            <w:r w:rsidRPr="00A40DDE">
              <w:rPr>
                <w:rFonts w:ascii="Calibri" w:eastAsia="Calibri" w:hAnsi="Calibri" w:cs="Calibri"/>
                <w:sz w:val="22"/>
                <w:szCs w:val="32"/>
              </w:rPr>
              <w:t>RGL</w:t>
            </w:r>
            <w:r w:rsidRPr="00A40DDE">
              <w:rPr>
                <w:sz w:val="22"/>
                <w:szCs w:val="32"/>
              </w:rPr>
              <w:t xml:space="preserve">, </w:t>
            </w:r>
            <w:r w:rsidRPr="00A40DDE">
              <w:rPr>
                <w:rFonts w:ascii="Calibri" w:eastAsia="Calibri" w:hAnsi="Calibri" w:cs="Calibri"/>
                <w:sz w:val="22"/>
                <w:szCs w:val="32"/>
              </w:rPr>
              <w:t>LLP</w:t>
            </w:r>
            <w:r w:rsidRPr="00A40DDE">
              <w:rPr>
                <w:sz w:val="22"/>
                <w:szCs w:val="32"/>
              </w:rPr>
              <w:t xml:space="preserve">, and </w:t>
            </w:r>
            <w:r w:rsidRPr="00A40DDE">
              <w:rPr>
                <w:rFonts w:ascii="Calibri" w:eastAsia="Calibri" w:hAnsi="Calibri" w:cs="Calibri"/>
                <w:sz w:val="22"/>
                <w:szCs w:val="32"/>
              </w:rPr>
              <w:t>SG</w:t>
            </w:r>
          </w:p>
        </w:tc>
      </w:tr>
    </w:tbl>
    <w:p w:rsidR="009C459B" w:rsidRPr="00A40DDE" w:rsidRDefault="009C459B" w:rsidP="009C459B">
      <w:pPr>
        <w:pStyle w:val="Heading1"/>
        <w:numPr>
          <w:ilvl w:val="0"/>
          <w:numId w:val="0"/>
        </w:numPr>
        <w:ind w:left="-5"/>
        <w:rPr>
          <w:sz w:val="32"/>
          <w:szCs w:val="32"/>
        </w:rPr>
      </w:pPr>
      <w:r w:rsidRPr="00A40DDE">
        <w:rPr>
          <w:sz w:val="32"/>
          <w:szCs w:val="32"/>
        </w:rPr>
        <w:t>References</w:t>
      </w:r>
    </w:p>
    <w:p w:rsidR="009C459B" w:rsidRPr="00A40DDE" w:rsidRDefault="009C459B" w:rsidP="009C459B">
      <w:pPr>
        <w:spacing w:line="262" w:lineRule="auto"/>
        <w:ind w:left="274" w:right="0" w:hanging="289"/>
        <w:rPr>
          <w:sz w:val="22"/>
          <w:szCs w:val="32"/>
          <w:rtl/>
        </w:rPr>
      </w:pPr>
      <w:r w:rsidRPr="00A40DDE">
        <w:rPr>
          <w:sz w:val="22"/>
          <w:szCs w:val="32"/>
        </w:rPr>
        <w:t xml:space="preserve">Ahmed, A. S., Takeda, C., &amp; Thomas, S. (1999). </w:t>
      </w:r>
      <w:proofErr w:type="gramStart"/>
      <w:r w:rsidRPr="00A40DDE">
        <w:rPr>
          <w:sz w:val="22"/>
          <w:szCs w:val="32"/>
        </w:rPr>
        <w:t>Bank loan loss provisions</w:t>
      </w:r>
      <w:proofErr w:type="gramEnd"/>
      <w:r w:rsidRPr="00A40DDE">
        <w:rPr>
          <w:sz w:val="22"/>
          <w:szCs w:val="32"/>
        </w:rPr>
        <w:t xml:space="preserve">: A re-examination of capital management, earnings management and </w:t>
      </w:r>
      <w:proofErr w:type="spellStart"/>
      <w:r w:rsidRPr="00A40DDE">
        <w:rPr>
          <w:sz w:val="22"/>
          <w:szCs w:val="32"/>
        </w:rPr>
        <w:t>signalling</w:t>
      </w:r>
      <w:proofErr w:type="spellEnd"/>
      <w:r w:rsidRPr="00A40DDE">
        <w:rPr>
          <w:sz w:val="22"/>
          <w:szCs w:val="32"/>
        </w:rPr>
        <w:t xml:space="preserve"> effects. </w:t>
      </w:r>
      <w:r w:rsidRPr="00A40DDE">
        <w:rPr>
          <w:rFonts w:ascii="Calibri" w:eastAsia="Calibri" w:hAnsi="Calibri" w:cs="Calibri"/>
          <w:sz w:val="22"/>
          <w:szCs w:val="32"/>
        </w:rPr>
        <w:t>Journal of Accounting and Economics, 28</w:t>
      </w:r>
      <w:r w:rsidRPr="00A40DDE">
        <w:rPr>
          <w:sz w:val="22"/>
          <w:szCs w:val="32"/>
        </w:rPr>
        <w:t>, 1</w:t>
      </w:r>
      <w:r w:rsidRPr="00A40DDE">
        <w:rPr>
          <w:rFonts w:ascii="Calibri" w:eastAsia="Calibri" w:hAnsi="Calibri" w:cs="Calibri"/>
          <w:sz w:val="22"/>
          <w:szCs w:val="32"/>
        </w:rPr>
        <w:t xml:space="preserve">– </w:t>
      </w:r>
      <w:r w:rsidRPr="00A40DDE">
        <w:rPr>
          <w:sz w:val="22"/>
          <w:szCs w:val="32"/>
        </w:rPr>
        <w:t>25.</w:t>
      </w:r>
    </w:p>
    <w:p w:rsidR="009C459B" w:rsidRPr="00A40DDE" w:rsidRDefault="009C459B" w:rsidP="009C459B">
      <w:pPr>
        <w:spacing w:line="262" w:lineRule="auto"/>
        <w:ind w:left="274" w:right="0" w:hanging="289"/>
        <w:rPr>
          <w:sz w:val="28"/>
          <w:szCs w:val="32"/>
        </w:rPr>
      </w:pPr>
      <w:proofErr w:type="spellStart"/>
      <w:r w:rsidRPr="00A40DDE">
        <w:rPr>
          <w:sz w:val="22"/>
          <w:szCs w:val="32"/>
        </w:rPr>
        <w:t>Amel-Zadeh</w:t>
      </w:r>
      <w:proofErr w:type="spellEnd"/>
      <w:r w:rsidRPr="00A40DDE">
        <w:rPr>
          <w:sz w:val="22"/>
          <w:szCs w:val="32"/>
        </w:rPr>
        <w:t xml:space="preserve">, A., Barth, M. E., &amp; Landsman, W. R. (2017). The contribution of bank regulation and fair value accounting to </w:t>
      </w:r>
      <w:proofErr w:type="spellStart"/>
      <w:r w:rsidRPr="00A40DDE">
        <w:rPr>
          <w:sz w:val="22"/>
          <w:szCs w:val="32"/>
        </w:rPr>
        <w:t>procyclical</w:t>
      </w:r>
      <w:proofErr w:type="spellEnd"/>
      <w:r w:rsidRPr="00A40DDE">
        <w:rPr>
          <w:sz w:val="22"/>
          <w:szCs w:val="32"/>
        </w:rPr>
        <w:t xml:space="preserve"> </w:t>
      </w:r>
      <w:proofErr w:type="gramStart"/>
      <w:r w:rsidRPr="00A40DDE">
        <w:rPr>
          <w:sz w:val="22"/>
          <w:szCs w:val="32"/>
        </w:rPr>
        <w:t>leverage</w:t>
      </w:r>
      <w:proofErr w:type="gramEnd"/>
      <w:r w:rsidRPr="00A40DDE">
        <w:rPr>
          <w:sz w:val="22"/>
          <w:szCs w:val="32"/>
        </w:rPr>
        <w:t xml:space="preserve">. Forthcoming, </w:t>
      </w:r>
      <w:r w:rsidRPr="00A40DDE">
        <w:rPr>
          <w:rFonts w:ascii="Calibri" w:eastAsia="Calibri" w:hAnsi="Calibri" w:cs="Calibri"/>
          <w:sz w:val="22"/>
          <w:szCs w:val="32"/>
        </w:rPr>
        <w:t>Review of Accounting Studies</w:t>
      </w:r>
      <w:r w:rsidRPr="00A40DDE">
        <w:rPr>
          <w:sz w:val="22"/>
          <w:szCs w:val="32"/>
        </w:rPr>
        <w:t>.</w:t>
      </w:r>
    </w:p>
    <w:p w:rsidR="009C459B" w:rsidRPr="00A40DDE" w:rsidRDefault="009C459B" w:rsidP="009C459B">
      <w:pPr>
        <w:spacing w:line="262" w:lineRule="auto"/>
        <w:ind w:left="274" w:right="0" w:hanging="289"/>
        <w:rPr>
          <w:sz w:val="28"/>
          <w:szCs w:val="32"/>
        </w:rPr>
      </w:pPr>
      <w:proofErr w:type="spellStart"/>
      <w:r w:rsidRPr="00A40DDE">
        <w:rPr>
          <w:sz w:val="22"/>
          <w:szCs w:val="32"/>
        </w:rPr>
        <w:t>Bamber</w:t>
      </w:r>
      <w:proofErr w:type="spellEnd"/>
      <w:r w:rsidRPr="00A40DDE">
        <w:rPr>
          <w:sz w:val="22"/>
          <w:szCs w:val="32"/>
        </w:rPr>
        <w:t xml:space="preserve">, L., Jiang, J., </w:t>
      </w:r>
      <w:proofErr w:type="spellStart"/>
      <w:r w:rsidRPr="00A40DDE">
        <w:rPr>
          <w:sz w:val="22"/>
          <w:szCs w:val="32"/>
        </w:rPr>
        <w:t>Petroni</w:t>
      </w:r>
      <w:proofErr w:type="spellEnd"/>
      <w:r w:rsidRPr="00A40DDE">
        <w:rPr>
          <w:sz w:val="22"/>
          <w:szCs w:val="32"/>
        </w:rPr>
        <w:t xml:space="preserve">, K., &amp; Wang, I. (2010). Comprehensive income: </w:t>
      </w:r>
      <w:proofErr w:type="gramStart"/>
      <w:r w:rsidRPr="00A40DDE">
        <w:rPr>
          <w:sz w:val="22"/>
          <w:szCs w:val="32"/>
        </w:rPr>
        <w:t>Who</w:t>
      </w:r>
      <w:r w:rsidRPr="00A40DDE">
        <w:rPr>
          <w:rFonts w:ascii="Calibri" w:eastAsia="Calibri" w:hAnsi="Calibri" w:cs="Calibri"/>
          <w:sz w:val="22"/>
          <w:szCs w:val="32"/>
        </w:rPr>
        <w:t>’</w:t>
      </w:r>
      <w:r w:rsidRPr="00A40DDE">
        <w:rPr>
          <w:sz w:val="22"/>
          <w:szCs w:val="32"/>
        </w:rPr>
        <w:t>s</w:t>
      </w:r>
      <w:proofErr w:type="gramEnd"/>
      <w:r w:rsidRPr="00A40DDE">
        <w:rPr>
          <w:sz w:val="22"/>
          <w:szCs w:val="32"/>
        </w:rPr>
        <w:t xml:space="preserve"> afraid of performance reporting? </w:t>
      </w:r>
      <w:r w:rsidRPr="00A40DDE">
        <w:rPr>
          <w:rFonts w:ascii="Calibri" w:eastAsia="Calibri" w:hAnsi="Calibri" w:cs="Calibri"/>
          <w:sz w:val="22"/>
          <w:szCs w:val="32"/>
        </w:rPr>
        <w:t>The Accounting Review, 85</w:t>
      </w:r>
      <w:r w:rsidRPr="00A40DDE">
        <w:rPr>
          <w:sz w:val="22"/>
          <w:szCs w:val="32"/>
        </w:rPr>
        <w:t>, 97</w:t>
      </w:r>
      <w:r w:rsidRPr="00A40DDE">
        <w:rPr>
          <w:rFonts w:ascii="Calibri" w:eastAsia="Calibri" w:hAnsi="Calibri" w:cs="Calibri"/>
          <w:sz w:val="22"/>
          <w:szCs w:val="32"/>
        </w:rPr>
        <w:t>–</w:t>
      </w:r>
      <w:r w:rsidRPr="00A40DDE">
        <w:rPr>
          <w:sz w:val="22"/>
          <w:szCs w:val="32"/>
        </w:rPr>
        <w:t>126.</w:t>
      </w:r>
    </w:p>
    <w:p w:rsidR="009C459B" w:rsidRPr="00A40DDE" w:rsidRDefault="009C459B" w:rsidP="009C459B">
      <w:pPr>
        <w:spacing w:line="262" w:lineRule="auto"/>
        <w:ind w:left="274" w:right="0" w:hanging="289"/>
        <w:rPr>
          <w:sz w:val="28"/>
          <w:szCs w:val="32"/>
        </w:rPr>
      </w:pPr>
      <w:r w:rsidRPr="00A40DDE">
        <w:rPr>
          <w:sz w:val="22"/>
          <w:szCs w:val="32"/>
        </w:rPr>
        <w:t xml:space="preserve">Barth, M. E. (1994). Fair value accounting: Evidence from investment securities and the market valuation of banks. </w:t>
      </w:r>
      <w:r w:rsidRPr="00A40DDE">
        <w:rPr>
          <w:rFonts w:ascii="Calibri" w:eastAsia="Calibri" w:hAnsi="Calibri" w:cs="Calibri"/>
          <w:sz w:val="22"/>
          <w:szCs w:val="32"/>
        </w:rPr>
        <w:t>The Accounting Review, 69</w:t>
      </w:r>
      <w:r w:rsidRPr="00A40DDE">
        <w:rPr>
          <w:sz w:val="22"/>
          <w:szCs w:val="32"/>
        </w:rPr>
        <w:t>, 1</w:t>
      </w:r>
      <w:r w:rsidRPr="00A40DDE">
        <w:rPr>
          <w:rFonts w:ascii="Calibri" w:eastAsia="Calibri" w:hAnsi="Calibri" w:cs="Calibri"/>
          <w:sz w:val="22"/>
          <w:szCs w:val="32"/>
        </w:rPr>
        <w:t>–</w:t>
      </w:r>
      <w:r w:rsidRPr="00A40DDE">
        <w:rPr>
          <w:sz w:val="22"/>
          <w:szCs w:val="32"/>
        </w:rPr>
        <w:t>25.</w:t>
      </w:r>
    </w:p>
    <w:p w:rsidR="009C459B" w:rsidRPr="00A40DDE" w:rsidRDefault="009C459B" w:rsidP="009C459B">
      <w:pPr>
        <w:spacing w:line="262" w:lineRule="auto"/>
        <w:ind w:left="274" w:right="0" w:hanging="289"/>
        <w:rPr>
          <w:sz w:val="28"/>
          <w:szCs w:val="32"/>
        </w:rPr>
      </w:pPr>
      <w:r w:rsidRPr="00A40DDE">
        <w:rPr>
          <w:sz w:val="22"/>
          <w:szCs w:val="32"/>
        </w:rPr>
        <w:t xml:space="preserve">Barth, M. E., Beaver, W. H., &amp; Wolfson, M. A. (1990). Components of earnings and the structure of bank share prices. </w:t>
      </w:r>
      <w:r w:rsidRPr="00A40DDE">
        <w:rPr>
          <w:rFonts w:ascii="Calibri" w:eastAsia="Calibri" w:hAnsi="Calibri" w:cs="Calibri"/>
          <w:sz w:val="22"/>
          <w:szCs w:val="32"/>
        </w:rPr>
        <w:t>Financial Analysts Journal, 56</w:t>
      </w:r>
      <w:r w:rsidRPr="00A40DDE">
        <w:rPr>
          <w:sz w:val="22"/>
          <w:szCs w:val="32"/>
        </w:rPr>
        <w:t>, 53</w:t>
      </w:r>
      <w:r w:rsidRPr="00A40DDE">
        <w:rPr>
          <w:rFonts w:ascii="Calibri" w:eastAsia="Calibri" w:hAnsi="Calibri" w:cs="Calibri"/>
          <w:sz w:val="22"/>
          <w:szCs w:val="32"/>
        </w:rPr>
        <w:t>–</w:t>
      </w:r>
      <w:r w:rsidRPr="00A40DDE">
        <w:rPr>
          <w:sz w:val="22"/>
          <w:szCs w:val="32"/>
        </w:rPr>
        <w:t>60.</w:t>
      </w:r>
    </w:p>
    <w:p w:rsidR="009C459B" w:rsidRPr="00A40DDE" w:rsidRDefault="009C459B" w:rsidP="009C459B">
      <w:pPr>
        <w:spacing w:line="262" w:lineRule="auto"/>
        <w:ind w:left="274" w:right="0" w:hanging="289"/>
        <w:rPr>
          <w:sz w:val="28"/>
          <w:szCs w:val="32"/>
        </w:rPr>
      </w:pPr>
      <w:r w:rsidRPr="00A40DDE">
        <w:rPr>
          <w:sz w:val="22"/>
          <w:szCs w:val="32"/>
        </w:rPr>
        <w:t xml:space="preserve">Beatty, A., &amp; Harris, D. G. (1998). The effects of taxes, agency costs and information asymmetry on earnings management: A comparison of public and private firms. </w:t>
      </w:r>
      <w:r w:rsidRPr="00A40DDE">
        <w:rPr>
          <w:rFonts w:ascii="Calibri" w:eastAsia="Calibri" w:hAnsi="Calibri" w:cs="Calibri"/>
          <w:sz w:val="22"/>
          <w:szCs w:val="32"/>
        </w:rPr>
        <w:t>Review of Accounting Studies, 3</w:t>
      </w:r>
      <w:r w:rsidRPr="00A40DDE">
        <w:rPr>
          <w:sz w:val="22"/>
          <w:szCs w:val="32"/>
        </w:rPr>
        <w:t>, 299</w:t>
      </w:r>
      <w:r w:rsidRPr="00A40DDE">
        <w:rPr>
          <w:rFonts w:ascii="Calibri" w:eastAsia="Calibri" w:hAnsi="Calibri" w:cs="Calibri"/>
          <w:sz w:val="22"/>
          <w:szCs w:val="32"/>
        </w:rPr>
        <w:t>–</w:t>
      </w:r>
      <w:r w:rsidRPr="00A40DDE">
        <w:rPr>
          <w:sz w:val="22"/>
          <w:szCs w:val="32"/>
        </w:rPr>
        <w:t>326.</w:t>
      </w:r>
    </w:p>
    <w:p w:rsidR="009C459B" w:rsidRPr="00A40DDE" w:rsidRDefault="009C459B" w:rsidP="009C459B">
      <w:pPr>
        <w:spacing w:line="262" w:lineRule="auto"/>
        <w:ind w:left="274" w:right="0" w:hanging="289"/>
        <w:rPr>
          <w:sz w:val="28"/>
          <w:szCs w:val="32"/>
        </w:rPr>
      </w:pPr>
      <w:r w:rsidRPr="00A40DDE">
        <w:rPr>
          <w:sz w:val="22"/>
          <w:szCs w:val="32"/>
        </w:rPr>
        <w:t xml:space="preserve">Beatty, A., &amp; Liao, S. (2014). Financial accounting in the banking industry: A review of the empirical literature. </w:t>
      </w:r>
      <w:r w:rsidRPr="00A40DDE">
        <w:rPr>
          <w:rFonts w:ascii="Calibri" w:eastAsia="Calibri" w:hAnsi="Calibri" w:cs="Calibri"/>
          <w:sz w:val="22"/>
          <w:szCs w:val="32"/>
        </w:rPr>
        <w:t>Journal of Accounting and Economics, 58</w:t>
      </w:r>
      <w:r w:rsidRPr="00A40DDE">
        <w:rPr>
          <w:sz w:val="22"/>
          <w:szCs w:val="32"/>
        </w:rPr>
        <w:t>, 339</w:t>
      </w:r>
      <w:r w:rsidRPr="00A40DDE">
        <w:rPr>
          <w:rFonts w:ascii="Calibri" w:eastAsia="Calibri" w:hAnsi="Calibri" w:cs="Calibri"/>
          <w:sz w:val="22"/>
          <w:szCs w:val="32"/>
        </w:rPr>
        <w:t>–</w:t>
      </w:r>
      <w:r w:rsidRPr="00A40DDE">
        <w:rPr>
          <w:sz w:val="22"/>
          <w:szCs w:val="32"/>
        </w:rPr>
        <w:t>383.</w:t>
      </w:r>
    </w:p>
    <w:p w:rsidR="009C459B" w:rsidRPr="00A40DDE" w:rsidRDefault="009C459B" w:rsidP="009C459B">
      <w:pPr>
        <w:spacing w:line="262" w:lineRule="auto"/>
        <w:ind w:left="274" w:right="0" w:hanging="289"/>
        <w:rPr>
          <w:sz w:val="28"/>
          <w:szCs w:val="32"/>
        </w:rPr>
      </w:pPr>
      <w:r w:rsidRPr="00A40DDE">
        <w:rPr>
          <w:sz w:val="22"/>
          <w:szCs w:val="32"/>
        </w:rPr>
        <w:lastRenderedPageBreak/>
        <w:t xml:space="preserve">Beatty, A., Chamberlain, S., &amp; </w:t>
      </w:r>
      <w:proofErr w:type="spellStart"/>
      <w:r w:rsidRPr="00A40DDE">
        <w:rPr>
          <w:sz w:val="22"/>
          <w:szCs w:val="32"/>
        </w:rPr>
        <w:t>Magliolo</w:t>
      </w:r>
      <w:proofErr w:type="spellEnd"/>
      <w:r w:rsidRPr="00A40DDE">
        <w:rPr>
          <w:sz w:val="22"/>
          <w:szCs w:val="32"/>
        </w:rPr>
        <w:t xml:space="preserve">, J. (1995). Managing financial reports of commercial banks: The influence of taxes, regulatory capital and earnings. </w:t>
      </w:r>
      <w:r w:rsidRPr="00A40DDE">
        <w:rPr>
          <w:rFonts w:ascii="Calibri" w:eastAsia="Calibri" w:hAnsi="Calibri" w:cs="Calibri"/>
          <w:sz w:val="22"/>
          <w:szCs w:val="32"/>
        </w:rPr>
        <w:t>Journal of Accounting Research, 33</w:t>
      </w:r>
      <w:r w:rsidRPr="00A40DDE">
        <w:rPr>
          <w:sz w:val="22"/>
          <w:szCs w:val="32"/>
        </w:rPr>
        <w:t>, 231</w:t>
      </w:r>
      <w:r w:rsidRPr="00A40DDE">
        <w:rPr>
          <w:rFonts w:ascii="Calibri" w:eastAsia="Calibri" w:hAnsi="Calibri" w:cs="Calibri"/>
          <w:sz w:val="22"/>
          <w:szCs w:val="32"/>
        </w:rPr>
        <w:t>–</w:t>
      </w:r>
      <w:r w:rsidRPr="00A40DDE">
        <w:rPr>
          <w:sz w:val="22"/>
          <w:szCs w:val="32"/>
        </w:rPr>
        <w:t>261.</w:t>
      </w:r>
    </w:p>
    <w:p w:rsidR="009C459B" w:rsidRPr="00A40DDE" w:rsidRDefault="009C459B" w:rsidP="009C459B">
      <w:pPr>
        <w:spacing w:line="262" w:lineRule="auto"/>
        <w:ind w:left="274" w:right="0" w:hanging="289"/>
        <w:rPr>
          <w:sz w:val="28"/>
          <w:szCs w:val="32"/>
        </w:rPr>
      </w:pPr>
      <w:r w:rsidRPr="00A40DDE">
        <w:rPr>
          <w:sz w:val="22"/>
          <w:szCs w:val="32"/>
        </w:rPr>
        <w:t xml:space="preserve">Beatty, A., </w:t>
      </w:r>
      <w:proofErr w:type="spellStart"/>
      <w:r w:rsidRPr="00A40DDE">
        <w:rPr>
          <w:sz w:val="22"/>
          <w:szCs w:val="32"/>
        </w:rPr>
        <w:t>Ke</w:t>
      </w:r>
      <w:proofErr w:type="spellEnd"/>
      <w:r w:rsidRPr="00A40DDE">
        <w:rPr>
          <w:sz w:val="22"/>
          <w:szCs w:val="32"/>
        </w:rPr>
        <w:t xml:space="preserve">, B., &amp; </w:t>
      </w:r>
      <w:proofErr w:type="spellStart"/>
      <w:r w:rsidRPr="00A40DDE">
        <w:rPr>
          <w:sz w:val="22"/>
          <w:szCs w:val="32"/>
        </w:rPr>
        <w:t>Petroni</w:t>
      </w:r>
      <w:proofErr w:type="spellEnd"/>
      <w:r w:rsidRPr="00A40DDE">
        <w:rPr>
          <w:sz w:val="22"/>
          <w:szCs w:val="32"/>
        </w:rPr>
        <w:t xml:space="preserve">, K. (2002). Differential earnings management to avoid earnings declines and losses across publicly and privately held banks. </w:t>
      </w:r>
      <w:r w:rsidRPr="00A40DDE">
        <w:rPr>
          <w:rFonts w:ascii="Calibri" w:eastAsia="Calibri" w:hAnsi="Calibri" w:cs="Calibri"/>
          <w:sz w:val="22"/>
          <w:szCs w:val="32"/>
        </w:rPr>
        <w:t>The Accounting Review, 77</w:t>
      </w:r>
      <w:r w:rsidRPr="00A40DDE">
        <w:rPr>
          <w:sz w:val="22"/>
          <w:szCs w:val="32"/>
        </w:rPr>
        <w:t>, 547</w:t>
      </w:r>
      <w:r w:rsidRPr="00A40DDE">
        <w:rPr>
          <w:rFonts w:ascii="Calibri" w:eastAsia="Calibri" w:hAnsi="Calibri" w:cs="Calibri"/>
          <w:sz w:val="22"/>
          <w:szCs w:val="32"/>
        </w:rPr>
        <w:t>–</w:t>
      </w:r>
      <w:r w:rsidRPr="00A40DDE">
        <w:rPr>
          <w:sz w:val="22"/>
          <w:szCs w:val="32"/>
        </w:rPr>
        <w:t>570.</w:t>
      </w:r>
    </w:p>
    <w:p w:rsidR="009C459B" w:rsidRPr="00A40DDE" w:rsidRDefault="009C459B" w:rsidP="009C459B">
      <w:pPr>
        <w:spacing w:line="262" w:lineRule="auto"/>
        <w:ind w:left="274" w:right="0" w:hanging="289"/>
        <w:rPr>
          <w:sz w:val="28"/>
          <w:szCs w:val="32"/>
        </w:rPr>
      </w:pPr>
      <w:r w:rsidRPr="00A40DDE">
        <w:rPr>
          <w:sz w:val="22"/>
          <w:szCs w:val="32"/>
        </w:rPr>
        <w:t xml:space="preserve">Biddle, G., &amp; Choi, J. (2006). Is comprehensive income useful? </w:t>
      </w:r>
      <w:r w:rsidRPr="00A40DDE">
        <w:rPr>
          <w:rFonts w:ascii="Calibri" w:eastAsia="Calibri" w:hAnsi="Calibri" w:cs="Calibri"/>
          <w:sz w:val="22"/>
          <w:szCs w:val="32"/>
        </w:rPr>
        <w:t>Journal of Contemporary Accounting and Economics, 2</w:t>
      </w:r>
      <w:r w:rsidRPr="00A40DDE">
        <w:rPr>
          <w:sz w:val="22"/>
          <w:szCs w:val="32"/>
        </w:rPr>
        <w:t>, 1</w:t>
      </w:r>
      <w:r w:rsidRPr="00A40DDE">
        <w:rPr>
          <w:rFonts w:ascii="Calibri" w:eastAsia="Calibri" w:hAnsi="Calibri" w:cs="Calibri"/>
          <w:sz w:val="22"/>
          <w:szCs w:val="32"/>
        </w:rPr>
        <w:t>–</w:t>
      </w:r>
      <w:r w:rsidRPr="00A40DDE">
        <w:rPr>
          <w:sz w:val="22"/>
          <w:szCs w:val="32"/>
        </w:rPr>
        <w:t>32.</w:t>
      </w:r>
    </w:p>
    <w:p w:rsidR="009C459B" w:rsidRPr="00A40DDE" w:rsidRDefault="009C459B" w:rsidP="009C459B">
      <w:pPr>
        <w:spacing w:line="262" w:lineRule="auto"/>
        <w:ind w:left="274" w:right="0" w:hanging="289"/>
        <w:rPr>
          <w:sz w:val="28"/>
          <w:szCs w:val="32"/>
        </w:rPr>
      </w:pPr>
      <w:proofErr w:type="spellStart"/>
      <w:r w:rsidRPr="00A40DDE">
        <w:rPr>
          <w:sz w:val="22"/>
          <w:szCs w:val="32"/>
        </w:rPr>
        <w:t>Burgstahler</w:t>
      </w:r>
      <w:proofErr w:type="spellEnd"/>
      <w:r w:rsidRPr="00A40DDE">
        <w:rPr>
          <w:sz w:val="22"/>
          <w:szCs w:val="32"/>
        </w:rPr>
        <w:t xml:space="preserve">, D., &amp; </w:t>
      </w:r>
      <w:proofErr w:type="spellStart"/>
      <w:r w:rsidRPr="00A40DDE">
        <w:rPr>
          <w:sz w:val="22"/>
          <w:szCs w:val="32"/>
        </w:rPr>
        <w:t>Dichev</w:t>
      </w:r>
      <w:proofErr w:type="spellEnd"/>
      <w:r w:rsidRPr="00A40DDE">
        <w:rPr>
          <w:sz w:val="22"/>
          <w:szCs w:val="32"/>
        </w:rPr>
        <w:t xml:space="preserve">, I. (1997). Earnings management to avoid earnings decreases and losses. </w:t>
      </w:r>
      <w:r w:rsidRPr="00A40DDE">
        <w:rPr>
          <w:rFonts w:ascii="Calibri" w:eastAsia="Calibri" w:hAnsi="Calibri" w:cs="Calibri"/>
          <w:sz w:val="22"/>
          <w:szCs w:val="32"/>
        </w:rPr>
        <w:t>Journal of Accounting and Economics, 24</w:t>
      </w:r>
      <w:r w:rsidRPr="00A40DDE">
        <w:rPr>
          <w:sz w:val="22"/>
          <w:szCs w:val="32"/>
        </w:rPr>
        <w:t>, 99</w:t>
      </w:r>
      <w:r w:rsidRPr="00A40DDE">
        <w:rPr>
          <w:rFonts w:ascii="Calibri" w:eastAsia="Calibri" w:hAnsi="Calibri" w:cs="Calibri"/>
          <w:sz w:val="22"/>
          <w:szCs w:val="32"/>
        </w:rPr>
        <w:t>–</w:t>
      </w:r>
      <w:r w:rsidRPr="00A40DDE">
        <w:rPr>
          <w:sz w:val="22"/>
          <w:szCs w:val="32"/>
        </w:rPr>
        <w:t>126.</w:t>
      </w:r>
    </w:p>
    <w:p w:rsidR="009C459B" w:rsidRPr="00A40DDE" w:rsidRDefault="009C459B" w:rsidP="009C459B">
      <w:pPr>
        <w:spacing w:line="262" w:lineRule="auto"/>
        <w:ind w:left="274" w:right="0" w:hanging="289"/>
        <w:rPr>
          <w:sz w:val="28"/>
          <w:szCs w:val="32"/>
        </w:rPr>
      </w:pPr>
      <w:proofErr w:type="spellStart"/>
      <w:r w:rsidRPr="00A40DDE">
        <w:rPr>
          <w:sz w:val="22"/>
          <w:szCs w:val="32"/>
        </w:rPr>
        <w:t>Burgstahler</w:t>
      </w:r>
      <w:proofErr w:type="spellEnd"/>
      <w:r w:rsidRPr="00A40DDE">
        <w:rPr>
          <w:sz w:val="22"/>
          <w:szCs w:val="32"/>
        </w:rPr>
        <w:t xml:space="preserve">, D., Hail, L., &amp; </w:t>
      </w:r>
      <w:proofErr w:type="spellStart"/>
      <w:r w:rsidRPr="00A40DDE">
        <w:rPr>
          <w:sz w:val="22"/>
          <w:szCs w:val="32"/>
        </w:rPr>
        <w:t>Leuz</w:t>
      </w:r>
      <w:proofErr w:type="spellEnd"/>
      <w:r w:rsidRPr="00A40DDE">
        <w:rPr>
          <w:sz w:val="22"/>
          <w:szCs w:val="32"/>
        </w:rPr>
        <w:t xml:space="preserve">, C. (2006). The importance of reporting incentives: Earnings management in European private and public firms. </w:t>
      </w:r>
      <w:r w:rsidRPr="00A40DDE">
        <w:rPr>
          <w:rFonts w:ascii="Calibri" w:eastAsia="Calibri" w:hAnsi="Calibri" w:cs="Calibri"/>
          <w:sz w:val="22"/>
          <w:szCs w:val="32"/>
        </w:rPr>
        <w:t>The Accounting Review, 81</w:t>
      </w:r>
      <w:r w:rsidRPr="00A40DDE">
        <w:rPr>
          <w:sz w:val="22"/>
          <w:szCs w:val="32"/>
        </w:rPr>
        <w:t>, 983</w:t>
      </w:r>
      <w:r w:rsidRPr="00A40DDE">
        <w:rPr>
          <w:rFonts w:ascii="Calibri" w:eastAsia="Calibri" w:hAnsi="Calibri" w:cs="Calibri"/>
          <w:sz w:val="22"/>
          <w:szCs w:val="32"/>
        </w:rPr>
        <w:t>–</w:t>
      </w:r>
      <w:r w:rsidRPr="00A40DDE">
        <w:rPr>
          <w:sz w:val="22"/>
          <w:szCs w:val="32"/>
        </w:rPr>
        <w:t>1016.</w:t>
      </w:r>
    </w:p>
    <w:p w:rsidR="009C459B" w:rsidRPr="00A40DDE" w:rsidRDefault="009C459B" w:rsidP="009C459B">
      <w:pPr>
        <w:spacing w:line="262" w:lineRule="auto"/>
        <w:ind w:left="274" w:right="0" w:hanging="289"/>
        <w:rPr>
          <w:sz w:val="28"/>
          <w:szCs w:val="32"/>
        </w:rPr>
      </w:pPr>
      <w:r w:rsidRPr="00A40DDE">
        <w:rPr>
          <w:sz w:val="22"/>
          <w:szCs w:val="32"/>
        </w:rPr>
        <w:t xml:space="preserve">Collins, J., Shackelford, D., &amp; </w:t>
      </w:r>
      <w:proofErr w:type="spellStart"/>
      <w:r w:rsidRPr="00A40DDE">
        <w:rPr>
          <w:sz w:val="22"/>
          <w:szCs w:val="32"/>
        </w:rPr>
        <w:t>Wahlen</w:t>
      </w:r>
      <w:proofErr w:type="spellEnd"/>
      <w:r w:rsidRPr="00A40DDE">
        <w:rPr>
          <w:sz w:val="22"/>
          <w:szCs w:val="32"/>
        </w:rPr>
        <w:t xml:space="preserve">, J. (1995). Bank differences in the coordination of regulatory capital, earnings and taxes. </w:t>
      </w:r>
      <w:r w:rsidRPr="00A40DDE">
        <w:rPr>
          <w:rFonts w:ascii="Calibri" w:eastAsia="Calibri" w:hAnsi="Calibri" w:cs="Calibri"/>
          <w:sz w:val="22"/>
          <w:szCs w:val="32"/>
        </w:rPr>
        <w:t>Journal of Accounting Research, 33</w:t>
      </w:r>
      <w:r w:rsidRPr="00A40DDE">
        <w:rPr>
          <w:sz w:val="22"/>
          <w:szCs w:val="32"/>
        </w:rPr>
        <w:t>, 263</w:t>
      </w:r>
      <w:r w:rsidRPr="00A40DDE">
        <w:rPr>
          <w:rFonts w:ascii="Calibri" w:eastAsia="Calibri" w:hAnsi="Calibri" w:cs="Calibri"/>
          <w:sz w:val="22"/>
          <w:szCs w:val="32"/>
        </w:rPr>
        <w:t>–</w:t>
      </w:r>
      <w:r w:rsidRPr="00A40DDE">
        <w:rPr>
          <w:sz w:val="22"/>
          <w:szCs w:val="32"/>
        </w:rPr>
        <w:t>291.</w:t>
      </w:r>
    </w:p>
    <w:p w:rsidR="009C459B" w:rsidRPr="00A40DDE" w:rsidRDefault="009C459B" w:rsidP="009C459B">
      <w:pPr>
        <w:spacing w:line="262" w:lineRule="auto"/>
        <w:ind w:left="274" w:right="0" w:hanging="289"/>
        <w:rPr>
          <w:sz w:val="28"/>
          <w:szCs w:val="32"/>
        </w:rPr>
      </w:pPr>
      <w:r w:rsidRPr="00A40DDE">
        <w:rPr>
          <w:sz w:val="22"/>
          <w:szCs w:val="32"/>
        </w:rPr>
        <w:t xml:space="preserve">Coppens, L., &amp; Peek, E. (2005). An analysis of earnings management by </w:t>
      </w:r>
      <w:proofErr w:type="spellStart"/>
      <w:proofErr w:type="gramStart"/>
      <w:r w:rsidRPr="00A40DDE">
        <w:rPr>
          <w:sz w:val="22"/>
          <w:szCs w:val="32"/>
        </w:rPr>
        <w:t>european</w:t>
      </w:r>
      <w:proofErr w:type="spellEnd"/>
      <w:proofErr w:type="gramEnd"/>
      <w:r w:rsidRPr="00A40DDE">
        <w:rPr>
          <w:sz w:val="22"/>
          <w:szCs w:val="32"/>
        </w:rPr>
        <w:t xml:space="preserve"> private firms. </w:t>
      </w:r>
      <w:r w:rsidRPr="00A40DDE">
        <w:rPr>
          <w:rFonts w:ascii="Calibri" w:eastAsia="Calibri" w:hAnsi="Calibri" w:cs="Calibri"/>
          <w:sz w:val="22"/>
          <w:szCs w:val="32"/>
        </w:rPr>
        <w:t>Journal of International Accounting, Auditing and Taxation, 14</w:t>
      </w:r>
      <w:r w:rsidRPr="00A40DDE">
        <w:rPr>
          <w:sz w:val="22"/>
          <w:szCs w:val="32"/>
        </w:rPr>
        <w:t>, 1</w:t>
      </w:r>
      <w:r w:rsidRPr="00A40DDE">
        <w:rPr>
          <w:rFonts w:ascii="Calibri" w:eastAsia="Calibri" w:hAnsi="Calibri" w:cs="Calibri"/>
          <w:sz w:val="22"/>
          <w:szCs w:val="32"/>
        </w:rPr>
        <w:t>–</w:t>
      </w:r>
      <w:r w:rsidRPr="00A40DDE">
        <w:rPr>
          <w:sz w:val="22"/>
          <w:szCs w:val="32"/>
        </w:rPr>
        <w:t>17.</w:t>
      </w:r>
    </w:p>
    <w:p w:rsidR="009C459B" w:rsidRPr="00A40DDE" w:rsidRDefault="009C459B" w:rsidP="009C459B">
      <w:pPr>
        <w:spacing w:line="262" w:lineRule="auto"/>
        <w:ind w:left="274" w:right="0" w:hanging="289"/>
        <w:rPr>
          <w:sz w:val="28"/>
          <w:szCs w:val="32"/>
        </w:rPr>
      </w:pPr>
      <w:proofErr w:type="spellStart"/>
      <w:r w:rsidRPr="00A40DDE">
        <w:rPr>
          <w:sz w:val="22"/>
          <w:szCs w:val="32"/>
        </w:rPr>
        <w:t>Dechow</w:t>
      </w:r>
      <w:proofErr w:type="spellEnd"/>
      <w:r w:rsidRPr="00A40DDE">
        <w:rPr>
          <w:sz w:val="22"/>
          <w:szCs w:val="32"/>
        </w:rPr>
        <w:t xml:space="preserve">, P. M., &amp; Shakespeare, C. (2009). Do managers time securitization transactions to obtain accounting benefits? </w:t>
      </w:r>
      <w:r w:rsidRPr="00A40DDE">
        <w:rPr>
          <w:rFonts w:ascii="Calibri" w:eastAsia="Calibri" w:hAnsi="Calibri" w:cs="Calibri"/>
          <w:sz w:val="22"/>
          <w:szCs w:val="32"/>
        </w:rPr>
        <w:t>The Accounting Review, 84</w:t>
      </w:r>
      <w:r w:rsidRPr="00A40DDE">
        <w:rPr>
          <w:sz w:val="22"/>
          <w:szCs w:val="32"/>
        </w:rPr>
        <w:t>, 99</w:t>
      </w:r>
      <w:r w:rsidRPr="00A40DDE">
        <w:rPr>
          <w:rFonts w:ascii="Calibri" w:eastAsia="Calibri" w:hAnsi="Calibri" w:cs="Calibri"/>
          <w:sz w:val="22"/>
          <w:szCs w:val="32"/>
        </w:rPr>
        <w:t>–</w:t>
      </w:r>
      <w:r w:rsidRPr="00A40DDE">
        <w:rPr>
          <w:sz w:val="22"/>
          <w:szCs w:val="32"/>
        </w:rPr>
        <w:t>132.</w:t>
      </w:r>
    </w:p>
    <w:p w:rsidR="009C459B" w:rsidRPr="00A40DDE" w:rsidRDefault="009C459B" w:rsidP="009C459B">
      <w:pPr>
        <w:spacing w:line="262" w:lineRule="auto"/>
        <w:ind w:left="274" w:right="0" w:hanging="289"/>
        <w:rPr>
          <w:sz w:val="28"/>
          <w:szCs w:val="32"/>
        </w:rPr>
      </w:pPr>
      <w:proofErr w:type="spellStart"/>
      <w:r w:rsidRPr="00A40DDE">
        <w:rPr>
          <w:sz w:val="22"/>
          <w:szCs w:val="32"/>
        </w:rPr>
        <w:t>Dechow</w:t>
      </w:r>
      <w:proofErr w:type="spellEnd"/>
      <w:r w:rsidRPr="00A40DDE">
        <w:rPr>
          <w:sz w:val="22"/>
          <w:szCs w:val="32"/>
        </w:rPr>
        <w:t xml:space="preserve">, P., Ge, W., &amp; </w:t>
      </w:r>
      <w:proofErr w:type="spellStart"/>
      <w:r w:rsidRPr="00A40DDE">
        <w:rPr>
          <w:sz w:val="22"/>
          <w:szCs w:val="32"/>
        </w:rPr>
        <w:t>Schrand</w:t>
      </w:r>
      <w:proofErr w:type="spellEnd"/>
      <w:r w:rsidRPr="00A40DDE">
        <w:rPr>
          <w:sz w:val="22"/>
          <w:szCs w:val="32"/>
        </w:rPr>
        <w:t xml:space="preserve">, C. (2010a). Understanding earnings quality: A review of the proxies, their determinants and their consequences. </w:t>
      </w:r>
      <w:r w:rsidRPr="00A40DDE">
        <w:rPr>
          <w:rFonts w:ascii="Calibri" w:eastAsia="Calibri" w:hAnsi="Calibri" w:cs="Calibri"/>
          <w:sz w:val="22"/>
          <w:szCs w:val="32"/>
        </w:rPr>
        <w:t>Journal of Accounting and Economics, 50</w:t>
      </w:r>
      <w:r w:rsidRPr="00A40DDE">
        <w:rPr>
          <w:sz w:val="22"/>
          <w:szCs w:val="32"/>
        </w:rPr>
        <w:t>, 344</w:t>
      </w:r>
      <w:r w:rsidRPr="00A40DDE">
        <w:rPr>
          <w:rFonts w:ascii="Calibri" w:eastAsia="Calibri" w:hAnsi="Calibri" w:cs="Calibri"/>
          <w:sz w:val="22"/>
          <w:szCs w:val="32"/>
        </w:rPr>
        <w:t>–</w:t>
      </w:r>
      <w:r w:rsidRPr="00A40DDE">
        <w:rPr>
          <w:sz w:val="22"/>
          <w:szCs w:val="32"/>
        </w:rPr>
        <w:t>401.</w:t>
      </w:r>
    </w:p>
    <w:p w:rsidR="009C459B" w:rsidRPr="00A40DDE" w:rsidRDefault="009C459B" w:rsidP="009C459B">
      <w:pPr>
        <w:spacing w:line="262" w:lineRule="auto"/>
        <w:ind w:left="274" w:right="0" w:hanging="289"/>
        <w:rPr>
          <w:sz w:val="28"/>
          <w:szCs w:val="32"/>
        </w:rPr>
      </w:pPr>
      <w:proofErr w:type="spellStart"/>
      <w:r w:rsidRPr="00A40DDE">
        <w:rPr>
          <w:sz w:val="22"/>
          <w:szCs w:val="32"/>
        </w:rPr>
        <w:t>Dechow</w:t>
      </w:r>
      <w:proofErr w:type="spellEnd"/>
      <w:r w:rsidRPr="00A40DDE">
        <w:rPr>
          <w:sz w:val="22"/>
          <w:szCs w:val="32"/>
        </w:rPr>
        <w:t xml:space="preserve">, P., Myers, L., &amp; Shakespeare, C. (2010b). Fair value accounting and gains from asset securitizations: A convenient earnings management tool with compensation side-benefits. </w:t>
      </w:r>
      <w:r w:rsidRPr="00A40DDE">
        <w:rPr>
          <w:rFonts w:ascii="Calibri" w:eastAsia="Calibri" w:hAnsi="Calibri" w:cs="Calibri"/>
          <w:sz w:val="22"/>
          <w:szCs w:val="32"/>
        </w:rPr>
        <w:t>Journal of Accounting and Economics, 49</w:t>
      </w:r>
      <w:r w:rsidRPr="00A40DDE">
        <w:rPr>
          <w:sz w:val="22"/>
          <w:szCs w:val="32"/>
        </w:rPr>
        <w:t>, 2</w:t>
      </w:r>
      <w:r w:rsidRPr="00A40DDE">
        <w:rPr>
          <w:rFonts w:ascii="Calibri" w:eastAsia="Calibri" w:hAnsi="Calibri" w:cs="Calibri"/>
          <w:sz w:val="22"/>
          <w:szCs w:val="32"/>
        </w:rPr>
        <w:t>–</w:t>
      </w:r>
      <w:r w:rsidRPr="00A40DDE">
        <w:rPr>
          <w:sz w:val="22"/>
          <w:szCs w:val="32"/>
        </w:rPr>
        <w:t>25.</w:t>
      </w:r>
    </w:p>
    <w:p w:rsidR="009C459B" w:rsidRPr="00A40DDE" w:rsidRDefault="009C459B" w:rsidP="009C459B">
      <w:pPr>
        <w:spacing w:line="262" w:lineRule="auto"/>
        <w:ind w:left="274" w:right="0" w:hanging="289"/>
        <w:rPr>
          <w:sz w:val="28"/>
          <w:szCs w:val="32"/>
        </w:rPr>
      </w:pPr>
      <w:proofErr w:type="spellStart"/>
      <w:r w:rsidRPr="00A40DDE">
        <w:rPr>
          <w:sz w:val="22"/>
          <w:szCs w:val="32"/>
        </w:rPr>
        <w:t>Degeorge</w:t>
      </w:r>
      <w:proofErr w:type="spellEnd"/>
      <w:r w:rsidRPr="00A40DDE">
        <w:rPr>
          <w:sz w:val="22"/>
          <w:szCs w:val="32"/>
        </w:rPr>
        <w:t xml:space="preserve">, F., Patel, J., &amp; </w:t>
      </w:r>
      <w:proofErr w:type="spellStart"/>
      <w:r w:rsidRPr="00A40DDE">
        <w:rPr>
          <w:sz w:val="22"/>
          <w:szCs w:val="32"/>
        </w:rPr>
        <w:t>Zeckhauser</w:t>
      </w:r>
      <w:proofErr w:type="spellEnd"/>
      <w:r w:rsidRPr="00A40DDE">
        <w:rPr>
          <w:sz w:val="22"/>
          <w:szCs w:val="32"/>
        </w:rPr>
        <w:t xml:space="preserve">, R. (1999). Earnings management to exceed thresholds. </w:t>
      </w:r>
      <w:r w:rsidRPr="00A40DDE">
        <w:rPr>
          <w:rFonts w:ascii="Calibri" w:eastAsia="Calibri" w:hAnsi="Calibri" w:cs="Calibri"/>
          <w:sz w:val="22"/>
          <w:szCs w:val="32"/>
        </w:rPr>
        <w:t>The Journal of Business, 72</w:t>
      </w:r>
      <w:r w:rsidRPr="00A40DDE">
        <w:rPr>
          <w:sz w:val="22"/>
          <w:szCs w:val="32"/>
        </w:rPr>
        <w:t>, 1</w:t>
      </w:r>
      <w:r w:rsidRPr="00A40DDE">
        <w:rPr>
          <w:rFonts w:ascii="Calibri" w:eastAsia="Calibri" w:hAnsi="Calibri" w:cs="Calibri"/>
          <w:sz w:val="22"/>
          <w:szCs w:val="32"/>
        </w:rPr>
        <w:t>–</w:t>
      </w:r>
      <w:r w:rsidRPr="00A40DDE">
        <w:rPr>
          <w:sz w:val="22"/>
          <w:szCs w:val="32"/>
        </w:rPr>
        <w:t>33.</w:t>
      </w:r>
    </w:p>
    <w:p w:rsidR="009C459B" w:rsidRPr="00A40DDE" w:rsidRDefault="009C459B" w:rsidP="009C459B">
      <w:pPr>
        <w:spacing w:line="262" w:lineRule="auto"/>
        <w:ind w:left="274" w:right="0" w:hanging="289"/>
        <w:rPr>
          <w:sz w:val="28"/>
          <w:szCs w:val="32"/>
        </w:rPr>
      </w:pPr>
      <w:r w:rsidRPr="00A40DDE">
        <w:rPr>
          <w:sz w:val="22"/>
          <w:szCs w:val="32"/>
        </w:rPr>
        <w:t xml:space="preserve">Dhaliwal, D., </w:t>
      </w:r>
      <w:proofErr w:type="spellStart"/>
      <w:r w:rsidRPr="00A40DDE">
        <w:rPr>
          <w:sz w:val="22"/>
          <w:szCs w:val="32"/>
        </w:rPr>
        <w:t>Subramanyam</w:t>
      </w:r>
      <w:proofErr w:type="spellEnd"/>
      <w:r w:rsidRPr="00A40DDE">
        <w:rPr>
          <w:sz w:val="22"/>
          <w:szCs w:val="32"/>
        </w:rPr>
        <w:t xml:space="preserve">, K. R., &amp; </w:t>
      </w:r>
      <w:proofErr w:type="spellStart"/>
      <w:r w:rsidRPr="00A40DDE">
        <w:rPr>
          <w:sz w:val="22"/>
          <w:szCs w:val="32"/>
        </w:rPr>
        <w:t>Trezevant</w:t>
      </w:r>
      <w:proofErr w:type="spellEnd"/>
      <w:r w:rsidRPr="00A40DDE">
        <w:rPr>
          <w:sz w:val="22"/>
          <w:szCs w:val="32"/>
        </w:rPr>
        <w:t xml:space="preserve">, R. (1999). Is comprehensive income superior to net income as a measure of firm performance? </w:t>
      </w:r>
      <w:r w:rsidRPr="00A40DDE">
        <w:rPr>
          <w:rFonts w:ascii="Calibri" w:eastAsia="Calibri" w:hAnsi="Calibri" w:cs="Calibri"/>
          <w:sz w:val="22"/>
          <w:szCs w:val="32"/>
        </w:rPr>
        <w:t>Journal of Accounting and Economics, 26</w:t>
      </w:r>
      <w:r w:rsidRPr="00A40DDE">
        <w:rPr>
          <w:sz w:val="22"/>
          <w:szCs w:val="32"/>
        </w:rPr>
        <w:t>, 43</w:t>
      </w:r>
      <w:r w:rsidRPr="00A40DDE">
        <w:rPr>
          <w:rFonts w:ascii="Calibri" w:eastAsia="Calibri" w:hAnsi="Calibri" w:cs="Calibri"/>
          <w:sz w:val="22"/>
          <w:szCs w:val="32"/>
        </w:rPr>
        <w:t>–</w:t>
      </w:r>
      <w:r w:rsidRPr="00A40DDE">
        <w:rPr>
          <w:sz w:val="22"/>
          <w:szCs w:val="32"/>
        </w:rPr>
        <w:t>67.</w:t>
      </w:r>
    </w:p>
    <w:p w:rsidR="009C459B" w:rsidRPr="00A40DDE" w:rsidRDefault="009C459B" w:rsidP="009C459B">
      <w:pPr>
        <w:spacing w:line="262" w:lineRule="auto"/>
        <w:ind w:left="274" w:right="0" w:hanging="289"/>
        <w:rPr>
          <w:sz w:val="28"/>
          <w:szCs w:val="32"/>
        </w:rPr>
      </w:pPr>
      <w:r w:rsidRPr="00A40DDE">
        <w:rPr>
          <w:sz w:val="22"/>
          <w:szCs w:val="32"/>
        </w:rPr>
        <w:t>Dong, M., &amp; Zhang, X. (2015). Selective trading of available-for-sale securities: Evidence from U.S. Commercial banks. Working paper University of Lausanne and University of California, Berkeley.</w:t>
      </w:r>
    </w:p>
    <w:p w:rsidR="009C459B" w:rsidRPr="00A40DDE" w:rsidRDefault="009C459B" w:rsidP="009C459B">
      <w:pPr>
        <w:spacing w:line="262" w:lineRule="auto"/>
        <w:ind w:left="274" w:right="0" w:hanging="289"/>
        <w:rPr>
          <w:sz w:val="28"/>
          <w:szCs w:val="32"/>
        </w:rPr>
      </w:pPr>
      <w:r w:rsidRPr="00A40DDE">
        <w:rPr>
          <w:sz w:val="22"/>
          <w:szCs w:val="32"/>
        </w:rPr>
        <w:t xml:space="preserve">Dong, M., Ryan, S., &amp; Zhang, X. (2014). Preserving amortized cost within a fair-value-accounting framework: Reclassification of gains and losses on available-for-sale securities upon realization. </w:t>
      </w:r>
      <w:r w:rsidRPr="00A40DDE">
        <w:rPr>
          <w:rFonts w:ascii="Calibri" w:eastAsia="Calibri" w:hAnsi="Calibri" w:cs="Calibri"/>
          <w:sz w:val="22"/>
          <w:szCs w:val="32"/>
        </w:rPr>
        <w:t>Review of Accounting Studies, 19</w:t>
      </w:r>
      <w:r w:rsidRPr="00A40DDE">
        <w:rPr>
          <w:sz w:val="22"/>
          <w:szCs w:val="32"/>
        </w:rPr>
        <w:t>, 242</w:t>
      </w:r>
      <w:r w:rsidRPr="00A40DDE">
        <w:rPr>
          <w:rFonts w:ascii="Calibri" w:eastAsia="Calibri" w:hAnsi="Calibri" w:cs="Calibri"/>
          <w:sz w:val="22"/>
          <w:szCs w:val="32"/>
        </w:rPr>
        <w:t>–</w:t>
      </w:r>
      <w:r w:rsidRPr="00A40DDE">
        <w:rPr>
          <w:sz w:val="22"/>
          <w:szCs w:val="32"/>
        </w:rPr>
        <w:t>280.</w:t>
      </w:r>
    </w:p>
    <w:p w:rsidR="009C459B" w:rsidRPr="00A40DDE" w:rsidRDefault="009C459B" w:rsidP="009C459B">
      <w:pPr>
        <w:spacing w:after="13" w:line="248" w:lineRule="auto"/>
        <w:ind w:left="288" w:right="0" w:hanging="279"/>
        <w:rPr>
          <w:sz w:val="28"/>
          <w:szCs w:val="32"/>
        </w:rPr>
      </w:pPr>
      <w:r w:rsidRPr="00A40DDE">
        <w:rPr>
          <w:sz w:val="22"/>
          <w:szCs w:val="32"/>
        </w:rPr>
        <w:t xml:space="preserve">Financial Accounting Standards Board. (1993). </w:t>
      </w:r>
      <w:r w:rsidRPr="00A40DDE">
        <w:rPr>
          <w:rFonts w:ascii="Calibri" w:eastAsia="Calibri" w:hAnsi="Calibri" w:cs="Calibri"/>
          <w:sz w:val="22"/>
          <w:szCs w:val="32"/>
        </w:rPr>
        <w:t>Statement of Financial Accounting Standards No. 115: Accounting for certain investments in debt and equity securities</w:t>
      </w:r>
      <w:r w:rsidRPr="00A40DDE">
        <w:rPr>
          <w:sz w:val="22"/>
          <w:szCs w:val="32"/>
        </w:rPr>
        <w:t>. Norwalk: FASB.</w:t>
      </w:r>
    </w:p>
    <w:p w:rsidR="009C459B" w:rsidRPr="00A40DDE" w:rsidRDefault="009C459B" w:rsidP="009C459B">
      <w:pPr>
        <w:spacing w:after="13" w:line="248" w:lineRule="auto"/>
        <w:ind w:left="19" w:right="0" w:hanging="10"/>
        <w:rPr>
          <w:sz w:val="28"/>
          <w:szCs w:val="32"/>
        </w:rPr>
      </w:pPr>
      <w:r w:rsidRPr="00A40DDE">
        <w:rPr>
          <w:sz w:val="22"/>
          <w:szCs w:val="32"/>
        </w:rPr>
        <w:t xml:space="preserve">Financial Accounting Standards Board. (1995). </w:t>
      </w:r>
      <w:r w:rsidRPr="00A40DDE">
        <w:rPr>
          <w:rFonts w:ascii="Calibri" w:eastAsia="Calibri" w:hAnsi="Calibri" w:cs="Calibri"/>
          <w:sz w:val="22"/>
          <w:szCs w:val="32"/>
        </w:rPr>
        <w:t>Special Report, A guide to implementation of statement 115 on accounting for certain investments in debt and equity securities, questions and answers</w:t>
      </w:r>
      <w:r w:rsidRPr="00A40DDE">
        <w:rPr>
          <w:sz w:val="22"/>
          <w:szCs w:val="32"/>
        </w:rPr>
        <w:t xml:space="preserve">. Norwalk: FASB. Financial Accounting Standards Board. (1997). </w:t>
      </w:r>
      <w:r w:rsidRPr="00A40DDE">
        <w:rPr>
          <w:rFonts w:ascii="Calibri" w:eastAsia="Calibri" w:hAnsi="Calibri" w:cs="Calibri"/>
          <w:sz w:val="22"/>
          <w:szCs w:val="32"/>
        </w:rPr>
        <w:t>Statement of Financial Accounting Standards No. 130: Reporting comprehensive income</w:t>
      </w:r>
      <w:r w:rsidRPr="00A40DDE">
        <w:rPr>
          <w:sz w:val="22"/>
          <w:szCs w:val="32"/>
        </w:rPr>
        <w:t>. Norwalk: FASB.</w:t>
      </w:r>
    </w:p>
    <w:p w:rsidR="009C459B" w:rsidRPr="00A40DDE" w:rsidRDefault="009C459B" w:rsidP="009C459B">
      <w:pPr>
        <w:spacing w:line="262" w:lineRule="auto"/>
        <w:ind w:left="-15" w:right="0" w:firstLine="0"/>
        <w:rPr>
          <w:sz w:val="28"/>
          <w:szCs w:val="32"/>
        </w:rPr>
      </w:pPr>
      <w:proofErr w:type="spellStart"/>
      <w:r w:rsidRPr="00A40DDE">
        <w:rPr>
          <w:sz w:val="22"/>
          <w:szCs w:val="32"/>
        </w:rPr>
        <w:t>Goel</w:t>
      </w:r>
      <w:proofErr w:type="spellEnd"/>
      <w:r w:rsidRPr="00A40DDE">
        <w:rPr>
          <w:sz w:val="22"/>
          <w:szCs w:val="32"/>
        </w:rPr>
        <w:t xml:space="preserve">, A. M., &amp; </w:t>
      </w:r>
      <w:proofErr w:type="spellStart"/>
      <w:r w:rsidRPr="00A40DDE">
        <w:rPr>
          <w:sz w:val="22"/>
          <w:szCs w:val="32"/>
        </w:rPr>
        <w:t>Thakor</w:t>
      </w:r>
      <w:proofErr w:type="spellEnd"/>
      <w:r w:rsidRPr="00A40DDE">
        <w:rPr>
          <w:sz w:val="22"/>
          <w:szCs w:val="32"/>
        </w:rPr>
        <w:t xml:space="preserve">, A. (2003). Why do firms smooth earnings? </w:t>
      </w:r>
      <w:r w:rsidRPr="00A40DDE">
        <w:rPr>
          <w:rFonts w:ascii="Calibri" w:eastAsia="Calibri" w:hAnsi="Calibri" w:cs="Calibri"/>
          <w:sz w:val="22"/>
          <w:szCs w:val="32"/>
        </w:rPr>
        <w:t>Journal of Business, 76</w:t>
      </w:r>
      <w:r w:rsidRPr="00A40DDE">
        <w:rPr>
          <w:sz w:val="22"/>
          <w:szCs w:val="32"/>
        </w:rPr>
        <w:t>, 151</w:t>
      </w:r>
      <w:r w:rsidRPr="00A40DDE">
        <w:rPr>
          <w:rFonts w:ascii="Calibri" w:eastAsia="Calibri" w:hAnsi="Calibri" w:cs="Calibri"/>
          <w:sz w:val="22"/>
          <w:szCs w:val="32"/>
        </w:rPr>
        <w:t>–</w:t>
      </w:r>
      <w:r w:rsidRPr="00A40DDE">
        <w:rPr>
          <w:sz w:val="22"/>
          <w:szCs w:val="32"/>
        </w:rPr>
        <w:t>192.</w:t>
      </w:r>
    </w:p>
    <w:p w:rsidR="009C459B" w:rsidRPr="00A40DDE" w:rsidRDefault="009C459B" w:rsidP="009C459B">
      <w:pPr>
        <w:spacing w:line="262" w:lineRule="auto"/>
        <w:ind w:left="274" w:right="0" w:hanging="289"/>
        <w:rPr>
          <w:sz w:val="28"/>
          <w:szCs w:val="32"/>
        </w:rPr>
      </w:pPr>
      <w:proofErr w:type="spellStart"/>
      <w:r w:rsidRPr="00A40DDE">
        <w:rPr>
          <w:sz w:val="22"/>
          <w:szCs w:val="32"/>
        </w:rPr>
        <w:t>Gow</w:t>
      </w:r>
      <w:proofErr w:type="spellEnd"/>
      <w:r w:rsidRPr="00A40DDE">
        <w:rPr>
          <w:sz w:val="22"/>
          <w:szCs w:val="32"/>
        </w:rPr>
        <w:t xml:space="preserve">, I. D., </w:t>
      </w:r>
      <w:proofErr w:type="spellStart"/>
      <w:r w:rsidRPr="00A40DDE">
        <w:rPr>
          <w:sz w:val="22"/>
          <w:szCs w:val="32"/>
        </w:rPr>
        <w:t>Ormazabal</w:t>
      </w:r>
      <w:proofErr w:type="spellEnd"/>
      <w:r w:rsidRPr="00A40DDE">
        <w:rPr>
          <w:sz w:val="22"/>
          <w:szCs w:val="32"/>
        </w:rPr>
        <w:t xml:space="preserve">, G., &amp; Taylor, D. J. (2010). Correcting for cross-sectional and time-series dependence in accounting research. </w:t>
      </w:r>
      <w:r w:rsidRPr="00A40DDE">
        <w:rPr>
          <w:rFonts w:ascii="Calibri" w:eastAsia="Calibri" w:hAnsi="Calibri" w:cs="Calibri"/>
          <w:sz w:val="22"/>
          <w:szCs w:val="32"/>
        </w:rPr>
        <w:t>The Accounting Review, 85</w:t>
      </w:r>
      <w:r w:rsidRPr="00A40DDE">
        <w:rPr>
          <w:sz w:val="22"/>
          <w:szCs w:val="32"/>
        </w:rPr>
        <w:t>, 483</w:t>
      </w:r>
      <w:r w:rsidRPr="00A40DDE">
        <w:rPr>
          <w:rFonts w:ascii="Calibri" w:eastAsia="Calibri" w:hAnsi="Calibri" w:cs="Calibri"/>
          <w:sz w:val="22"/>
          <w:szCs w:val="32"/>
        </w:rPr>
        <w:t>–</w:t>
      </w:r>
      <w:r w:rsidRPr="00A40DDE">
        <w:rPr>
          <w:sz w:val="22"/>
          <w:szCs w:val="32"/>
        </w:rPr>
        <w:t>512.</w:t>
      </w:r>
    </w:p>
    <w:p w:rsidR="009C459B" w:rsidRPr="00A40DDE" w:rsidRDefault="009C459B" w:rsidP="009C459B">
      <w:pPr>
        <w:spacing w:line="262" w:lineRule="auto"/>
        <w:ind w:left="274" w:right="0" w:hanging="289"/>
        <w:rPr>
          <w:sz w:val="28"/>
          <w:szCs w:val="32"/>
        </w:rPr>
      </w:pPr>
      <w:r w:rsidRPr="00A40DDE">
        <w:rPr>
          <w:sz w:val="22"/>
          <w:szCs w:val="32"/>
        </w:rPr>
        <w:t xml:space="preserve">Graham, J., Harvey, C., &amp; </w:t>
      </w:r>
      <w:proofErr w:type="spellStart"/>
      <w:r w:rsidRPr="00A40DDE">
        <w:rPr>
          <w:sz w:val="22"/>
          <w:szCs w:val="32"/>
        </w:rPr>
        <w:t>Rajgopal</w:t>
      </w:r>
      <w:proofErr w:type="spellEnd"/>
      <w:r w:rsidRPr="00A40DDE">
        <w:rPr>
          <w:sz w:val="22"/>
          <w:szCs w:val="32"/>
        </w:rPr>
        <w:t xml:space="preserve">, S. (2005). The economic implications of corporate financial reporting. </w:t>
      </w:r>
      <w:r w:rsidRPr="00A40DDE">
        <w:rPr>
          <w:rFonts w:ascii="Calibri" w:eastAsia="Calibri" w:hAnsi="Calibri" w:cs="Calibri"/>
          <w:sz w:val="22"/>
          <w:szCs w:val="32"/>
        </w:rPr>
        <w:t>Journal of Accounting and Economics, 40</w:t>
      </w:r>
      <w:r w:rsidRPr="00A40DDE">
        <w:rPr>
          <w:sz w:val="22"/>
          <w:szCs w:val="32"/>
        </w:rPr>
        <w:t>, 3</w:t>
      </w:r>
      <w:r w:rsidRPr="00A40DDE">
        <w:rPr>
          <w:rFonts w:ascii="Calibri" w:eastAsia="Calibri" w:hAnsi="Calibri" w:cs="Calibri"/>
          <w:sz w:val="22"/>
          <w:szCs w:val="32"/>
        </w:rPr>
        <w:t>–</w:t>
      </w:r>
      <w:r w:rsidRPr="00A40DDE">
        <w:rPr>
          <w:sz w:val="22"/>
          <w:szCs w:val="32"/>
        </w:rPr>
        <w:t>73.</w:t>
      </w:r>
    </w:p>
    <w:p w:rsidR="009C459B" w:rsidRPr="00A40DDE" w:rsidRDefault="009C459B" w:rsidP="009C459B">
      <w:pPr>
        <w:spacing w:line="262" w:lineRule="auto"/>
        <w:ind w:left="274" w:right="0" w:hanging="289"/>
        <w:rPr>
          <w:sz w:val="28"/>
          <w:szCs w:val="32"/>
        </w:rPr>
      </w:pPr>
      <w:r w:rsidRPr="00A40DDE">
        <w:rPr>
          <w:sz w:val="22"/>
          <w:szCs w:val="32"/>
        </w:rPr>
        <w:t xml:space="preserve">Healy, P. M., &amp; </w:t>
      </w:r>
      <w:proofErr w:type="spellStart"/>
      <w:r w:rsidRPr="00A40DDE">
        <w:rPr>
          <w:sz w:val="22"/>
          <w:szCs w:val="32"/>
        </w:rPr>
        <w:t>Wahlen</w:t>
      </w:r>
      <w:proofErr w:type="spellEnd"/>
      <w:r w:rsidRPr="00A40DDE">
        <w:rPr>
          <w:sz w:val="22"/>
          <w:szCs w:val="32"/>
        </w:rPr>
        <w:t xml:space="preserve">, J. M. (1999). A review of the earnings management literature and its implications for standard setting. </w:t>
      </w:r>
      <w:r w:rsidRPr="00A40DDE">
        <w:rPr>
          <w:rFonts w:ascii="Calibri" w:eastAsia="Calibri" w:hAnsi="Calibri" w:cs="Calibri"/>
          <w:sz w:val="22"/>
          <w:szCs w:val="32"/>
        </w:rPr>
        <w:t>Accounting Horizons, 13</w:t>
      </w:r>
      <w:r w:rsidRPr="00A40DDE">
        <w:rPr>
          <w:sz w:val="22"/>
          <w:szCs w:val="32"/>
        </w:rPr>
        <w:t>, 365</w:t>
      </w:r>
      <w:r w:rsidRPr="00A40DDE">
        <w:rPr>
          <w:rFonts w:ascii="Calibri" w:eastAsia="Calibri" w:hAnsi="Calibri" w:cs="Calibri"/>
          <w:sz w:val="22"/>
          <w:szCs w:val="32"/>
        </w:rPr>
        <w:t>–</w:t>
      </w:r>
      <w:r w:rsidRPr="00A40DDE">
        <w:rPr>
          <w:sz w:val="22"/>
          <w:szCs w:val="32"/>
        </w:rPr>
        <w:t>383.</w:t>
      </w:r>
    </w:p>
    <w:p w:rsidR="009C459B" w:rsidRPr="00A40DDE" w:rsidRDefault="009C459B" w:rsidP="009C459B">
      <w:pPr>
        <w:spacing w:line="262" w:lineRule="auto"/>
        <w:ind w:left="274" w:right="0" w:hanging="289"/>
        <w:rPr>
          <w:sz w:val="28"/>
          <w:szCs w:val="32"/>
        </w:rPr>
      </w:pPr>
      <w:proofErr w:type="spellStart"/>
      <w:r w:rsidRPr="00A40DDE">
        <w:rPr>
          <w:sz w:val="22"/>
          <w:szCs w:val="32"/>
        </w:rPr>
        <w:t>Hirst</w:t>
      </w:r>
      <w:proofErr w:type="spellEnd"/>
      <w:r w:rsidRPr="00A40DDE">
        <w:rPr>
          <w:sz w:val="22"/>
          <w:szCs w:val="32"/>
        </w:rPr>
        <w:t>, E. D., &amp; Hopkins, P. E. (1998). Comprehensive income reporting and analysts</w:t>
      </w:r>
      <w:r w:rsidRPr="00A40DDE">
        <w:rPr>
          <w:rFonts w:ascii="Calibri" w:eastAsia="Calibri" w:hAnsi="Calibri" w:cs="Calibri"/>
          <w:sz w:val="22"/>
          <w:szCs w:val="32"/>
        </w:rPr>
        <w:t xml:space="preserve">’ </w:t>
      </w:r>
      <w:r w:rsidRPr="00A40DDE">
        <w:rPr>
          <w:sz w:val="22"/>
          <w:szCs w:val="32"/>
        </w:rPr>
        <w:t xml:space="preserve">valuation judgments. </w:t>
      </w:r>
      <w:r w:rsidRPr="00A40DDE">
        <w:rPr>
          <w:rFonts w:ascii="Calibri" w:eastAsia="Calibri" w:hAnsi="Calibri" w:cs="Calibri"/>
          <w:sz w:val="22"/>
          <w:szCs w:val="32"/>
        </w:rPr>
        <w:t>Journal of Accounting Research, 36</w:t>
      </w:r>
      <w:r w:rsidRPr="00A40DDE">
        <w:rPr>
          <w:sz w:val="22"/>
          <w:szCs w:val="32"/>
        </w:rPr>
        <w:t>, 47</w:t>
      </w:r>
      <w:r w:rsidRPr="00A40DDE">
        <w:rPr>
          <w:rFonts w:ascii="Calibri" w:eastAsia="Calibri" w:hAnsi="Calibri" w:cs="Calibri"/>
          <w:sz w:val="22"/>
          <w:szCs w:val="32"/>
        </w:rPr>
        <w:t>–</w:t>
      </w:r>
      <w:r w:rsidRPr="00A40DDE">
        <w:rPr>
          <w:sz w:val="22"/>
          <w:szCs w:val="32"/>
        </w:rPr>
        <w:t>75.</w:t>
      </w:r>
    </w:p>
    <w:p w:rsidR="009C459B" w:rsidRPr="00A40DDE" w:rsidRDefault="009C459B" w:rsidP="009C459B">
      <w:pPr>
        <w:spacing w:line="262" w:lineRule="auto"/>
        <w:ind w:left="274" w:right="0" w:hanging="289"/>
        <w:rPr>
          <w:sz w:val="28"/>
          <w:szCs w:val="32"/>
        </w:rPr>
      </w:pPr>
      <w:r w:rsidRPr="00A40DDE">
        <w:rPr>
          <w:sz w:val="22"/>
          <w:szCs w:val="32"/>
        </w:rPr>
        <w:lastRenderedPageBreak/>
        <w:t xml:space="preserve">Hope, O. K., Thomas, W. B., &amp; Vyas, D. (2013). Financial reporting quality of U.S. Private and public firms. </w:t>
      </w:r>
      <w:r w:rsidRPr="00A40DDE">
        <w:rPr>
          <w:rFonts w:ascii="Calibri" w:eastAsia="Calibri" w:hAnsi="Calibri" w:cs="Calibri"/>
          <w:sz w:val="22"/>
          <w:szCs w:val="32"/>
        </w:rPr>
        <w:t>The Accounting Review, 88</w:t>
      </w:r>
      <w:r w:rsidRPr="00A40DDE">
        <w:rPr>
          <w:sz w:val="22"/>
          <w:szCs w:val="32"/>
        </w:rPr>
        <w:t>, 1715</w:t>
      </w:r>
      <w:r w:rsidRPr="00A40DDE">
        <w:rPr>
          <w:rFonts w:ascii="Calibri" w:eastAsia="Calibri" w:hAnsi="Calibri" w:cs="Calibri"/>
          <w:sz w:val="22"/>
          <w:szCs w:val="32"/>
        </w:rPr>
        <w:t>–</w:t>
      </w:r>
      <w:r w:rsidRPr="00A40DDE">
        <w:rPr>
          <w:sz w:val="22"/>
          <w:szCs w:val="32"/>
        </w:rPr>
        <w:t>1742.</w:t>
      </w:r>
    </w:p>
    <w:p w:rsidR="009C459B" w:rsidRPr="00A40DDE" w:rsidRDefault="009C459B" w:rsidP="009C459B">
      <w:pPr>
        <w:spacing w:line="262" w:lineRule="auto"/>
        <w:ind w:left="274" w:right="0" w:hanging="289"/>
        <w:rPr>
          <w:sz w:val="28"/>
          <w:szCs w:val="32"/>
        </w:rPr>
      </w:pPr>
      <w:proofErr w:type="spellStart"/>
      <w:r w:rsidRPr="00A40DDE">
        <w:rPr>
          <w:sz w:val="22"/>
          <w:szCs w:val="32"/>
        </w:rPr>
        <w:t>Karaoglu</w:t>
      </w:r>
      <w:proofErr w:type="spellEnd"/>
      <w:r w:rsidRPr="00A40DDE">
        <w:rPr>
          <w:sz w:val="22"/>
          <w:szCs w:val="32"/>
        </w:rPr>
        <w:t>, N. E. (2005). Regulatory capital and earnings management in banks: The case of loan sales and securitizations. Working paper, FDIC Center for Financial Research.</w:t>
      </w:r>
    </w:p>
    <w:p w:rsidR="009C459B" w:rsidRPr="00A40DDE" w:rsidRDefault="009C459B" w:rsidP="009C459B">
      <w:pPr>
        <w:spacing w:line="262" w:lineRule="auto"/>
        <w:ind w:left="274" w:right="0" w:hanging="289"/>
        <w:rPr>
          <w:sz w:val="28"/>
          <w:szCs w:val="32"/>
        </w:rPr>
      </w:pPr>
      <w:proofErr w:type="spellStart"/>
      <w:r w:rsidRPr="00A40DDE">
        <w:rPr>
          <w:sz w:val="22"/>
          <w:szCs w:val="32"/>
        </w:rPr>
        <w:t>Kilic</w:t>
      </w:r>
      <w:proofErr w:type="spellEnd"/>
      <w:r w:rsidRPr="00A40DDE">
        <w:rPr>
          <w:sz w:val="22"/>
          <w:szCs w:val="32"/>
        </w:rPr>
        <w:t xml:space="preserve">, E., Lobo, G., </w:t>
      </w:r>
      <w:proofErr w:type="spellStart"/>
      <w:r w:rsidRPr="00A40DDE">
        <w:rPr>
          <w:sz w:val="22"/>
          <w:szCs w:val="32"/>
        </w:rPr>
        <w:t>Ranasinghe</w:t>
      </w:r>
      <w:proofErr w:type="spellEnd"/>
      <w:r w:rsidRPr="00A40DDE">
        <w:rPr>
          <w:sz w:val="22"/>
          <w:szCs w:val="32"/>
        </w:rPr>
        <w:t xml:space="preserve">, T., &amp; </w:t>
      </w:r>
      <w:proofErr w:type="spellStart"/>
      <w:r w:rsidRPr="00A40DDE">
        <w:rPr>
          <w:sz w:val="22"/>
          <w:szCs w:val="32"/>
        </w:rPr>
        <w:t>Sivaramakrishnan</w:t>
      </w:r>
      <w:proofErr w:type="spellEnd"/>
      <w:r w:rsidRPr="00A40DDE">
        <w:rPr>
          <w:sz w:val="22"/>
          <w:szCs w:val="32"/>
        </w:rPr>
        <w:t xml:space="preserve">, K. (2013). The impact of SFAS 133 on income smoothing by banks through loan loss provisions. </w:t>
      </w:r>
      <w:r w:rsidRPr="00A40DDE">
        <w:rPr>
          <w:rFonts w:ascii="Calibri" w:eastAsia="Calibri" w:hAnsi="Calibri" w:cs="Calibri"/>
          <w:sz w:val="22"/>
          <w:szCs w:val="32"/>
        </w:rPr>
        <w:t>The Accounting Review, 88</w:t>
      </w:r>
      <w:r w:rsidRPr="00A40DDE">
        <w:rPr>
          <w:sz w:val="22"/>
          <w:szCs w:val="32"/>
        </w:rPr>
        <w:t>, 233</w:t>
      </w:r>
      <w:r w:rsidRPr="00A40DDE">
        <w:rPr>
          <w:rFonts w:ascii="Calibri" w:eastAsia="Calibri" w:hAnsi="Calibri" w:cs="Calibri"/>
          <w:sz w:val="22"/>
          <w:szCs w:val="32"/>
        </w:rPr>
        <w:t>–</w:t>
      </w:r>
      <w:r w:rsidRPr="00A40DDE">
        <w:rPr>
          <w:sz w:val="22"/>
          <w:szCs w:val="32"/>
        </w:rPr>
        <w:t>260.</w:t>
      </w:r>
    </w:p>
    <w:p w:rsidR="009C459B" w:rsidRPr="00A40DDE" w:rsidRDefault="009C459B" w:rsidP="009C459B">
      <w:pPr>
        <w:spacing w:line="262" w:lineRule="auto"/>
        <w:ind w:left="274" w:right="0" w:hanging="289"/>
        <w:rPr>
          <w:sz w:val="28"/>
          <w:szCs w:val="32"/>
        </w:rPr>
      </w:pPr>
      <w:proofErr w:type="spellStart"/>
      <w:r w:rsidRPr="00A40DDE">
        <w:rPr>
          <w:sz w:val="22"/>
          <w:szCs w:val="32"/>
        </w:rPr>
        <w:t>Laux</w:t>
      </w:r>
      <w:proofErr w:type="spellEnd"/>
      <w:r w:rsidRPr="00A40DDE">
        <w:rPr>
          <w:sz w:val="22"/>
          <w:szCs w:val="32"/>
        </w:rPr>
        <w:t xml:space="preserve">, C., &amp; </w:t>
      </w:r>
      <w:proofErr w:type="spellStart"/>
      <w:r w:rsidRPr="00A40DDE">
        <w:rPr>
          <w:sz w:val="22"/>
          <w:szCs w:val="32"/>
        </w:rPr>
        <w:t>Leuz</w:t>
      </w:r>
      <w:proofErr w:type="spellEnd"/>
      <w:r w:rsidRPr="00A40DDE">
        <w:rPr>
          <w:sz w:val="22"/>
          <w:szCs w:val="32"/>
        </w:rPr>
        <w:t xml:space="preserve">, C. (2010). Did fair-value accounting contribute to the financial crisis? </w:t>
      </w:r>
      <w:r w:rsidRPr="00A40DDE">
        <w:rPr>
          <w:rFonts w:ascii="Calibri" w:eastAsia="Calibri" w:hAnsi="Calibri" w:cs="Calibri"/>
          <w:sz w:val="22"/>
          <w:szCs w:val="32"/>
        </w:rPr>
        <w:t>Journal of Economic Perspectives, 24</w:t>
      </w:r>
      <w:r w:rsidRPr="00A40DDE">
        <w:rPr>
          <w:sz w:val="22"/>
          <w:szCs w:val="32"/>
        </w:rPr>
        <w:t>, 93</w:t>
      </w:r>
      <w:r w:rsidRPr="00A40DDE">
        <w:rPr>
          <w:rFonts w:ascii="Calibri" w:eastAsia="Calibri" w:hAnsi="Calibri" w:cs="Calibri"/>
          <w:sz w:val="22"/>
          <w:szCs w:val="32"/>
        </w:rPr>
        <w:t>–</w:t>
      </w:r>
      <w:r w:rsidRPr="00A40DDE">
        <w:rPr>
          <w:sz w:val="22"/>
          <w:szCs w:val="32"/>
        </w:rPr>
        <w:t>118.</w:t>
      </w:r>
    </w:p>
    <w:p w:rsidR="009C459B" w:rsidRPr="00A40DDE" w:rsidRDefault="009C459B" w:rsidP="009C459B">
      <w:pPr>
        <w:spacing w:line="262" w:lineRule="auto"/>
        <w:ind w:left="274" w:right="0" w:hanging="289"/>
        <w:rPr>
          <w:sz w:val="28"/>
          <w:szCs w:val="32"/>
        </w:rPr>
      </w:pPr>
      <w:proofErr w:type="spellStart"/>
      <w:r w:rsidRPr="00A40DDE">
        <w:rPr>
          <w:sz w:val="22"/>
          <w:szCs w:val="32"/>
        </w:rPr>
        <w:t>Lifschutz</w:t>
      </w:r>
      <w:proofErr w:type="spellEnd"/>
      <w:r w:rsidRPr="00A40DDE">
        <w:rPr>
          <w:sz w:val="22"/>
          <w:szCs w:val="32"/>
        </w:rPr>
        <w:t xml:space="preserve">, S. (2002). The effect of SFAS 115 on earnings management in the banking industry. </w:t>
      </w:r>
      <w:r w:rsidRPr="00A40DDE">
        <w:rPr>
          <w:rFonts w:ascii="Calibri" w:eastAsia="Calibri" w:hAnsi="Calibri" w:cs="Calibri"/>
          <w:sz w:val="22"/>
          <w:szCs w:val="32"/>
        </w:rPr>
        <w:t>The Journal of Applied Business Research, 18</w:t>
      </w:r>
      <w:r w:rsidRPr="00A40DDE">
        <w:rPr>
          <w:sz w:val="22"/>
          <w:szCs w:val="32"/>
        </w:rPr>
        <w:t>, 1</w:t>
      </w:r>
      <w:r w:rsidRPr="00A40DDE">
        <w:rPr>
          <w:rFonts w:ascii="Calibri" w:eastAsia="Calibri" w:hAnsi="Calibri" w:cs="Calibri"/>
          <w:sz w:val="22"/>
          <w:szCs w:val="32"/>
        </w:rPr>
        <w:t>–</w:t>
      </w:r>
      <w:r w:rsidRPr="00A40DDE">
        <w:rPr>
          <w:sz w:val="22"/>
          <w:szCs w:val="32"/>
        </w:rPr>
        <w:t>11.</w:t>
      </w:r>
    </w:p>
    <w:p w:rsidR="009C459B" w:rsidRPr="00A40DDE" w:rsidRDefault="009C459B" w:rsidP="009C459B">
      <w:pPr>
        <w:spacing w:line="262" w:lineRule="auto"/>
        <w:ind w:left="274" w:right="0" w:hanging="289"/>
        <w:rPr>
          <w:sz w:val="28"/>
          <w:szCs w:val="32"/>
        </w:rPr>
      </w:pPr>
      <w:proofErr w:type="spellStart"/>
      <w:r w:rsidRPr="00A40DDE">
        <w:rPr>
          <w:sz w:val="22"/>
          <w:szCs w:val="32"/>
        </w:rPr>
        <w:t>Nissim</w:t>
      </w:r>
      <w:proofErr w:type="spellEnd"/>
      <w:r w:rsidRPr="00A40DDE">
        <w:rPr>
          <w:sz w:val="22"/>
          <w:szCs w:val="32"/>
        </w:rPr>
        <w:t xml:space="preserve">, D., &amp; Penman, S. H. (2007). Fair value accounting in the banking industry, </w:t>
      </w:r>
      <w:r w:rsidRPr="00A40DDE">
        <w:rPr>
          <w:rFonts w:ascii="Calibri" w:eastAsia="Calibri" w:hAnsi="Calibri" w:cs="Calibri"/>
          <w:sz w:val="22"/>
          <w:szCs w:val="32"/>
        </w:rPr>
        <w:t>Center for Excellence in Accounting and Security Analysis Occasional Paper Series</w:t>
      </w:r>
      <w:r w:rsidRPr="00A40DDE">
        <w:rPr>
          <w:sz w:val="22"/>
          <w:szCs w:val="32"/>
        </w:rPr>
        <w:t>, Columbia Business School.</w:t>
      </w:r>
    </w:p>
    <w:p w:rsidR="009C459B" w:rsidRPr="00A40DDE" w:rsidRDefault="009C459B" w:rsidP="009C459B">
      <w:pPr>
        <w:spacing w:line="262" w:lineRule="auto"/>
        <w:ind w:left="274" w:right="0" w:hanging="289"/>
        <w:rPr>
          <w:sz w:val="28"/>
          <w:szCs w:val="32"/>
        </w:rPr>
      </w:pPr>
      <w:r w:rsidRPr="00A40DDE">
        <w:rPr>
          <w:sz w:val="22"/>
          <w:szCs w:val="32"/>
        </w:rPr>
        <w:t>Pérez, D., Salas-</w:t>
      </w:r>
      <w:proofErr w:type="spellStart"/>
      <w:r w:rsidRPr="00A40DDE">
        <w:rPr>
          <w:sz w:val="22"/>
          <w:szCs w:val="32"/>
        </w:rPr>
        <w:t>Fumás</w:t>
      </w:r>
      <w:proofErr w:type="spellEnd"/>
      <w:r w:rsidRPr="00A40DDE">
        <w:rPr>
          <w:sz w:val="22"/>
          <w:szCs w:val="32"/>
        </w:rPr>
        <w:t xml:space="preserve">, V., &amp; </w:t>
      </w:r>
      <w:proofErr w:type="spellStart"/>
      <w:r w:rsidRPr="00A40DDE">
        <w:rPr>
          <w:sz w:val="22"/>
          <w:szCs w:val="32"/>
        </w:rPr>
        <w:t>Saurina</w:t>
      </w:r>
      <w:proofErr w:type="spellEnd"/>
      <w:r w:rsidRPr="00A40DDE">
        <w:rPr>
          <w:sz w:val="22"/>
          <w:szCs w:val="32"/>
        </w:rPr>
        <w:t xml:space="preserve">, J. (2008). Earnings and capital management in alternative loan loss provision regulatory regimes. </w:t>
      </w:r>
      <w:r w:rsidRPr="00A40DDE">
        <w:rPr>
          <w:rFonts w:ascii="Calibri" w:eastAsia="Calibri" w:hAnsi="Calibri" w:cs="Calibri"/>
          <w:sz w:val="22"/>
          <w:szCs w:val="32"/>
        </w:rPr>
        <w:t>European Accounting Review, 17</w:t>
      </w:r>
      <w:r w:rsidRPr="00A40DDE">
        <w:rPr>
          <w:sz w:val="22"/>
          <w:szCs w:val="32"/>
        </w:rPr>
        <w:t>, 423</w:t>
      </w:r>
      <w:r w:rsidRPr="00A40DDE">
        <w:rPr>
          <w:rFonts w:ascii="Calibri" w:eastAsia="Calibri" w:hAnsi="Calibri" w:cs="Calibri"/>
          <w:sz w:val="22"/>
          <w:szCs w:val="32"/>
        </w:rPr>
        <w:t>–</w:t>
      </w:r>
      <w:r w:rsidRPr="00A40DDE">
        <w:rPr>
          <w:sz w:val="22"/>
          <w:szCs w:val="32"/>
        </w:rPr>
        <w:t>445.</w:t>
      </w:r>
    </w:p>
    <w:p w:rsidR="009C459B" w:rsidRPr="00A40DDE" w:rsidRDefault="009C459B" w:rsidP="009C459B">
      <w:pPr>
        <w:spacing w:line="262" w:lineRule="auto"/>
        <w:ind w:left="274" w:right="0" w:hanging="289"/>
        <w:rPr>
          <w:sz w:val="28"/>
          <w:szCs w:val="32"/>
        </w:rPr>
      </w:pPr>
      <w:r w:rsidRPr="00A40DDE">
        <w:rPr>
          <w:sz w:val="22"/>
          <w:szCs w:val="32"/>
        </w:rPr>
        <w:t xml:space="preserve">Petersen, M. (2009). Estimating standard errors in finance panel data sets: Comparing approaches. </w:t>
      </w:r>
      <w:r w:rsidRPr="00A40DDE">
        <w:rPr>
          <w:rFonts w:ascii="Calibri" w:eastAsia="Calibri" w:hAnsi="Calibri" w:cs="Calibri"/>
          <w:sz w:val="22"/>
          <w:szCs w:val="32"/>
        </w:rPr>
        <w:t>Review of Financial Studies, 22</w:t>
      </w:r>
      <w:r w:rsidRPr="00A40DDE">
        <w:rPr>
          <w:sz w:val="22"/>
          <w:szCs w:val="32"/>
        </w:rPr>
        <w:t>, 435</w:t>
      </w:r>
      <w:r w:rsidRPr="00A40DDE">
        <w:rPr>
          <w:rFonts w:ascii="Calibri" w:eastAsia="Calibri" w:hAnsi="Calibri" w:cs="Calibri"/>
          <w:sz w:val="22"/>
          <w:szCs w:val="32"/>
        </w:rPr>
        <w:t>–</w:t>
      </w:r>
      <w:r w:rsidRPr="00A40DDE">
        <w:rPr>
          <w:sz w:val="22"/>
          <w:szCs w:val="32"/>
        </w:rPr>
        <w:t>480.</w:t>
      </w:r>
    </w:p>
    <w:p w:rsidR="009C459B" w:rsidRPr="00A40DDE" w:rsidRDefault="009C459B" w:rsidP="009C459B">
      <w:pPr>
        <w:spacing w:line="262" w:lineRule="auto"/>
        <w:ind w:left="274" w:right="0" w:hanging="289"/>
        <w:rPr>
          <w:sz w:val="28"/>
          <w:szCs w:val="32"/>
        </w:rPr>
      </w:pPr>
      <w:r w:rsidRPr="00A40DDE">
        <w:rPr>
          <w:sz w:val="22"/>
          <w:szCs w:val="32"/>
        </w:rPr>
        <w:t xml:space="preserve">Scholes, M., Wilson, G. P., &amp; Wolfson, M. (1990). Tax planning, regulatory capital planning and financial reporting strategy for commercial banks. </w:t>
      </w:r>
      <w:r w:rsidRPr="00A40DDE">
        <w:rPr>
          <w:rFonts w:ascii="Calibri" w:eastAsia="Calibri" w:hAnsi="Calibri" w:cs="Calibri"/>
          <w:sz w:val="22"/>
          <w:szCs w:val="32"/>
        </w:rPr>
        <w:t>Review of Financial Studies, 3</w:t>
      </w:r>
      <w:r w:rsidRPr="00A40DDE">
        <w:rPr>
          <w:sz w:val="22"/>
          <w:szCs w:val="32"/>
        </w:rPr>
        <w:t>, 625</w:t>
      </w:r>
      <w:r w:rsidRPr="00A40DDE">
        <w:rPr>
          <w:rFonts w:ascii="Calibri" w:eastAsia="Calibri" w:hAnsi="Calibri" w:cs="Calibri"/>
          <w:sz w:val="22"/>
          <w:szCs w:val="32"/>
        </w:rPr>
        <w:t>–</w:t>
      </w:r>
      <w:r w:rsidRPr="00A40DDE">
        <w:rPr>
          <w:sz w:val="22"/>
          <w:szCs w:val="32"/>
        </w:rPr>
        <w:t>650.</w:t>
      </w:r>
    </w:p>
    <w:p w:rsidR="009C459B" w:rsidRPr="00A40DDE" w:rsidRDefault="009C459B" w:rsidP="009C459B">
      <w:pPr>
        <w:spacing w:line="262" w:lineRule="auto"/>
        <w:ind w:left="274" w:right="0" w:hanging="289"/>
        <w:rPr>
          <w:sz w:val="28"/>
          <w:szCs w:val="32"/>
        </w:rPr>
      </w:pPr>
      <w:r w:rsidRPr="00A40DDE">
        <w:rPr>
          <w:sz w:val="22"/>
          <w:szCs w:val="32"/>
        </w:rPr>
        <w:t xml:space="preserve">Wall, L. D., &amp; Koch, T. W. (2000). Bank Loan-loss accounting: A review of theoretical and empirical evidence. </w:t>
      </w:r>
      <w:r w:rsidRPr="00A40DDE">
        <w:rPr>
          <w:rFonts w:ascii="Calibri" w:eastAsia="Calibri" w:hAnsi="Calibri" w:cs="Calibri"/>
          <w:sz w:val="22"/>
          <w:szCs w:val="32"/>
        </w:rPr>
        <w:t>Federal Reserve Bank of Atlanta, Economic Review, 85</w:t>
      </w:r>
      <w:r w:rsidRPr="00A40DDE">
        <w:rPr>
          <w:sz w:val="22"/>
          <w:szCs w:val="32"/>
        </w:rPr>
        <w:t>, 1</w:t>
      </w:r>
      <w:r w:rsidRPr="00A40DDE">
        <w:rPr>
          <w:rFonts w:ascii="Calibri" w:eastAsia="Calibri" w:hAnsi="Calibri" w:cs="Calibri"/>
          <w:sz w:val="22"/>
          <w:szCs w:val="32"/>
        </w:rPr>
        <w:t>–</w:t>
      </w:r>
      <w:r w:rsidRPr="00A40DDE">
        <w:rPr>
          <w:sz w:val="22"/>
          <w:szCs w:val="32"/>
        </w:rPr>
        <w:t>19.</w:t>
      </w:r>
    </w:p>
    <w:p w:rsidR="009C459B" w:rsidRPr="00A40DDE" w:rsidRDefault="009C459B" w:rsidP="009C459B">
      <w:pPr>
        <w:spacing w:line="262" w:lineRule="auto"/>
        <w:ind w:left="274" w:right="0" w:hanging="289"/>
        <w:rPr>
          <w:sz w:val="28"/>
          <w:szCs w:val="32"/>
        </w:rPr>
      </w:pPr>
      <w:r w:rsidRPr="00A40DDE">
        <w:rPr>
          <w:sz w:val="22"/>
          <w:szCs w:val="32"/>
        </w:rPr>
        <w:t xml:space="preserve">Warfield, T., &amp; </w:t>
      </w:r>
      <w:proofErr w:type="spellStart"/>
      <w:r w:rsidRPr="00A40DDE">
        <w:rPr>
          <w:sz w:val="22"/>
          <w:szCs w:val="32"/>
        </w:rPr>
        <w:t>Linsmeier</w:t>
      </w:r>
      <w:proofErr w:type="spellEnd"/>
      <w:r w:rsidRPr="00A40DDE">
        <w:rPr>
          <w:sz w:val="22"/>
          <w:szCs w:val="32"/>
        </w:rPr>
        <w:t xml:space="preserve">, T. (1992). Tax planning, earnings management, and the differential information content of bank earnings components. </w:t>
      </w:r>
      <w:r w:rsidRPr="00A40DDE">
        <w:rPr>
          <w:rFonts w:ascii="Calibri" w:eastAsia="Calibri" w:hAnsi="Calibri" w:cs="Calibri"/>
          <w:sz w:val="22"/>
          <w:szCs w:val="32"/>
        </w:rPr>
        <w:t>The Accounting Review, 67</w:t>
      </w:r>
      <w:r w:rsidRPr="00A40DDE">
        <w:rPr>
          <w:sz w:val="22"/>
          <w:szCs w:val="32"/>
        </w:rPr>
        <w:t>, 546</w:t>
      </w:r>
      <w:r w:rsidRPr="00A40DDE">
        <w:rPr>
          <w:rFonts w:ascii="Calibri" w:eastAsia="Calibri" w:hAnsi="Calibri" w:cs="Calibri"/>
          <w:sz w:val="22"/>
          <w:szCs w:val="32"/>
        </w:rPr>
        <w:t>–</w:t>
      </w:r>
      <w:r w:rsidRPr="00A40DDE">
        <w:rPr>
          <w:sz w:val="22"/>
          <w:szCs w:val="32"/>
        </w:rPr>
        <w:t>562.</w:t>
      </w:r>
    </w:p>
    <w:p w:rsidR="009C459B" w:rsidRPr="00A40DDE" w:rsidRDefault="009C459B" w:rsidP="009C459B">
      <w:pPr>
        <w:spacing w:line="262" w:lineRule="auto"/>
        <w:ind w:left="274" w:right="0" w:hanging="289"/>
        <w:rPr>
          <w:sz w:val="28"/>
          <w:szCs w:val="32"/>
        </w:rPr>
      </w:pPr>
    </w:p>
    <w:p w:rsidR="009C459B" w:rsidRPr="00A40DDE" w:rsidRDefault="009C459B" w:rsidP="009C459B">
      <w:pPr>
        <w:rPr>
          <w:sz w:val="28"/>
          <w:szCs w:val="32"/>
          <w:rtl/>
          <w:lang w:bidi="fa-IR"/>
        </w:rPr>
      </w:pPr>
    </w:p>
    <w:sectPr w:rsidR="009C459B" w:rsidRPr="00A40DDE">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600" w:rsidRDefault="001D6600" w:rsidP="00BE5DC9">
      <w:pPr>
        <w:spacing w:after="0" w:line="240" w:lineRule="auto"/>
      </w:pPr>
      <w:r>
        <w:separator/>
      </w:r>
    </w:p>
  </w:endnote>
  <w:endnote w:type="continuationSeparator" w:id="0">
    <w:p w:rsidR="001D6600" w:rsidRDefault="001D6600" w:rsidP="00BE5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B1A" w:rsidRDefault="002E4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B1A" w:rsidRDefault="002E4B1A">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EF6BD9">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EF6BD9">
      <w:rPr>
        <w:noProof/>
        <w:color w:val="5B9BD5" w:themeColor="accent1"/>
      </w:rPr>
      <w:t>42</w:t>
    </w:r>
    <w:r>
      <w:rPr>
        <w:color w:val="5B9BD5" w:themeColor="accent1"/>
      </w:rPr>
      <w:fldChar w:fldCharType="end"/>
    </w:r>
  </w:p>
  <w:p w:rsidR="00A40DDE" w:rsidRDefault="00A40D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B1A" w:rsidRDefault="002E4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600" w:rsidRDefault="001D6600" w:rsidP="00BE5DC9">
      <w:pPr>
        <w:spacing w:after="0" w:line="240" w:lineRule="auto"/>
      </w:pPr>
      <w:r>
        <w:separator/>
      </w:r>
    </w:p>
  </w:footnote>
  <w:footnote w:type="continuationSeparator" w:id="0">
    <w:p w:rsidR="001D6600" w:rsidRDefault="001D6600" w:rsidP="00BE5DC9">
      <w:pPr>
        <w:spacing w:after="0" w:line="240" w:lineRule="auto"/>
      </w:pPr>
      <w:r>
        <w:continuationSeparator/>
      </w:r>
    </w:p>
  </w:footnote>
  <w:footnote w:id="1">
    <w:p w:rsidR="00B33EE0" w:rsidRPr="00B33EE0" w:rsidRDefault="00B33EE0" w:rsidP="00DF778B">
      <w:pPr>
        <w:spacing w:after="8" w:line="252" w:lineRule="auto"/>
        <w:ind w:left="10" w:right="0" w:hanging="10"/>
        <w:jc w:val="left"/>
        <w:rPr>
          <w:sz w:val="28"/>
          <w:szCs w:val="32"/>
        </w:rPr>
      </w:pPr>
      <w:r w:rsidRPr="00B33EE0">
        <w:rPr>
          <w:rStyle w:val="FootnoteReference"/>
          <w:sz w:val="22"/>
          <w:szCs w:val="24"/>
        </w:rPr>
        <w:footnoteRef/>
      </w:r>
      <w:r w:rsidRPr="00B33EE0">
        <w:rPr>
          <w:sz w:val="22"/>
          <w:szCs w:val="24"/>
        </w:rPr>
        <w:t xml:space="preserve"> </w:t>
      </w:r>
      <w:r>
        <w:rPr>
          <w:sz w:val="22"/>
          <w:szCs w:val="32"/>
        </w:rPr>
        <w:t>R</w:t>
      </w:r>
      <w:r w:rsidRPr="00B33EE0">
        <w:rPr>
          <w:sz w:val="22"/>
          <w:szCs w:val="32"/>
        </w:rPr>
        <w:t xml:space="preserve">eza </w:t>
      </w:r>
      <w:proofErr w:type="spellStart"/>
      <w:r w:rsidRPr="00B33EE0">
        <w:rPr>
          <w:sz w:val="22"/>
          <w:szCs w:val="32"/>
        </w:rPr>
        <w:t>mohammadi</w:t>
      </w:r>
      <w:proofErr w:type="spellEnd"/>
      <w:r w:rsidRPr="00B33EE0">
        <w:rPr>
          <w:sz w:val="24"/>
          <w:szCs w:val="28"/>
        </w:rPr>
        <w:t>,</w:t>
      </w:r>
      <w:bookmarkStart w:id="0" w:name="_GoBack"/>
      <w:bookmarkEnd w:id="0"/>
      <w:r w:rsidRPr="00B33EE0">
        <w:rPr>
          <w:sz w:val="24"/>
          <w:szCs w:val="28"/>
        </w:rPr>
        <w:t xml:space="preserve"> </w:t>
      </w:r>
      <w:r>
        <w:rPr>
          <w:sz w:val="24"/>
          <w:szCs w:val="28"/>
        </w:rPr>
        <w:t>A</w:t>
      </w:r>
      <w:r w:rsidRPr="00B33EE0">
        <w:rPr>
          <w:sz w:val="24"/>
          <w:szCs w:val="28"/>
        </w:rPr>
        <w:t>ccounting group , Kerman Unit , Islamic Azad university, Kerman , Iran</w:t>
      </w:r>
    </w:p>
    <w:p w:rsidR="00B33EE0" w:rsidRPr="00B33EE0" w:rsidRDefault="00B33EE0" w:rsidP="00B33EE0">
      <w:pPr>
        <w:ind w:firstLine="0"/>
        <w:rPr>
          <w:sz w:val="22"/>
          <w:szCs w:val="32"/>
          <w:rtl/>
          <w:lang w:bidi="fa-IR"/>
        </w:rPr>
      </w:pPr>
      <w:r w:rsidRPr="00B33EE0">
        <w:rPr>
          <w:sz w:val="22"/>
          <w:szCs w:val="32"/>
        </w:rPr>
        <w:tab/>
        <w:t>Email:reza.co.us@gmail.com</w:t>
      </w:r>
    </w:p>
    <w:p w:rsidR="00B33EE0" w:rsidRDefault="00B33EE0">
      <w:pPr>
        <w:pStyle w:val="FootnoteText"/>
        <w:rPr>
          <w:rtl/>
          <w:lang w:bidi="fa-IR"/>
        </w:rPr>
      </w:pPr>
    </w:p>
  </w:footnote>
  <w:footnote w:id="2">
    <w:p w:rsidR="00A40DDE" w:rsidRDefault="00A40DDE" w:rsidP="00BE5DC9">
      <w:pPr>
        <w:pStyle w:val="footnotedescription"/>
        <w:spacing w:line="259" w:lineRule="auto"/>
        <w:ind w:right="0"/>
        <w:jc w:val="left"/>
      </w:pPr>
      <w:r>
        <w:rPr>
          <w:rStyle w:val="footnotemark"/>
        </w:rPr>
        <w:footnoteRef/>
      </w:r>
      <w:r>
        <w:t xml:space="preserve"> We use the terms </w:t>
      </w:r>
      <w:proofErr w:type="spellStart"/>
      <w:r>
        <w:rPr>
          <w:rFonts w:ascii="Calibri" w:eastAsia="Calibri" w:hAnsi="Calibri" w:cs="Calibri"/>
        </w:rPr>
        <w:t>B</w:t>
      </w:r>
      <w:r>
        <w:t>earnings</w:t>
      </w:r>
      <w:proofErr w:type="spellEnd"/>
      <w:r>
        <w:rPr>
          <w:rFonts w:ascii="Calibri" w:eastAsia="Calibri" w:hAnsi="Calibri" w:cs="Calibri"/>
        </w:rPr>
        <w:t xml:space="preserve">^ </w:t>
      </w:r>
      <w:r>
        <w:t xml:space="preserve">and </w:t>
      </w:r>
      <w:proofErr w:type="spellStart"/>
      <w:r>
        <w:rPr>
          <w:rFonts w:ascii="Calibri" w:eastAsia="Calibri" w:hAnsi="Calibri" w:cs="Calibri"/>
        </w:rPr>
        <w:t>B</w:t>
      </w:r>
      <w:r>
        <w:t>net</w:t>
      </w:r>
      <w:proofErr w:type="spellEnd"/>
      <w:r>
        <w:t xml:space="preserve"> income</w:t>
      </w:r>
      <w:r>
        <w:rPr>
          <w:rFonts w:ascii="Calibri" w:eastAsia="Calibri" w:hAnsi="Calibri" w:cs="Calibri"/>
        </w:rPr>
        <w:t xml:space="preserve">^ </w:t>
      </w:r>
      <w:r>
        <w:t>interchangeably.</w:t>
      </w:r>
    </w:p>
  </w:footnote>
  <w:footnote w:id="3">
    <w:p w:rsidR="00A40DDE" w:rsidRDefault="00A40DDE" w:rsidP="00BE5DC9">
      <w:pPr>
        <w:pStyle w:val="footnotedescription"/>
        <w:spacing w:line="322" w:lineRule="auto"/>
        <w:ind w:right="0"/>
      </w:pPr>
      <w:r>
        <w:rPr>
          <w:rStyle w:val="footnotemark"/>
        </w:rPr>
        <w:footnoteRef/>
      </w:r>
      <w:r>
        <w:t xml:space="preserve"> Securities held for sale </w:t>
      </w:r>
      <w:proofErr w:type="gramStart"/>
      <w:r>
        <w:t>were measured</w:t>
      </w:r>
      <w:proofErr w:type="gramEnd"/>
      <w:r>
        <w:t xml:space="preserve"> at the lower of cost or market. Held-for-sale securities comprised a small fraction of banks</w:t>
      </w:r>
      <w:r>
        <w:rPr>
          <w:rFonts w:ascii="Calibri" w:eastAsia="Calibri" w:hAnsi="Calibri" w:cs="Calibri"/>
        </w:rPr>
        <w:t xml:space="preserve">’ </w:t>
      </w:r>
      <w:r>
        <w:t>securities.</w:t>
      </w:r>
    </w:p>
  </w:footnote>
  <w:footnote w:id="4">
    <w:p w:rsidR="00A40DDE" w:rsidRDefault="00A40DDE" w:rsidP="00BE5DC9">
      <w:pPr>
        <w:pStyle w:val="footnotedescription"/>
        <w:spacing w:line="277" w:lineRule="auto"/>
      </w:pPr>
      <w:r>
        <w:rPr>
          <w:rStyle w:val="footnotemark"/>
        </w:rPr>
        <w:footnoteRef/>
      </w:r>
      <w:r>
        <w:t xml:space="preserve"> </w:t>
      </w:r>
      <w:proofErr w:type="spellStart"/>
      <w:r>
        <w:t>Untabulated</w:t>
      </w:r>
      <w:proofErr w:type="spellEnd"/>
      <w:r>
        <w:t xml:space="preserve"> statistics based on our sample banks reveal that during this reclassification period, for approximately 80% (69%) of publicly listed (non-listed) banks the increase in AFS securities, as a percentage of total securities, was within 1% of the decrease in HTM securities.</w:t>
      </w:r>
    </w:p>
  </w:footnote>
  <w:footnote w:id="5">
    <w:p w:rsidR="00A40DDE" w:rsidRDefault="00A40DDE" w:rsidP="00BE5DC9">
      <w:pPr>
        <w:pStyle w:val="footnotedescription"/>
        <w:spacing w:line="258" w:lineRule="auto"/>
      </w:pPr>
      <w:r>
        <w:rPr>
          <w:rStyle w:val="footnotemark"/>
        </w:rPr>
        <w:footnoteRef/>
      </w:r>
      <w:r>
        <w:t xml:space="preserve"> The regulatory treatment for unrealized AFS securities gains and losses is the same as for investment securities prior to ASC 320. This treatment was unchanged during our sample period, except that starting in 1998 banks </w:t>
      </w:r>
      <w:proofErr w:type="gramStart"/>
      <w:r>
        <w:t>are permitted, but not required, to include in Tier II capital 45% of unrealized gains on AFS equity securities</w:t>
      </w:r>
      <w:proofErr w:type="gramEnd"/>
      <w:r>
        <w:t xml:space="preserve">. </w:t>
      </w:r>
      <w:proofErr w:type="spellStart"/>
      <w:r>
        <w:t>Untabulated</w:t>
      </w:r>
      <w:proofErr w:type="spellEnd"/>
      <w:r>
        <w:t xml:space="preserve"> statistics based on our sample banks reveal that the percentage of AFS equity securities is small; the median is zero and the 75th percentile is &lt; </w:t>
      </w:r>
      <w:proofErr w:type="gramStart"/>
      <w:r>
        <w:t>1%</w:t>
      </w:r>
      <w:proofErr w:type="gramEnd"/>
      <w:r>
        <w:t>. Under Basel III, which became effective in 2014 after the end of our sample period, accumulated other comprehensive income is included in Tier 1 capital for some banks. Its inclusion is mandatory for banks that use the advanced approach in measuring risk-weighted assets; these typically are large banks, but other banks have a one-time opportunity to opt out of this requirement.</w:t>
      </w:r>
    </w:p>
  </w:footnote>
  <w:footnote w:id="6">
    <w:p w:rsidR="00A40DDE" w:rsidRDefault="00A40DDE" w:rsidP="000956F5">
      <w:pPr>
        <w:pStyle w:val="footnotedescription"/>
        <w:spacing w:line="272" w:lineRule="auto"/>
      </w:pPr>
      <w:r>
        <w:rPr>
          <w:rStyle w:val="footnotemark"/>
        </w:rPr>
        <w:footnoteRef/>
      </w:r>
      <w:r>
        <w:t xml:space="preserve"> Real earnings management involves managing earnings by entering into transactions that </w:t>
      </w:r>
      <w:proofErr w:type="gramStart"/>
      <w:r>
        <w:t>are reflected</w:t>
      </w:r>
      <w:proofErr w:type="gramEnd"/>
      <w:r>
        <w:t xml:space="preserve"> in financial reporting (</w:t>
      </w:r>
      <w:proofErr w:type="spellStart"/>
      <w:r>
        <w:t>Goel</w:t>
      </w:r>
      <w:proofErr w:type="spellEnd"/>
      <w:r>
        <w:t xml:space="preserve"> and </w:t>
      </w:r>
      <w:proofErr w:type="spellStart"/>
      <w:r>
        <w:t>Thakor</w:t>
      </w:r>
      <w:proofErr w:type="spellEnd"/>
      <w:r>
        <w:t xml:space="preserve"> </w:t>
      </w:r>
      <w:r>
        <w:rPr>
          <w:color w:val="392A97"/>
        </w:rPr>
        <w:t>2003</w:t>
      </w:r>
      <w:r>
        <w:t>). Graham et al. (</w:t>
      </w:r>
      <w:r>
        <w:rPr>
          <w:color w:val="392A97"/>
        </w:rPr>
        <w:t>2005</w:t>
      </w:r>
      <w:r>
        <w:t xml:space="preserve">) reports results of a survey of chief financial officers that indicate real earnings management is more prevalent than accruals-based earnings management. </w:t>
      </w:r>
      <w:proofErr w:type="gramStart"/>
      <w:r>
        <w:rPr>
          <w:vertAlign w:val="superscript"/>
        </w:rPr>
        <w:t>6</w:t>
      </w:r>
      <w:proofErr w:type="gramEnd"/>
      <w:r>
        <w:rPr>
          <w:vertAlign w:val="superscript"/>
        </w:rPr>
        <w:t xml:space="preserve"> </w:t>
      </w:r>
      <w:proofErr w:type="spellStart"/>
      <w:r>
        <w:t>Untabulated</w:t>
      </w:r>
      <w:proofErr w:type="spellEnd"/>
      <w:r>
        <w:t xml:space="preserve"> statistics reveal that, on average, banks classify 86% of non-trading securities as AFS, which represents 17% of total assets. Although trading securities represents 15% of total assets for the ten largest bank holding companies, it represents less than 0.06% for other banks; only 3% sample banks have trading securities.</w:t>
      </w:r>
    </w:p>
  </w:footnote>
  <w:footnote w:id="7">
    <w:p w:rsidR="00A40DDE" w:rsidRDefault="00A40DDE" w:rsidP="000956F5">
      <w:pPr>
        <w:pStyle w:val="footnotedescription"/>
        <w:spacing w:line="262" w:lineRule="auto"/>
      </w:pPr>
      <w:r>
        <w:rPr>
          <w:rStyle w:val="footnotemark"/>
        </w:rPr>
        <w:footnoteRef/>
      </w:r>
      <w:r>
        <w:t xml:space="preserve"> Dong et al. (</w:t>
      </w:r>
      <w:r>
        <w:rPr>
          <w:color w:val="392A97"/>
        </w:rPr>
        <w:t>2014</w:t>
      </w:r>
      <w:r>
        <w:t>) examines the equity pricing implications of realized AFS securities gains and losses for listed banks by estimating the relation between the gains and losses and next quarter</w:t>
      </w:r>
      <w:r>
        <w:rPr>
          <w:rFonts w:ascii="Calibri" w:eastAsia="Calibri" w:hAnsi="Calibri" w:cs="Calibri"/>
        </w:rPr>
        <w:t>’</w:t>
      </w:r>
      <w:r>
        <w:t>s earnings. The study finds that the gains and losses help predict earnings, but does not consider implications of earnings management for predictive ability.</w:t>
      </w:r>
    </w:p>
  </w:footnote>
  <w:footnote w:id="8">
    <w:p w:rsidR="00A40DDE" w:rsidRDefault="00A40DDE" w:rsidP="000956F5">
      <w:pPr>
        <w:pStyle w:val="footnotedescription"/>
        <w:spacing w:line="259" w:lineRule="auto"/>
        <w:ind w:right="0"/>
        <w:jc w:val="left"/>
      </w:pPr>
      <w:r>
        <w:rPr>
          <w:rStyle w:val="footnotemark"/>
        </w:rPr>
        <w:footnoteRef/>
      </w:r>
      <w:r>
        <w:t xml:space="preserve"> Several studies investigate whether banks use the loan loss provision to smooth earnings. See Wall and Koch (</w:t>
      </w:r>
      <w:r>
        <w:rPr>
          <w:color w:val="392A97"/>
        </w:rPr>
        <w:t>2000</w:t>
      </w:r>
      <w:r>
        <w:t xml:space="preserve">) for a summary of this literature. More recently, </w:t>
      </w:r>
      <w:proofErr w:type="spellStart"/>
      <w:r>
        <w:t>Kilic</w:t>
      </w:r>
      <w:proofErr w:type="spellEnd"/>
      <w:r>
        <w:t xml:space="preserve"> et al. (</w:t>
      </w:r>
      <w:r>
        <w:rPr>
          <w:color w:val="392A97"/>
        </w:rPr>
        <w:t>2013</w:t>
      </w:r>
      <w:r>
        <w:t>) finds that adoption of SFAS 133, which reduces banks</w:t>
      </w:r>
      <w:r>
        <w:rPr>
          <w:rFonts w:ascii="Calibri" w:eastAsia="Calibri" w:hAnsi="Calibri" w:cs="Calibri"/>
        </w:rPr>
        <w:t xml:space="preserve">’ </w:t>
      </w:r>
      <w:r>
        <w:t xml:space="preserve">ability to use derivatives to smooth earnings, is associated with increased use of the loan loss provision to smooth earnings. Some studies find that banks use the loan loss provision to manage regulatory capital (Moyer </w:t>
      </w:r>
      <w:r>
        <w:rPr>
          <w:color w:val="392A97"/>
        </w:rPr>
        <w:t>1990</w:t>
      </w:r>
      <w:r>
        <w:t xml:space="preserve">; Beatty et al. </w:t>
      </w:r>
      <w:r>
        <w:rPr>
          <w:color w:val="392A97"/>
        </w:rPr>
        <w:t>1995</w:t>
      </w:r>
      <w:r>
        <w:t xml:space="preserve">; Ahmed et al. </w:t>
      </w:r>
      <w:r>
        <w:rPr>
          <w:color w:val="392A97"/>
        </w:rPr>
        <w:t>1999</w:t>
      </w:r>
      <w:r>
        <w:t xml:space="preserve">; Pérez et al. </w:t>
      </w:r>
      <w:r>
        <w:rPr>
          <w:color w:val="392A97"/>
        </w:rPr>
        <w:t>2008</w:t>
      </w:r>
      <w:r>
        <w:t>). Other studies find that banks use gains on asset securitizations to manage earnings (</w:t>
      </w:r>
      <w:proofErr w:type="spellStart"/>
      <w:r>
        <w:t>Karaoglu</w:t>
      </w:r>
      <w:proofErr w:type="spellEnd"/>
      <w:r>
        <w:t xml:space="preserve"> </w:t>
      </w:r>
      <w:r>
        <w:rPr>
          <w:color w:val="392A97"/>
        </w:rPr>
        <w:t>2005</w:t>
      </w:r>
      <w:r>
        <w:t xml:space="preserve">; </w:t>
      </w:r>
      <w:proofErr w:type="spellStart"/>
      <w:r>
        <w:t>Dechow</w:t>
      </w:r>
      <w:proofErr w:type="spellEnd"/>
      <w:r>
        <w:t xml:space="preserve"> and Shakespeare </w:t>
      </w:r>
      <w:r>
        <w:rPr>
          <w:color w:val="392A97"/>
        </w:rPr>
        <w:t>2009</w:t>
      </w:r>
      <w:r>
        <w:t xml:space="preserve">; </w:t>
      </w:r>
      <w:proofErr w:type="spellStart"/>
      <w:r>
        <w:t>Dechow</w:t>
      </w:r>
      <w:proofErr w:type="spellEnd"/>
      <w:r>
        <w:t xml:space="preserve"> et al. </w:t>
      </w:r>
      <w:r>
        <w:rPr>
          <w:color w:val="392A97"/>
        </w:rPr>
        <w:t>2010b</w:t>
      </w:r>
      <w:r>
        <w:t xml:space="preserve">). Section </w:t>
      </w:r>
      <w:r>
        <w:rPr>
          <w:color w:val="392A97"/>
        </w:rPr>
        <w:t xml:space="preserve">5.5.1 </w:t>
      </w:r>
      <w:r>
        <w:t>considers whether simultaneous use of the loan loss provision and securitization gains to manage earnings and regulatory capital affects our inferences.</w:t>
      </w:r>
    </w:p>
  </w:footnote>
  <w:footnote w:id="9">
    <w:p w:rsidR="00A40DDE" w:rsidRDefault="00A40DDE" w:rsidP="000956F5">
      <w:pPr>
        <w:pStyle w:val="footnotedescription"/>
        <w:spacing w:line="261" w:lineRule="auto"/>
      </w:pPr>
      <w:r>
        <w:rPr>
          <w:rStyle w:val="footnotemark"/>
        </w:rPr>
        <w:footnoteRef/>
      </w:r>
      <w:r>
        <w:t xml:space="preserve"> The research design details in </w:t>
      </w:r>
      <w:proofErr w:type="spellStart"/>
      <w:r>
        <w:t>Lifschutz</w:t>
      </w:r>
      <w:proofErr w:type="spellEnd"/>
      <w:r>
        <w:t xml:space="preserve"> (</w:t>
      </w:r>
      <w:r>
        <w:rPr>
          <w:color w:val="392A97"/>
        </w:rPr>
        <w:t>2002</w:t>
      </w:r>
      <w:r>
        <w:t>) are insufficient to replicate that study</w:t>
      </w:r>
      <w:r>
        <w:rPr>
          <w:rFonts w:ascii="Calibri" w:eastAsia="Calibri" w:hAnsi="Calibri" w:cs="Calibri"/>
        </w:rPr>
        <w:t>’</w:t>
      </w:r>
      <w:r>
        <w:t xml:space="preserve">s analysis. For example, </w:t>
      </w:r>
      <w:proofErr w:type="spellStart"/>
      <w:r>
        <w:t>Lifschutz</w:t>
      </w:r>
      <w:proofErr w:type="spellEnd"/>
      <w:r>
        <w:t xml:space="preserve"> (</w:t>
      </w:r>
      <w:r>
        <w:rPr>
          <w:color w:val="392A97"/>
        </w:rPr>
        <w:t>2002</w:t>
      </w:r>
      <w:r>
        <w:t xml:space="preserve">) defines return on assets as </w:t>
      </w:r>
      <w:proofErr w:type="spellStart"/>
      <w:r>
        <w:rPr>
          <w:rFonts w:ascii="Calibri" w:eastAsia="Calibri" w:hAnsi="Calibri" w:cs="Calibri"/>
        </w:rPr>
        <w:t>B</w:t>
      </w:r>
      <w:r>
        <w:t>profitability</w:t>
      </w:r>
      <w:proofErr w:type="spellEnd"/>
      <w:r>
        <w:t xml:space="preserve"> to assets of income before tax and before net gains</w:t>
      </w:r>
      <w:proofErr w:type="gramStart"/>
      <w:r>
        <w:t>.</w:t>
      </w:r>
      <w:r>
        <w:rPr>
          <w:rFonts w:ascii="Calibri" w:eastAsia="Calibri" w:hAnsi="Calibri" w:cs="Calibri"/>
        </w:rPr>
        <w:t>^</w:t>
      </w:r>
      <w:proofErr w:type="gramEnd"/>
      <w:r>
        <w:rPr>
          <w:rFonts w:ascii="Calibri" w:eastAsia="Calibri" w:hAnsi="Calibri" w:cs="Calibri"/>
        </w:rPr>
        <w:t xml:space="preserve"> </w:t>
      </w:r>
      <w:r>
        <w:t xml:space="preserve">We assume income is net income before taxes and realized AFS securities gains and losses, which is the definition we use, and assets is end-of-quarter total assets. We follow </w:t>
      </w:r>
      <w:proofErr w:type="spellStart"/>
      <w:r>
        <w:t>Lifschutz</w:t>
      </w:r>
      <w:r>
        <w:rPr>
          <w:rFonts w:ascii="Calibri" w:eastAsia="Calibri" w:hAnsi="Calibri" w:cs="Calibri"/>
        </w:rPr>
        <w:t>’</w:t>
      </w:r>
      <w:r>
        <w:t>s</w:t>
      </w:r>
      <w:proofErr w:type="spellEnd"/>
      <w:r>
        <w:t xml:space="preserve"> (</w:t>
      </w:r>
      <w:r>
        <w:rPr>
          <w:color w:val="392A97"/>
        </w:rPr>
        <w:t>2002</w:t>
      </w:r>
      <w:r>
        <w:t xml:space="preserve">) sample </w:t>
      </w:r>
      <w:proofErr w:type="gramStart"/>
      <w:r>
        <w:t>construction</w:t>
      </w:r>
      <w:proofErr w:type="gramEnd"/>
      <w:r>
        <w:t xml:space="preserve"> as we understand it, except that we retain banks without complete data for all 16 quarters; doing so is necessary to replicate the significant negative coefficients on the performance measures. Our procedures result in 1471 observations for 117 banks and a t-statistic associated with return on assets (equity) of </w:t>
      </w:r>
      <w:r>
        <w:rPr>
          <w:rFonts w:ascii="Calibri" w:eastAsia="Calibri" w:hAnsi="Calibri" w:cs="Calibri"/>
        </w:rPr>
        <w:t>−</w:t>
      </w:r>
      <w:r>
        <w:t>1.91 (</w:t>
      </w:r>
      <w:r>
        <w:rPr>
          <w:rFonts w:ascii="Calibri" w:eastAsia="Calibri" w:hAnsi="Calibri" w:cs="Calibri"/>
        </w:rPr>
        <w:t>−</w:t>
      </w:r>
      <w:r>
        <w:t xml:space="preserve">2.30), which would support the conclusion in </w:t>
      </w:r>
      <w:proofErr w:type="spellStart"/>
      <w:r>
        <w:t>Lifschutz</w:t>
      </w:r>
      <w:proofErr w:type="spellEnd"/>
      <w:r>
        <w:t xml:space="preserve"> (</w:t>
      </w:r>
      <w:r>
        <w:rPr>
          <w:color w:val="392A97"/>
        </w:rPr>
        <w:t>2002</w:t>
      </w:r>
      <w:r>
        <w:t xml:space="preserve">). However, clustering residual standard errors by bank and year-quarter when constructing t-statistics reveals an insignificant relation; the t-statistic for the return on assets (equity) coefficient is </w:t>
      </w:r>
      <w:r>
        <w:rPr>
          <w:rFonts w:ascii="Calibri" w:eastAsia="Calibri" w:hAnsi="Calibri" w:cs="Calibri"/>
        </w:rPr>
        <w:t>−</w:t>
      </w:r>
      <w:r>
        <w:t>0.75 (</w:t>
      </w:r>
      <w:r>
        <w:rPr>
          <w:rFonts w:ascii="Calibri" w:eastAsia="Calibri" w:hAnsi="Calibri" w:cs="Calibri"/>
        </w:rPr>
        <w:t>−</w:t>
      </w:r>
      <w:r>
        <w:t xml:space="preserve">0.95). Including bank fixed effects in the estimation equation reveals either a significant positive relation or an insignificant relation, depending on whether we also double-cluster residual standard errors. The t-statistic for the return on assets (equity) coefficient is 2.93 (1.73) without also double-clustering standard errors, and 1.58 (1.02) with double-clustered standard errors. None of these statistics </w:t>
      </w:r>
      <w:proofErr w:type="gramStart"/>
      <w:r>
        <w:t>support</w:t>
      </w:r>
      <w:proofErr w:type="gramEnd"/>
      <w:r>
        <w:t xml:space="preserve"> the conclusions in </w:t>
      </w:r>
      <w:proofErr w:type="spellStart"/>
      <w:r>
        <w:t>Lifschutz</w:t>
      </w:r>
      <w:proofErr w:type="spellEnd"/>
      <w:r>
        <w:t xml:space="preserve"> (</w:t>
      </w:r>
      <w:r>
        <w:rPr>
          <w:color w:val="392A97"/>
        </w:rPr>
        <w:t>2002</w:t>
      </w:r>
      <w:r>
        <w:t>).</w:t>
      </w:r>
    </w:p>
  </w:footnote>
  <w:footnote w:id="10">
    <w:p w:rsidR="00A40DDE" w:rsidRDefault="00A40DDE" w:rsidP="000956F5">
      <w:pPr>
        <w:pStyle w:val="footnotedescription"/>
        <w:spacing w:line="259" w:lineRule="auto"/>
        <w:ind w:right="0"/>
        <w:jc w:val="left"/>
      </w:pPr>
      <w:r>
        <w:rPr>
          <w:rStyle w:val="footnotemark"/>
        </w:rPr>
        <w:footnoteRef/>
      </w:r>
      <w:r>
        <w:t xml:space="preserve"> Few bank-quarter observations have regulatory capital below the required minimum. See footnote 13. Thus, the incentive to avoid violating minimum regulatory capital requirements largely is not present in our sample.</w:t>
      </w:r>
    </w:p>
  </w:footnote>
  <w:footnote w:id="11">
    <w:p w:rsidR="00A40DDE" w:rsidRDefault="00A40DDE" w:rsidP="000956F5">
      <w:pPr>
        <w:pStyle w:val="footnotedescription"/>
        <w:spacing w:line="259" w:lineRule="auto"/>
        <w:ind w:right="0"/>
        <w:jc w:val="left"/>
      </w:pPr>
      <w:r>
        <w:rPr>
          <w:rStyle w:val="footnotemark"/>
        </w:rPr>
        <w:footnoteRef/>
      </w:r>
      <w:r>
        <w:t xml:space="preserve"> Scholes et al. (</w:t>
      </w:r>
      <w:r>
        <w:rPr>
          <w:color w:val="392A97"/>
        </w:rPr>
        <w:t xml:space="preserve">1990 </w:t>
      </w:r>
      <w:r>
        <w:t>SWW) also finds a significant negative relation between realized securities gains and losses and the loan loss provision. Although SWW interprets this finding as meaning banks use realized securities gains and losses to smooth earnings by offsetting the earnings effect of the loan loss provision, SWW does not provide evidence directly supporting this interpretation.</w:t>
      </w:r>
    </w:p>
  </w:footnote>
  <w:footnote w:id="12">
    <w:p w:rsidR="00A40DDE" w:rsidRDefault="00A40DDE" w:rsidP="007A7C36">
      <w:pPr>
        <w:pStyle w:val="footnotedescription"/>
        <w:spacing w:line="266" w:lineRule="auto"/>
        <w:ind w:right="0"/>
      </w:pPr>
      <w:r>
        <w:rPr>
          <w:rStyle w:val="footnotemark"/>
        </w:rPr>
        <w:footnoteRef/>
      </w:r>
      <w:r>
        <w:t xml:space="preserve"> For ease of exposition, we use the same notation for coefficients and error terms in each equation. </w:t>
      </w:r>
      <w:r>
        <w:rPr>
          <w:vertAlign w:val="superscript"/>
        </w:rPr>
        <w:t xml:space="preserve">13 </w:t>
      </w:r>
      <w:r>
        <w:t xml:space="preserve">We use the lowest decile because only 1012 observations relating to 300 banks, of 136,879 observations for 6300 banks, have regulatory capital before </w:t>
      </w:r>
      <w:r>
        <w:rPr>
          <w:rFonts w:ascii="Calibri" w:eastAsia="Calibri" w:hAnsi="Calibri" w:cs="Calibri"/>
        </w:rPr>
        <w:t xml:space="preserve">RGL </w:t>
      </w:r>
      <w:r>
        <w:t xml:space="preserve">and after taxes, </w:t>
      </w:r>
      <w:proofErr w:type="spellStart"/>
      <w:r>
        <w:rPr>
          <w:rFonts w:ascii="Calibri" w:eastAsia="Calibri" w:hAnsi="Calibri" w:cs="Calibri"/>
        </w:rPr>
        <w:t>RegCap</w:t>
      </w:r>
      <w:proofErr w:type="spellEnd"/>
      <w:r>
        <w:t>, less than the required level of 8%. Because violating regulatory capital is a serious matter for banks, most maintain a buffer above the required minimum, which is unobservable (</w:t>
      </w:r>
      <w:proofErr w:type="spellStart"/>
      <w:r>
        <w:t>Amel-Zadeh</w:t>
      </w:r>
      <w:proofErr w:type="spellEnd"/>
      <w:r>
        <w:t xml:space="preserve"> et al. </w:t>
      </w:r>
      <w:r>
        <w:rPr>
          <w:color w:val="392A97"/>
        </w:rPr>
        <w:t>2017</w:t>
      </w:r>
      <w:r>
        <w:t xml:space="preserve">). Thus, what level to use is an empirical </w:t>
      </w:r>
      <w:proofErr w:type="gramStart"/>
      <w:r>
        <w:t>matter.</w:t>
      </w:r>
      <w:proofErr w:type="gramEnd"/>
      <w:r>
        <w:t xml:space="preserve"> </w:t>
      </w:r>
      <w:proofErr w:type="spellStart"/>
      <w:r>
        <w:t>Untabulated</w:t>
      </w:r>
      <w:proofErr w:type="spellEnd"/>
      <w:r>
        <w:t xml:space="preserve"> statistics reveal that mean </w:t>
      </w:r>
      <w:proofErr w:type="spellStart"/>
      <w:r>
        <w:rPr>
          <w:rFonts w:ascii="Calibri" w:eastAsia="Calibri" w:hAnsi="Calibri" w:cs="Calibri"/>
        </w:rPr>
        <w:t>RegCap</w:t>
      </w:r>
      <w:proofErr w:type="spellEnd"/>
      <w:r>
        <w:rPr>
          <w:rFonts w:ascii="Calibri" w:eastAsia="Calibri" w:hAnsi="Calibri" w:cs="Calibri"/>
        </w:rPr>
        <w:t xml:space="preserve"> </w:t>
      </w:r>
      <w:r>
        <w:t xml:space="preserve">in the lowest decile, i.e., those observations for which </w:t>
      </w:r>
      <w:proofErr w:type="spellStart"/>
      <w:r>
        <w:rPr>
          <w:rFonts w:ascii="Calibri" w:eastAsia="Calibri" w:hAnsi="Calibri" w:cs="Calibri"/>
        </w:rPr>
        <w:t>RegCapLow</w:t>
      </w:r>
      <w:proofErr w:type="spellEnd"/>
      <w:r>
        <w:rPr>
          <w:rFonts w:ascii="Calibri" w:eastAsia="Calibri" w:hAnsi="Calibri" w:cs="Calibri"/>
        </w:rPr>
        <w:t xml:space="preserve"> </w:t>
      </w:r>
      <w:r>
        <w:t xml:space="preserve">equals one, is 10%, whereas the mean in the highest decile is 45%, which largely is attributable to some banks holding assets with low risk weights. </w:t>
      </w:r>
      <w:proofErr w:type="spellStart"/>
      <w:r>
        <w:t>Untabulated</w:t>
      </w:r>
      <w:proofErr w:type="spellEnd"/>
      <w:r>
        <w:t xml:space="preserve"> findings also reveal that using the lowest two or lowest five deciles reveals inferences consistent with those revealed by the tabulated results. However, the significance levels are somewhat lower for the tabulated results, which supports the empirical validity of using the lowest decile.</w:t>
      </w:r>
    </w:p>
  </w:footnote>
  <w:footnote w:id="13">
    <w:p w:rsidR="00A40DDE" w:rsidRDefault="00A40DDE" w:rsidP="007A7C36">
      <w:pPr>
        <w:pStyle w:val="footnotedescription"/>
        <w:spacing w:after="16" w:line="265" w:lineRule="auto"/>
        <w:ind w:right="2"/>
      </w:pPr>
      <w:r>
        <w:rPr>
          <w:rStyle w:val="footnotemark"/>
        </w:rPr>
        <w:footnoteRef/>
      </w:r>
      <w:r>
        <w:t xml:space="preserve"> In </w:t>
      </w:r>
      <w:proofErr w:type="spellStart"/>
      <w:r>
        <w:t>untabulated</w:t>
      </w:r>
      <w:proofErr w:type="spellEnd"/>
      <w:r>
        <w:t xml:space="preserve"> </w:t>
      </w:r>
      <w:proofErr w:type="gramStart"/>
      <w:r>
        <w:t>analyses</w:t>
      </w:r>
      <w:proofErr w:type="gramEnd"/>
      <w:r>
        <w:t xml:space="preserve"> we alternately include, in all specifications, four proxies for growth</w:t>
      </w:r>
      <w:r>
        <w:rPr>
          <w:rFonts w:ascii="Calibri" w:eastAsia="Calibri" w:hAnsi="Calibri" w:cs="Calibri"/>
        </w:rPr>
        <w:t>—</w:t>
      </w:r>
      <w:r>
        <w:t>changes in total interest income and total assets between the current quarter and one and four quarters prior. We do not include these variables in the tabulated findings because their construction results in a loss in sample size.</w:t>
      </w:r>
    </w:p>
  </w:footnote>
  <w:footnote w:id="14">
    <w:p w:rsidR="00A40DDE" w:rsidRDefault="00A40DDE" w:rsidP="007A7C36">
      <w:pPr>
        <w:pStyle w:val="footnotedescription"/>
        <w:spacing w:line="250" w:lineRule="auto"/>
        <w:ind w:right="0"/>
      </w:pPr>
      <w:r>
        <w:rPr>
          <w:rStyle w:val="footnotemark"/>
        </w:rPr>
        <w:footnoteRef/>
      </w:r>
      <w:r>
        <w:t xml:space="preserve"> We define </w:t>
      </w:r>
      <w:proofErr w:type="spellStart"/>
      <w:r>
        <w:rPr>
          <w:rFonts w:ascii="Calibri" w:eastAsia="Calibri" w:hAnsi="Calibri" w:cs="Calibri"/>
        </w:rPr>
        <w:t>B</w:t>
      </w:r>
      <w:r>
        <w:t>big</w:t>
      </w:r>
      <w:proofErr w:type="spellEnd"/>
      <w:r>
        <w:t xml:space="preserve"> bath</w:t>
      </w:r>
      <w:r>
        <w:rPr>
          <w:rFonts w:ascii="Calibri" w:eastAsia="Calibri" w:hAnsi="Calibri" w:cs="Calibri"/>
        </w:rPr>
        <w:t xml:space="preserve">^ </w:t>
      </w:r>
      <w:r>
        <w:t xml:space="preserve">earnings management as banks with more negative earnings before realized AFS securities gains and losses realizing more losses or fewer gains. We do not define </w:t>
      </w:r>
      <w:proofErr w:type="gramStart"/>
      <w:r>
        <w:t>it</w:t>
      </w:r>
      <w:proofErr w:type="gramEnd"/>
      <w:r>
        <w:t xml:space="preserve"> as only realizing more losses, as is common in the accruals-based earnings management literature, because realizing AFS securities gains and losses to manage earnings is a type of real earnings management with direct cash flow implications. Negative accruals recognized to achieve big bath earnings management reverse in future periods, which is not the case for realized securities losses. Rather, we expect banks with negative earnings that sell AFS securities to select securities with unrealized losses or with smaller unrealized gains, thereby enhancing their ability to realize larger gains in future periods.</w:t>
      </w:r>
    </w:p>
  </w:footnote>
  <w:footnote w:id="15">
    <w:p w:rsidR="00A40DDE" w:rsidRDefault="00A40DDE" w:rsidP="007A7C36">
      <w:pPr>
        <w:pStyle w:val="footnotedescription"/>
      </w:pPr>
      <w:r>
        <w:rPr>
          <w:rStyle w:val="footnotemark"/>
        </w:rPr>
        <w:footnoteRef/>
      </w:r>
      <w:r>
        <w:t xml:space="preserve"> We do not include </w:t>
      </w:r>
      <w:r>
        <w:rPr>
          <w:rFonts w:ascii="Calibri" w:eastAsia="Calibri" w:hAnsi="Calibri" w:cs="Calibri"/>
        </w:rPr>
        <w:t>NIpos×UG</w:t>
      </w:r>
      <w:r>
        <w:rPr>
          <w:rFonts w:ascii="Calibri" w:eastAsia="Calibri" w:hAnsi="Calibri" w:cs="Calibri"/>
          <w:vertAlign w:val="subscript"/>
        </w:rPr>
        <w:t>t−</w:t>
      </w:r>
      <w:r>
        <w:rPr>
          <w:vertAlign w:val="subscript"/>
        </w:rPr>
        <w:t xml:space="preserve">1 </w:t>
      </w:r>
      <w:r>
        <w:t xml:space="preserve">and </w:t>
      </w:r>
      <w:r>
        <w:rPr>
          <w:rFonts w:ascii="Calibri" w:eastAsia="Calibri" w:hAnsi="Calibri" w:cs="Calibri"/>
        </w:rPr>
        <w:t>RegCapLow×UL</w:t>
      </w:r>
      <w:r>
        <w:rPr>
          <w:rFonts w:ascii="Calibri" w:eastAsia="Calibri" w:hAnsi="Calibri" w:cs="Calibri"/>
          <w:vertAlign w:val="subscript"/>
        </w:rPr>
        <w:t>t−</w:t>
      </w:r>
      <w:r>
        <w:rPr>
          <w:vertAlign w:val="subscript"/>
        </w:rPr>
        <w:t xml:space="preserve">1 </w:t>
      </w:r>
      <w:r>
        <w:t>in Eq. (</w:t>
      </w:r>
      <w:r>
        <w:rPr>
          <w:color w:val="392A97"/>
        </w:rPr>
        <w:t>2</w:t>
      </w:r>
      <w:r>
        <w:t xml:space="preserve">) because we have no predictions for the signs of their coefficients. </w:t>
      </w:r>
      <w:proofErr w:type="spellStart"/>
      <w:r>
        <w:t>Untabulated</w:t>
      </w:r>
      <w:proofErr w:type="spellEnd"/>
      <w:r>
        <w:t xml:space="preserve"> findings reveal that including these variables does not affect our inferences. The only difference is that the </w:t>
      </w:r>
      <w:proofErr w:type="spellStart"/>
      <w:r>
        <w:rPr>
          <w:rFonts w:ascii="Calibri" w:eastAsia="Calibri" w:hAnsi="Calibri" w:cs="Calibri"/>
        </w:rPr>
        <w:t>RegCapLow</w:t>
      </w:r>
      <w:proofErr w:type="spellEnd"/>
      <w:r>
        <w:rPr>
          <w:rFonts w:ascii="Calibri" w:eastAsia="Calibri" w:hAnsi="Calibri" w:cs="Calibri"/>
        </w:rPr>
        <w:t xml:space="preserve"> </w:t>
      </w:r>
      <w:r>
        <w:t>coefficient has the predicted sign (t-stat. = 1.34).</w:t>
      </w:r>
    </w:p>
  </w:footnote>
  <w:footnote w:id="16">
    <w:p w:rsidR="00A40DDE" w:rsidRDefault="00A40DDE" w:rsidP="007A7C36">
      <w:pPr>
        <w:pStyle w:val="footnotedescription"/>
        <w:spacing w:line="271" w:lineRule="auto"/>
      </w:pPr>
      <w:r>
        <w:rPr>
          <w:rStyle w:val="footnotemark"/>
        </w:rPr>
        <w:footnoteRef/>
      </w:r>
      <w:r>
        <w:t xml:space="preserve"> All commercial banks file regulatory reports. Bank holding companies control, directly or indirectly, one or more commercial banks. A bank holding company can control another bank holding company, which controls commercial banks. The top holder is the entity that tops the control chain, which could be a commercial bank. </w:t>
      </w:r>
      <w:proofErr w:type="gramStart"/>
      <w:r>
        <w:rPr>
          <w:vertAlign w:val="superscript"/>
        </w:rPr>
        <w:t>18</w:t>
      </w:r>
      <w:proofErr w:type="gramEnd"/>
      <w:r>
        <w:rPr>
          <w:vertAlign w:val="superscript"/>
        </w:rPr>
        <w:t xml:space="preserve"> </w:t>
      </w:r>
      <w:r>
        <w:t xml:space="preserve">ASC 320 required the classification of securities into trading, available for sale, and held to maturity beginning in 1994. </w:t>
      </w:r>
      <w:proofErr w:type="spellStart"/>
      <w:r>
        <w:t>Untabulated</w:t>
      </w:r>
      <w:proofErr w:type="spellEnd"/>
      <w:r>
        <w:t xml:space="preserve"> findings reveal that beginning the sample in 1994 does not affect our inferences.</w:t>
      </w:r>
    </w:p>
  </w:footnote>
  <w:footnote w:id="17">
    <w:p w:rsidR="00A40DDE" w:rsidRDefault="00A40DDE" w:rsidP="007A7C36">
      <w:pPr>
        <w:pStyle w:val="footnotedescription"/>
        <w:spacing w:line="274" w:lineRule="auto"/>
      </w:pPr>
      <w:r>
        <w:rPr>
          <w:rStyle w:val="footnotemark"/>
        </w:rPr>
        <w:footnoteRef/>
      </w:r>
      <w:r>
        <w:t xml:space="preserve"> The sum of 728 and 5862 exceeds 6300 because 290 banks changed status during the sample period. </w:t>
      </w:r>
      <w:r>
        <w:rPr>
          <w:vertAlign w:val="superscript"/>
        </w:rPr>
        <w:t xml:space="preserve">20 </w:t>
      </w:r>
      <w:r>
        <w:t xml:space="preserve">Realized gains and losses on AFS securities, </w:t>
      </w:r>
      <w:r>
        <w:rPr>
          <w:rFonts w:ascii="Calibri" w:eastAsia="Calibri" w:hAnsi="Calibri" w:cs="Calibri"/>
        </w:rPr>
        <w:t>RGL</w:t>
      </w:r>
      <w:r>
        <w:t xml:space="preserve">, comprises gains and losses realized by sale or other disposal of the securities and losses arising from other than temporary impairment (OTTI) of the securities. The timing and amount of sales or other disposals are discretionary, and those of OTTI require application of management judgement. Thus, both </w:t>
      </w:r>
      <w:proofErr w:type="gramStart"/>
      <w:r>
        <w:t>can be used</w:t>
      </w:r>
      <w:proofErr w:type="gramEnd"/>
      <w:r>
        <w:t xml:space="preserve"> to manage earnings.</w:t>
      </w:r>
    </w:p>
  </w:footnote>
  <w:footnote w:id="18">
    <w:p w:rsidR="00A40DDE" w:rsidRDefault="00A40DDE" w:rsidP="007A7C36">
      <w:pPr>
        <w:pStyle w:val="footnotedescription"/>
        <w:spacing w:line="266" w:lineRule="auto"/>
      </w:pPr>
      <w:r>
        <w:rPr>
          <w:rStyle w:val="footnotemark"/>
        </w:rPr>
        <w:footnoteRef/>
      </w:r>
      <w:r>
        <w:t xml:space="preserve"> Beginning in 2009, listed banks must disclose gross unrealized gains and losses on AFS securities in Form 10-Q. Although some listed banks disclosed the amounts before this date, the disclosures are not available for non-listed banks or throughout our sample period. To assess the validity of </w:t>
      </w:r>
      <w:r>
        <w:rPr>
          <w:rFonts w:ascii="Calibri" w:eastAsia="Calibri" w:hAnsi="Calibri" w:cs="Calibri"/>
        </w:rPr>
        <w:t xml:space="preserve">UG </w:t>
      </w:r>
      <w:r>
        <w:t xml:space="preserve">and </w:t>
      </w:r>
      <w:r>
        <w:rPr>
          <w:rFonts w:ascii="Calibri" w:eastAsia="Calibri" w:hAnsi="Calibri" w:cs="Calibri"/>
        </w:rPr>
        <w:t xml:space="preserve">UL </w:t>
      </w:r>
      <w:r>
        <w:t xml:space="preserve">in capturing gross unrealized gains and losses, we hand-collected the gross amounts for 4071 bank-quarter observations for 461 banks from 2005 to 2011. </w:t>
      </w:r>
      <w:proofErr w:type="spellStart"/>
      <w:r>
        <w:t>Untabulated</w:t>
      </w:r>
      <w:proofErr w:type="spellEnd"/>
      <w:r>
        <w:t xml:space="preserve"> statistics reveal that the median ratio of gross unrealized gains (losses) on AFS securities to </w:t>
      </w:r>
      <w:r>
        <w:rPr>
          <w:rFonts w:ascii="Calibri" w:eastAsia="Calibri" w:hAnsi="Calibri" w:cs="Calibri"/>
        </w:rPr>
        <w:t xml:space="preserve">UG </w:t>
      </w:r>
      <w:r>
        <w:t>(</w:t>
      </w:r>
      <w:r>
        <w:rPr>
          <w:rFonts w:ascii="Calibri" w:eastAsia="Calibri" w:hAnsi="Calibri" w:cs="Calibri"/>
        </w:rPr>
        <w:t>UL</w:t>
      </w:r>
      <w:r>
        <w:t xml:space="preserve">) is 1.23 (1.18), which indicates that </w:t>
      </w:r>
      <w:r>
        <w:rPr>
          <w:rFonts w:ascii="Calibri" w:eastAsia="Calibri" w:hAnsi="Calibri" w:cs="Calibri"/>
        </w:rPr>
        <w:t xml:space="preserve">UG </w:t>
      </w:r>
      <w:r>
        <w:t>(</w:t>
      </w:r>
      <w:r>
        <w:rPr>
          <w:rFonts w:ascii="Calibri" w:eastAsia="Calibri" w:hAnsi="Calibri" w:cs="Calibri"/>
        </w:rPr>
        <w:t>UL</w:t>
      </w:r>
      <w:r>
        <w:t xml:space="preserve">) understates the gross amounts by 23% (18%). However, </w:t>
      </w:r>
      <w:proofErr w:type="spellStart"/>
      <w:r>
        <w:t>untabulated</w:t>
      </w:r>
      <w:proofErr w:type="spellEnd"/>
      <w:r>
        <w:t xml:space="preserve"> findings from estimating Eq. (</w:t>
      </w:r>
      <w:r>
        <w:rPr>
          <w:color w:val="392A97"/>
        </w:rPr>
        <w:t>2</w:t>
      </w:r>
      <w:r>
        <w:t xml:space="preserve">) using the hand-collected data when available, and </w:t>
      </w:r>
      <w:r>
        <w:rPr>
          <w:rFonts w:ascii="Calibri" w:eastAsia="Calibri" w:hAnsi="Calibri" w:cs="Calibri"/>
        </w:rPr>
        <w:t xml:space="preserve">UG </w:t>
      </w:r>
      <w:r>
        <w:t xml:space="preserve">and </w:t>
      </w:r>
      <w:r>
        <w:rPr>
          <w:rFonts w:ascii="Calibri" w:eastAsia="Calibri" w:hAnsi="Calibri" w:cs="Calibri"/>
        </w:rPr>
        <w:t xml:space="preserve">UL </w:t>
      </w:r>
      <w:r>
        <w:t>otherwise, reveal the same inferences as those revealed by the tabulated findings.</w:t>
      </w:r>
    </w:p>
  </w:footnote>
  <w:footnote w:id="19">
    <w:p w:rsidR="00A40DDE" w:rsidRDefault="00A40DDE" w:rsidP="007A7C36">
      <w:pPr>
        <w:pStyle w:val="footnotedescription"/>
        <w:spacing w:after="7" w:line="274" w:lineRule="auto"/>
        <w:ind w:right="0"/>
      </w:pPr>
      <w:r>
        <w:rPr>
          <w:rStyle w:val="footnotemark"/>
        </w:rPr>
        <w:footnoteRef/>
      </w:r>
      <w:r>
        <w:t xml:space="preserve"> We use the term </w:t>
      </w:r>
      <w:proofErr w:type="spellStart"/>
      <w:r>
        <w:rPr>
          <w:rFonts w:ascii="Calibri" w:eastAsia="Calibri" w:hAnsi="Calibri" w:cs="Calibri"/>
        </w:rPr>
        <w:t>B</w:t>
      </w:r>
      <w:r>
        <w:t>significant</w:t>
      </w:r>
      <w:proofErr w:type="spellEnd"/>
      <w:r>
        <w:rPr>
          <w:rFonts w:ascii="Calibri" w:eastAsia="Calibri" w:hAnsi="Calibri" w:cs="Calibri"/>
        </w:rPr>
        <w:t xml:space="preserve">^ </w:t>
      </w:r>
      <w:r>
        <w:t>to denote statistical significance at the 5% level based on a one-sided test when we have a signed prediction and a two-sided test otherwise.</w:t>
      </w:r>
    </w:p>
  </w:footnote>
  <w:footnote w:id="20">
    <w:p w:rsidR="00A40DDE" w:rsidRDefault="00A40DDE" w:rsidP="007A7C36">
      <w:pPr>
        <w:pStyle w:val="footnotedescription"/>
        <w:spacing w:line="274" w:lineRule="auto"/>
      </w:pPr>
      <w:r>
        <w:rPr>
          <w:rStyle w:val="footnotemark"/>
        </w:rPr>
        <w:footnoteRef/>
      </w:r>
      <w:r>
        <w:t xml:space="preserve"> Prior research (e.g., Scholes et al. </w:t>
      </w:r>
      <w:r>
        <w:rPr>
          <w:color w:val="392A97"/>
        </w:rPr>
        <w:t>1990</w:t>
      </w:r>
      <w:r>
        <w:t>) considers tax incentives for banks to realize securities gains and losses. Beatty and Harris (</w:t>
      </w:r>
      <w:r>
        <w:rPr>
          <w:color w:val="392A97"/>
        </w:rPr>
        <w:t>1998</w:t>
      </w:r>
      <w:r>
        <w:t>) includes in its equation analogous to Eq. (</w:t>
      </w:r>
      <w:r>
        <w:rPr>
          <w:color w:val="392A97"/>
        </w:rPr>
        <w:t>1</w:t>
      </w:r>
      <w:r>
        <w:t>) an indicator variable that equals one if the bank reports positive tax expense before the tax on realized securities gains, and zero otherwise. This variable is not available during our sample period. Instead, we re-estimate Eq. (</w:t>
      </w:r>
      <w:r>
        <w:rPr>
          <w:color w:val="392A97"/>
        </w:rPr>
        <w:t>1</w:t>
      </w:r>
      <w:r>
        <w:t xml:space="preserve">) including an alternative tax indicator variable that equals one if the bank has positive tax expense, and zero otherwise. </w:t>
      </w:r>
      <w:proofErr w:type="spellStart"/>
      <w:r>
        <w:t>Untabulated</w:t>
      </w:r>
      <w:proofErr w:type="spellEnd"/>
      <w:r>
        <w:t xml:space="preserve"> findings reveal that its inclusion yields inferences consistent with those we obtain from Eq. (</w:t>
      </w:r>
      <w:r>
        <w:rPr>
          <w:color w:val="392A97"/>
        </w:rPr>
        <w:t>1</w:t>
      </w:r>
      <w:r>
        <w:t xml:space="preserve">). The </w:t>
      </w:r>
      <w:proofErr w:type="spellStart"/>
      <w:r>
        <w:t>tstatistics</w:t>
      </w:r>
      <w:proofErr w:type="spellEnd"/>
      <w:r>
        <w:t xml:space="preserve"> associated with the </w:t>
      </w:r>
      <w:proofErr w:type="spellStart"/>
      <w:r>
        <w:t>untabulated</w:t>
      </w:r>
      <w:proofErr w:type="spellEnd"/>
      <w:r>
        <w:t xml:space="preserve"> </w:t>
      </w:r>
      <w:r>
        <w:rPr>
          <w:rFonts w:ascii="Calibri" w:eastAsia="Calibri" w:hAnsi="Calibri" w:cs="Calibri"/>
        </w:rPr>
        <w:t>NI</w:t>
      </w:r>
      <w:r>
        <w:t xml:space="preserve">, </w:t>
      </w:r>
      <w:proofErr w:type="spellStart"/>
      <w:r>
        <w:rPr>
          <w:rFonts w:ascii="Calibri" w:eastAsia="Calibri" w:hAnsi="Calibri" w:cs="Calibri"/>
        </w:rPr>
        <w:t>RegCapLow</w:t>
      </w:r>
      <w:proofErr w:type="spellEnd"/>
      <w:r>
        <w:t xml:space="preserve">, and </w:t>
      </w:r>
      <w:proofErr w:type="spellStart"/>
      <w:r>
        <w:rPr>
          <w:rFonts w:ascii="Calibri" w:eastAsia="Calibri" w:hAnsi="Calibri" w:cs="Calibri"/>
        </w:rPr>
        <w:t>NI×RegCapLow</w:t>
      </w:r>
      <w:proofErr w:type="spellEnd"/>
      <w:r>
        <w:rPr>
          <w:rFonts w:ascii="Calibri" w:eastAsia="Calibri" w:hAnsi="Calibri" w:cs="Calibri"/>
        </w:rPr>
        <w:t xml:space="preserve"> </w:t>
      </w:r>
      <w:r>
        <w:t xml:space="preserve">coefficients are </w:t>
      </w:r>
      <w:r>
        <w:rPr>
          <w:rFonts w:ascii="Calibri" w:eastAsia="Calibri" w:hAnsi="Calibri" w:cs="Calibri"/>
        </w:rPr>
        <w:t>−</w:t>
      </w:r>
      <w:r>
        <w:t xml:space="preserve">5.37, 1.36, and </w:t>
      </w:r>
      <w:r>
        <w:rPr>
          <w:rFonts w:ascii="Calibri" w:eastAsia="Calibri" w:hAnsi="Calibri" w:cs="Calibri"/>
        </w:rPr>
        <w:t>−</w:t>
      </w:r>
      <w:r>
        <w:t>0.18.</w:t>
      </w:r>
    </w:p>
  </w:footnote>
  <w:footnote w:id="21">
    <w:p w:rsidR="00A40DDE" w:rsidRDefault="00A40DDE" w:rsidP="007A7C36">
      <w:pPr>
        <w:pStyle w:val="footnotedescription"/>
        <w:spacing w:line="259" w:lineRule="auto"/>
        <w:ind w:right="0"/>
        <w:jc w:val="left"/>
      </w:pPr>
      <w:r>
        <w:rPr>
          <w:rStyle w:val="footnotemark"/>
        </w:rPr>
        <w:footnoteRef/>
      </w:r>
      <w:r>
        <w:t xml:space="preserve"> Section </w:t>
      </w:r>
      <w:r>
        <w:rPr>
          <w:color w:val="392A97"/>
        </w:rPr>
        <w:t xml:space="preserve">5.5.3 </w:t>
      </w:r>
      <w:r>
        <w:t xml:space="preserve">reports findings from additional analyses that indicate this unpredicted sign is attributable to assuming all </w:t>
      </w:r>
      <w:proofErr w:type="spellStart"/>
      <w:r>
        <w:rPr>
          <w:rFonts w:ascii="Calibri" w:eastAsia="Calibri" w:hAnsi="Calibri" w:cs="Calibri"/>
        </w:rPr>
        <w:t>NIpos</w:t>
      </w:r>
      <w:proofErr w:type="spellEnd"/>
      <w:r>
        <w:rPr>
          <w:rFonts w:ascii="Calibri" w:eastAsia="Calibri" w:hAnsi="Calibri" w:cs="Calibri"/>
        </w:rPr>
        <w:t xml:space="preserve"> </w:t>
      </w:r>
      <w:r>
        <w:t>banks have the same incentives for earnings management, namely to smooth earnings, whereas some might have earnings management benchmarks other than zero earnings.</w:t>
      </w:r>
    </w:p>
  </w:footnote>
  <w:footnote w:id="22">
    <w:p w:rsidR="00A40DDE" w:rsidRDefault="00A40DDE" w:rsidP="007A7C36">
      <w:pPr>
        <w:pStyle w:val="footnotedescription"/>
        <w:spacing w:line="274" w:lineRule="auto"/>
        <w:ind w:right="0"/>
      </w:pPr>
      <w:r>
        <w:rPr>
          <w:rStyle w:val="footnotemark"/>
        </w:rPr>
        <w:footnoteRef/>
      </w:r>
      <w:r>
        <w:t xml:space="preserve"> As footnote 4 explains, 45% of unrealized gains and losses on equity AFS securities affect regulatory capital. Although this reduces banks</w:t>
      </w:r>
      <w:r>
        <w:rPr>
          <w:rFonts w:ascii="Calibri" w:eastAsia="Calibri" w:hAnsi="Calibri" w:cs="Calibri"/>
        </w:rPr>
        <w:t xml:space="preserve">’ </w:t>
      </w:r>
      <w:r>
        <w:t xml:space="preserve">ability to affect regulatory capital by realizing gains and losses on AFS securities, equity securities comprise a small proportion of AFS securities for our sample. Nonetheless, we </w:t>
      </w:r>
      <w:proofErr w:type="spellStart"/>
      <w:r>
        <w:t>reestimated</w:t>
      </w:r>
      <w:proofErr w:type="spellEnd"/>
      <w:r>
        <w:t xml:space="preserve"> the five specifications of </w:t>
      </w:r>
      <w:proofErr w:type="spellStart"/>
      <w:r>
        <w:t>Eqs</w:t>
      </w:r>
      <w:proofErr w:type="spellEnd"/>
      <w:r>
        <w:t>. (</w:t>
      </w:r>
      <w:r>
        <w:rPr>
          <w:color w:val="392A97"/>
        </w:rPr>
        <w:t>1</w:t>
      </w:r>
      <w:r>
        <w:t>) and (</w:t>
      </w:r>
      <w:r>
        <w:rPr>
          <w:color w:val="392A97"/>
        </w:rPr>
        <w:t>2</w:t>
      </w:r>
      <w:r>
        <w:t xml:space="preserve">) in Tables </w:t>
      </w:r>
      <w:r>
        <w:rPr>
          <w:color w:val="392A97"/>
        </w:rPr>
        <w:t xml:space="preserve">2 </w:t>
      </w:r>
      <w:r>
        <w:t xml:space="preserve">and </w:t>
      </w:r>
      <w:r>
        <w:rPr>
          <w:color w:val="392A97"/>
        </w:rPr>
        <w:t xml:space="preserve">3 </w:t>
      </w:r>
      <w:r>
        <w:t xml:space="preserve">including an indicator variable, </w:t>
      </w:r>
      <w:r>
        <w:rPr>
          <w:rFonts w:ascii="Calibri" w:eastAsia="Calibri" w:hAnsi="Calibri" w:cs="Calibri"/>
        </w:rPr>
        <w:t>Q5</w:t>
      </w:r>
      <w:r>
        <w:t>, which equals one if the bank</w:t>
      </w:r>
      <w:r>
        <w:rPr>
          <w:rFonts w:ascii="Calibri" w:eastAsia="Calibri" w:hAnsi="Calibri" w:cs="Calibri"/>
        </w:rPr>
        <w:t>’</w:t>
      </w:r>
      <w:r>
        <w:t xml:space="preserve">s ratio of AFS equity securities to total AFS securities is in the highest quintile across banks in quarter </w:t>
      </w:r>
      <w:r>
        <w:rPr>
          <w:rFonts w:ascii="Calibri" w:eastAsia="Calibri" w:hAnsi="Calibri" w:cs="Calibri"/>
        </w:rPr>
        <w:t xml:space="preserve">t </w:t>
      </w:r>
      <w:r>
        <w:t xml:space="preserve">and zero otherwise, and </w:t>
      </w:r>
      <w:r>
        <w:rPr>
          <w:rFonts w:ascii="Calibri" w:eastAsia="Calibri" w:hAnsi="Calibri" w:cs="Calibri"/>
        </w:rPr>
        <w:t xml:space="preserve">Q5 </w:t>
      </w:r>
      <w:r>
        <w:t xml:space="preserve">interacted with </w:t>
      </w:r>
      <w:proofErr w:type="spellStart"/>
      <w:r>
        <w:rPr>
          <w:rFonts w:ascii="Calibri" w:eastAsia="Calibri" w:hAnsi="Calibri" w:cs="Calibri"/>
        </w:rPr>
        <w:t>RegCapLow</w:t>
      </w:r>
      <w:proofErr w:type="spellEnd"/>
      <w:r>
        <w:t xml:space="preserve">, </w:t>
      </w:r>
      <w:r>
        <w:rPr>
          <w:rFonts w:ascii="Calibri" w:eastAsia="Calibri" w:hAnsi="Calibri" w:cs="Calibri"/>
        </w:rPr>
        <w:t>RegCapLow</w:t>
      </w:r>
      <w:r>
        <w:t>×</w:t>
      </w:r>
      <w:r>
        <w:rPr>
          <w:rFonts w:ascii="Calibri" w:eastAsia="Calibri" w:hAnsi="Calibri" w:cs="Calibri"/>
        </w:rPr>
        <w:t>Q5</w:t>
      </w:r>
      <w:r>
        <w:t xml:space="preserve">. Consistent with banks with low regulatory capital and more AFS equity securities realizing fewer gains, but also with the estimations lacking power, </w:t>
      </w:r>
      <w:proofErr w:type="spellStart"/>
      <w:r>
        <w:t>untabulated</w:t>
      </w:r>
      <w:proofErr w:type="spellEnd"/>
      <w:r>
        <w:t xml:space="preserve"> statistics reveal that the </w:t>
      </w:r>
      <w:r>
        <w:rPr>
          <w:rFonts w:ascii="Calibri" w:eastAsia="Calibri" w:hAnsi="Calibri" w:cs="Calibri"/>
        </w:rPr>
        <w:t>RegCapLow</w:t>
      </w:r>
      <w:r>
        <w:t>×</w:t>
      </w:r>
      <w:r>
        <w:rPr>
          <w:rFonts w:ascii="Calibri" w:eastAsia="Calibri" w:hAnsi="Calibri" w:cs="Calibri"/>
        </w:rPr>
        <w:t xml:space="preserve">Q5 </w:t>
      </w:r>
      <w:r>
        <w:t xml:space="preserve">coefficients are negative, but not significantly so, in all five specifications (t-statistics range from </w:t>
      </w:r>
      <w:r>
        <w:rPr>
          <w:rFonts w:ascii="Calibri" w:eastAsia="Calibri" w:hAnsi="Calibri" w:cs="Calibri"/>
        </w:rPr>
        <w:t>−</w:t>
      </w:r>
      <w:r>
        <w:t xml:space="preserve">0.71 to </w:t>
      </w:r>
      <w:r>
        <w:rPr>
          <w:rFonts w:ascii="Calibri" w:eastAsia="Calibri" w:hAnsi="Calibri" w:cs="Calibri"/>
        </w:rPr>
        <w:t>−</w:t>
      </w:r>
      <w:r>
        <w:t xml:space="preserve">1.51). The </w:t>
      </w:r>
      <w:proofErr w:type="spellStart"/>
      <w:r>
        <w:t>untabulated</w:t>
      </w:r>
      <w:proofErr w:type="spellEnd"/>
      <w:r>
        <w:t xml:space="preserve"> statistics reveal the same inferences regarding </w:t>
      </w:r>
      <w:proofErr w:type="spellStart"/>
      <w:r>
        <w:rPr>
          <w:rFonts w:ascii="Calibri" w:eastAsia="Calibri" w:hAnsi="Calibri" w:cs="Calibri"/>
        </w:rPr>
        <w:t>RegCapLow</w:t>
      </w:r>
      <w:proofErr w:type="spellEnd"/>
      <w:r>
        <w:rPr>
          <w:rFonts w:ascii="Calibri" w:eastAsia="Calibri" w:hAnsi="Calibri" w:cs="Calibri"/>
        </w:rPr>
        <w:t xml:space="preserve"> </w:t>
      </w:r>
      <w:r>
        <w:t xml:space="preserve">as those based on Tables </w:t>
      </w:r>
      <w:r>
        <w:rPr>
          <w:color w:val="392A97"/>
        </w:rPr>
        <w:t xml:space="preserve">2 </w:t>
      </w:r>
      <w:r>
        <w:t xml:space="preserve">and </w:t>
      </w:r>
      <w:r>
        <w:rPr>
          <w:color w:val="392A97"/>
        </w:rPr>
        <w:t>3</w:t>
      </w:r>
      <w:r>
        <w:t xml:space="preserve">; the t-statistics are 1.96 and 1.88 in the Table </w:t>
      </w:r>
      <w:r>
        <w:rPr>
          <w:color w:val="392A97"/>
        </w:rPr>
        <w:t xml:space="preserve">2 </w:t>
      </w:r>
      <w:r>
        <w:t xml:space="preserve">specifications and 2.51, 1.48, and </w:t>
      </w:r>
      <w:r>
        <w:rPr>
          <w:rFonts w:ascii="Calibri" w:eastAsia="Calibri" w:hAnsi="Calibri" w:cs="Calibri"/>
        </w:rPr>
        <w:t>−</w:t>
      </w:r>
      <w:r>
        <w:t xml:space="preserve">1.66 in the Table </w:t>
      </w:r>
      <w:r>
        <w:rPr>
          <w:color w:val="392A97"/>
        </w:rPr>
        <w:t xml:space="preserve">3 </w:t>
      </w:r>
      <w:r>
        <w:t>specifications.</w:t>
      </w:r>
    </w:p>
  </w:footnote>
  <w:footnote w:id="23">
    <w:p w:rsidR="00A40DDE" w:rsidRDefault="00A40DDE" w:rsidP="007A7C36">
      <w:pPr>
        <w:pStyle w:val="footnotedescription"/>
        <w:spacing w:line="310" w:lineRule="auto"/>
        <w:ind w:right="0"/>
      </w:pPr>
      <w:r>
        <w:rPr>
          <w:rStyle w:val="footnotemark"/>
        </w:rPr>
        <w:footnoteRef/>
      </w:r>
      <w:r>
        <w:t xml:space="preserve"> </w:t>
      </w:r>
      <w:proofErr w:type="spellStart"/>
      <w:r>
        <w:t>Untabulated</w:t>
      </w:r>
      <w:proofErr w:type="spellEnd"/>
      <w:r>
        <w:t xml:space="preserve"> findings based on a specification that permits all coefficients to differ for loss avoiders reveal the same inferences as the findings in panel C.</w:t>
      </w:r>
    </w:p>
  </w:footnote>
  <w:footnote w:id="24">
    <w:p w:rsidR="00A40DDE" w:rsidRDefault="00A40DDE" w:rsidP="007A7C36">
      <w:pPr>
        <w:pStyle w:val="footnotedescription"/>
      </w:pPr>
      <w:r>
        <w:rPr>
          <w:rStyle w:val="footnotemark"/>
        </w:rPr>
        <w:footnoteRef/>
      </w:r>
      <w:r>
        <w:t xml:space="preserve"> </w:t>
      </w:r>
      <w:proofErr w:type="spellStart"/>
      <w:r>
        <w:t>Untabulated</w:t>
      </w:r>
      <w:proofErr w:type="spellEnd"/>
      <w:r>
        <w:t xml:space="preserve"> statistics from estimations of the two versions of Eq. (</w:t>
      </w:r>
      <w:r>
        <w:rPr>
          <w:color w:val="392A97"/>
        </w:rPr>
        <w:t>1</w:t>
      </w:r>
      <w:r>
        <w:t xml:space="preserve">) but permitting only the </w:t>
      </w:r>
      <w:r>
        <w:rPr>
          <w:rFonts w:ascii="Calibri" w:eastAsia="Calibri" w:hAnsi="Calibri" w:cs="Calibri"/>
        </w:rPr>
        <w:t>NI</w:t>
      </w:r>
      <w:r>
        <w:t xml:space="preserve">, </w:t>
      </w:r>
      <w:proofErr w:type="spellStart"/>
      <w:r>
        <w:rPr>
          <w:rFonts w:ascii="Calibri" w:eastAsia="Calibri" w:hAnsi="Calibri" w:cs="Calibri"/>
        </w:rPr>
        <w:t>RegCapLow</w:t>
      </w:r>
      <w:proofErr w:type="spellEnd"/>
      <w:r>
        <w:t xml:space="preserve">, and </w:t>
      </w:r>
      <w:proofErr w:type="spellStart"/>
      <w:r>
        <w:rPr>
          <w:rFonts w:ascii="Calibri" w:eastAsia="Calibri" w:hAnsi="Calibri" w:cs="Calibri"/>
        </w:rPr>
        <w:t>NI×RegCapLow</w:t>
      </w:r>
      <w:proofErr w:type="spellEnd"/>
      <w:r>
        <w:rPr>
          <w:rFonts w:ascii="Calibri" w:eastAsia="Calibri" w:hAnsi="Calibri" w:cs="Calibri"/>
        </w:rPr>
        <w:t xml:space="preserve"> </w:t>
      </w:r>
      <w:r>
        <w:t xml:space="preserve">coefficients to vary for listed banks reveal inferences identical to those from the estimation that permits all coefficients to vary. The t-statistics are 0.26 and 0.10 (1.30 and 0.86) for the incremental </w:t>
      </w:r>
      <w:r>
        <w:rPr>
          <w:rFonts w:ascii="Calibri" w:eastAsia="Calibri" w:hAnsi="Calibri" w:cs="Calibri"/>
        </w:rPr>
        <w:t xml:space="preserve">NI </w:t>
      </w:r>
      <w:r>
        <w:t>(</w:t>
      </w:r>
      <w:proofErr w:type="spellStart"/>
      <w:r>
        <w:rPr>
          <w:rFonts w:ascii="Calibri" w:eastAsia="Calibri" w:hAnsi="Calibri" w:cs="Calibri"/>
        </w:rPr>
        <w:t>RegCapLow</w:t>
      </w:r>
      <w:proofErr w:type="spellEnd"/>
      <w:r>
        <w:t xml:space="preserve">) coefficients for listed </w:t>
      </w:r>
      <w:proofErr w:type="gramStart"/>
      <w:r>
        <w:t>banks;</w:t>
      </w:r>
      <w:proofErr w:type="gramEnd"/>
      <w:r>
        <w:t xml:space="preserve"> the t-statistic for the incremental </w:t>
      </w:r>
      <w:proofErr w:type="spellStart"/>
      <w:r>
        <w:rPr>
          <w:rFonts w:ascii="Calibri" w:eastAsia="Calibri" w:hAnsi="Calibri" w:cs="Calibri"/>
        </w:rPr>
        <w:t>NI×RegCapLow</w:t>
      </w:r>
      <w:proofErr w:type="spellEnd"/>
      <w:r>
        <w:rPr>
          <w:rFonts w:ascii="Calibri" w:eastAsia="Calibri" w:hAnsi="Calibri" w:cs="Calibri"/>
        </w:rPr>
        <w:t xml:space="preserve"> </w:t>
      </w:r>
      <w:r>
        <w:t>coefficient is 0.30.</w:t>
      </w:r>
    </w:p>
  </w:footnote>
  <w:footnote w:id="25">
    <w:p w:rsidR="00A40DDE" w:rsidRDefault="00A40DDE" w:rsidP="007A7C36">
      <w:pPr>
        <w:pStyle w:val="footnotedescription"/>
        <w:spacing w:line="259" w:lineRule="auto"/>
        <w:ind w:right="0"/>
        <w:jc w:val="left"/>
      </w:pPr>
      <w:r>
        <w:rPr>
          <w:rStyle w:val="footnotemark"/>
        </w:rPr>
        <w:footnoteRef/>
      </w:r>
      <w:r>
        <w:t xml:space="preserve"> </w:t>
      </w:r>
      <w:proofErr w:type="spellStart"/>
      <w:r>
        <w:t>Untabulated</w:t>
      </w:r>
      <w:proofErr w:type="spellEnd"/>
      <w:r>
        <w:t xml:space="preserve"> statistics from estimations permitting only the </w:t>
      </w:r>
      <w:proofErr w:type="spellStart"/>
      <w:r>
        <w:rPr>
          <w:rFonts w:ascii="Calibri" w:eastAsia="Calibri" w:hAnsi="Calibri" w:cs="Calibri"/>
        </w:rPr>
        <w:t>NIneg</w:t>
      </w:r>
      <w:proofErr w:type="spellEnd"/>
      <w:r>
        <w:t xml:space="preserve">, </w:t>
      </w:r>
      <w:proofErr w:type="spellStart"/>
      <w:r>
        <w:rPr>
          <w:rFonts w:ascii="Calibri" w:eastAsia="Calibri" w:hAnsi="Calibri" w:cs="Calibri"/>
        </w:rPr>
        <w:t>NIpos</w:t>
      </w:r>
      <w:proofErr w:type="spellEnd"/>
      <w:r>
        <w:t xml:space="preserve">, </w:t>
      </w:r>
      <w:proofErr w:type="spellStart"/>
      <w:r>
        <w:rPr>
          <w:rFonts w:ascii="Calibri" w:eastAsia="Calibri" w:hAnsi="Calibri" w:cs="Calibri"/>
        </w:rPr>
        <w:t>RegCapLow</w:t>
      </w:r>
      <w:proofErr w:type="spellEnd"/>
      <w:r>
        <w:t xml:space="preserve">, and </w:t>
      </w:r>
      <w:proofErr w:type="spellStart"/>
      <w:r>
        <w:rPr>
          <w:rFonts w:ascii="Calibri" w:eastAsia="Calibri" w:hAnsi="Calibri" w:cs="Calibri"/>
        </w:rPr>
        <w:t>NI×RegCapLow</w:t>
      </w:r>
      <w:proofErr w:type="spellEnd"/>
      <w:r>
        <w:rPr>
          <w:rFonts w:ascii="Calibri" w:eastAsia="Calibri" w:hAnsi="Calibri" w:cs="Calibri"/>
        </w:rPr>
        <w:t xml:space="preserve"> </w:t>
      </w:r>
      <w:r>
        <w:t>coefficients to vary for listed banks reveal the same inferences as the estimation that permits all coefficients to vary.</w:t>
      </w:r>
    </w:p>
  </w:footnote>
  <w:footnote w:id="26">
    <w:p w:rsidR="00A40DDE" w:rsidRDefault="00A40DDE" w:rsidP="007A7C36">
      <w:pPr>
        <w:pStyle w:val="footnotedescription"/>
        <w:spacing w:line="272" w:lineRule="auto"/>
      </w:pPr>
      <w:r>
        <w:rPr>
          <w:rStyle w:val="footnotemark"/>
        </w:rPr>
        <w:footnoteRef/>
      </w:r>
      <w:r>
        <w:t xml:space="preserve"> In the first stage, we estimate versions of </w:t>
      </w:r>
      <w:proofErr w:type="spellStart"/>
      <w:r>
        <w:t>Eqs</w:t>
      </w:r>
      <w:proofErr w:type="spellEnd"/>
      <w:r>
        <w:t>. (</w:t>
      </w:r>
      <w:r>
        <w:rPr>
          <w:color w:val="392A97"/>
        </w:rPr>
        <w:t>3a</w:t>
      </w:r>
      <w:r>
        <w:t>) through (</w:t>
      </w:r>
      <w:r>
        <w:rPr>
          <w:color w:val="392A97"/>
        </w:rPr>
        <w:t>3d</w:t>
      </w:r>
      <w:r>
        <w:t xml:space="preserve">) that include all of the explanatory variables in the system, except for </w:t>
      </w:r>
      <w:r>
        <w:rPr>
          <w:rFonts w:ascii="Calibri" w:eastAsia="Calibri" w:hAnsi="Calibri" w:cs="Calibri"/>
        </w:rPr>
        <w:t>RGL</w:t>
      </w:r>
      <w:r>
        <w:t xml:space="preserve">, </w:t>
      </w:r>
      <w:r>
        <w:rPr>
          <w:rFonts w:ascii="Calibri" w:eastAsia="Calibri" w:hAnsi="Calibri" w:cs="Calibri"/>
        </w:rPr>
        <w:t>LLP</w:t>
      </w:r>
      <w:r>
        <w:t xml:space="preserve">, </w:t>
      </w:r>
      <w:r>
        <w:rPr>
          <w:rFonts w:ascii="Calibri" w:eastAsia="Calibri" w:hAnsi="Calibri" w:cs="Calibri"/>
        </w:rPr>
        <w:t>SG</w:t>
      </w:r>
      <w:r>
        <w:t xml:space="preserve">, and </w:t>
      </w:r>
      <w:proofErr w:type="spellStart"/>
      <w:r>
        <w:rPr>
          <w:rFonts w:ascii="Calibri" w:eastAsia="Calibri" w:hAnsi="Calibri" w:cs="Calibri"/>
        </w:rPr>
        <w:t>ΔEqFin</w:t>
      </w:r>
      <w:proofErr w:type="spellEnd"/>
      <w:r>
        <w:t xml:space="preserve">. In the second stage, we estimate </w:t>
      </w:r>
      <w:proofErr w:type="spellStart"/>
      <w:r>
        <w:t>Eqs</w:t>
      </w:r>
      <w:proofErr w:type="spellEnd"/>
      <w:r>
        <w:t>. (</w:t>
      </w:r>
      <w:r>
        <w:rPr>
          <w:color w:val="392A97"/>
        </w:rPr>
        <w:t>3a</w:t>
      </w:r>
      <w:r>
        <w:t>) through (</w:t>
      </w:r>
      <w:r>
        <w:rPr>
          <w:color w:val="392A97"/>
        </w:rPr>
        <w:t>3d</w:t>
      </w:r>
      <w:r>
        <w:t xml:space="preserve">) replacing </w:t>
      </w:r>
      <w:r>
        <w:rPr>
          <w:rFonts w:ascii="Calibri" w:eastAsia="Calibri" w:hAnsi="Calibri" w:cs="Calibri"/>
        </w:rPr>
        <w:t>RGL</w:t>
      </w:r>
      <w:r>
        <w:t xml:space="preserve">, </w:t>
      </w:r>
      <w:r>
        <w:rPr>
          <w:rFonts w:ascii="Calibri" w:eastAsia="Calibri" w:hAnsi="Calibri" w:cs="Calibri"/>
        </w:rPr>
        <w:t>LLP</w:t>
      </w:r>
      <w:r>
        <w:t xml:space="preserve">, </w:t>
      </w:r>
      <w:r>
        <w:rPr>
          <w:rFonts w:ascii="Calibri" w:eastAsia="Calibri" w:hAnsi="Calibri" w:cs="Calibri"/>
        </w:rPr>
        <w:t>SG</w:t>
      </w:r>
      <w:r>
        <w:t xml:space="preserve">, and </w:t>
      </w:r>
      <w:proofErr w:type="spellStart"/>
      <w:r>
        <w:rPr>
          <w:rFonts w:ascii="Calibri" w:eastAsia="Calibri" w:hAnsi="Calibri" w:cs="Calibri"/>
        </w:rPr>
        <w:t>ΔEqFin</w:t>
      </w:r>
      <w:proofErr w:type="spellEnd"/>
      <w:r>
        <w:rPr>
          <w:rFonts w:ascii="Calibri" w:eastAsia="Calibri" w:hAnsi="Calibri" w:cs="Calibri"/>
        </w:rPr>
        <w:t xml:space="preserve"> </w:t>
      </w:r>
      <w:r>
        <w:t>as explanatory variables with their predicted amounts from the first stage.</w:t>
      </w:r>
    </w:p>
  </w:footnote>
  <w:footnote w:id="27">
    <w:p w:rsidR="00A40DDE" w:rsidRDefault="00A40DDE" w:rsidP="009C459B">
      <w:pPr>
        <w:pStyle w:val="footnotedescription"/>
        <w:spacing w:line="283" w:lineRule="auto"/>
        <w:ind w:right="2"/>
      </w:pPr>
      <w:r>
        <w:rPr>
          <w:rStyle w:val="footnotemark"/>
        </w:rPr>
        <w:footnoteRef/>
      </w:r>
      <w:r>
        <w:t xml:space="preserve"> We do not use analyst earnings forecasts because analyst forecasts are not available for many banks, particularly non-listed ones. We do not use the 8% required regulatory capital ratio because, as footnote 13 explains, few observations have regulatory capital before </w:t>
      </w:r>
      <w:r>
        <w:rPr>
          <w:rFonts w:ascii="Calibri" w:eastAsia="Calibri" w:hAnsi="Calibri" w:cs="Calibri"/>
        </w:rPr>
        <w:t xml:space="preserve">RGL </w:t>
      </w:r>
      <w:r>
        <w:t>and taxes less than 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B1A" w:rsidRDefault="002E4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B1A" w:rsidRDefault="002E4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B1A" w:rsidRDefault="002E4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862D1"/>
    <w:multiLevelType w:val="hybridMultilevel"/>
    <w:tmpl w:val="90488E96"/>
    <w:lvl w:ilvl="0" w:tplc="78FCC0B8">
      <w:start w:val="1"/>
      <w:numFmt w:val="decimal"/>
      <w:pStyle w:val="Heading1"/>
      <w:lvlText w:val="%1"/>
      <w:lvlJc w:val="left"/>
      <w:pPr>
        <w:ind w:left="0"/>
      </w:pPr>
      <w:rPr>
        <w:rFonts w:ascii="Times New Roman" w:eastAsia="Times New Roman" w:hAnsi="Times New Roman" w:cs="Times New Roman"/>
        <w:b w:val="0"/>
        <w:i w:val="0"/>
        <w:strike w:val="0"/>
        <w:dstrike w:val="0"/>
        <w:color w:val="131313"/>
        <w:sz w:val="22"/>
        <w:szCs w:val="22"/>
        <w:u w:val="none" w:color="000000"/>
        <w:bdr w:val="none" w:sz="0" w:space="0" w:color="auto"/>
        <w:shd w:val="clear" w:color="auto" w:fill="auto"/>
        <w:vertAlign w:val="baseline"/>
      </w:rPr>
    </w:lvl>
    <w:lvl w:ilvl="1" w:tplc="DFF2E918">
      <w:start w:val="1"/>
      <w:numFmt w:val="lowerLetter"/>
      <w:lvlText w:val="%2"/>
      <w:lvlJc w:val="left"/>
      <w:pPr>
        <w:ind w:left="1080"/>
      </w:pPr>
      <w:rPr>
        <w:rFonts w:ascii="Times New Roman" w:eastAsia="Times New Roman" w:hAnsi="Times New Roman" w:cs="Times New Roman"/>
        <w:b w:val="0"/>
        <w:i w:val="0"/>
        <w:strike w:val="0"/>
        <w:dstrike w:val="0"/>
        <w:color w:val="131313"/>
        <w:sz w:val="22"/>
        <w:szCs w:val="22"/>
        <w:u w:val="none" w:color="000000"/>
        <w:bdr w:val="none" w:sz="0" w:space="0" w:color="auto"/>
        <w:shd w:val="clear" w:color="auto" w:fill="auto"/>
        <w:vertAlign w:val="baseline"/>
      </w:rPr>
    </w:lvl>
    <w:lvl w:ilvl="2" w:tplc="E6B668F0">
      <w:start w:val="1"/>
      <w:numFmt w:val="lowerRoman"/>
      <w:lvlText w:val="%3"/>
      <w:lvlJc w:val="left"/>
      <w:pPr>
        <w:ind w:left="1800"/>
      </w:pPr>
      <w:rPr>
        <w:rFonts w:ascii="Times New Roman" w:eastAsia="Times New Roman" w:hAnsi="Times New Roman" w:cs="Times New Roman"/>
        <w:b w:val="0"/>
        <w:i w:val="0"/>
        <w:strike w:val="0"/>
        <w:dstrike w:val="0"/>
        <w:color w:val="131313"/>
        <w:sz w:val="22"/>
        <w:szCs w:val="22"/>
        <w:u w:val="none" w:color="000000"/>
        <w:bdr w:val="none" w:sz="0" w:space="0" w:color="auto"/>
        <w:shd w:val="clear" w:color="auto" w:fill="auto"/>
        <w:vertAlign w:val="baseline"/>
      </w:rPr>
    </w:lvl>
    <w:lvl w:ilvl="3" w:tplc="1B480BF6">
      <w:start w:val="1"/>
      <w:numFmt w:val="decimal"/>
      <w:lvlText w:val="%4"/>
      <w:lvlJc w:val="left"/>
      <w:pPr>
        <w:ind w:left="2520"/>
      </w:pPr>
      <w:rPr>
        <w:rFonts w:ascii="Times New Roman" w:eastAsia="Times New Roman" w:hAnsi="Times New Roman" w:cs="Times New Roman"/>
        <w:b w:val="0"/>
        <w:i w:val="0"/>
        <w:strike w:val="0"/>
        <w:dstrike w:val="0"/>
        <w:color w:val="131313"/>
        <w:sz w:val="22"/>
        <w:szCs w:val="22"/>
        <w:u w:val="none" w:color="000000"/>
        <w:bdr w:val="none" w:sz="0" w:space="0" w:color="auto"/>
        <w:shd w:val="clear" w:color="auto" w:fill="auto"/>
        <w:vertAlign w:val="baseline"/>
      </w:rPr>
    </w:lvl>
    <w:lvl w:ilvl="4" w:tplc="2446E2A8">
      <w:start w:val="1"/>
      <w:numFmt w:val="lowerLetter"/>
      <w:lvlText w:val="%5"/>
      <w:lvlJc w:val="left"/>
      <w:pPr>
        <w:ind w:left="3240"/>
      </w:pPr>
      <w:rPr>
        <w:rFonts w:ascii="Times New Roman" w:eastAsia="Times New Roman" w:hAnsi="Times New Roman" w:cs="Times New Roman"/>
        <w:b w:val="0"/>
        <w:i w:val="0"/>
        <w:strike w:val="0"/>
        <w:dstrike w:val="0"/>
        <w:color w:val="131313"/>
        <w:sz w:val="22"/>
        <w:szCs w:val="22"/>
        <w:u w:val="none" w:color="000000"/>
        <w:bdr w:val="none" w:sz="0" w:space="0" w:color="auto"/>
        <w:shd w:val="clear" w:color="auto" w:fill="auto"/>
        <w:vertAlign w:val="baseline"/>
      </w:rPr>
    </w:lvl>
    <w:lvl w:ilvl="5" w:tplc="00425DC4">
      <w:start w:val="1"/>
      <w:numFmt w:val="lowerRoman"/>
      <w:lvlText w:val="%6"/>
      <w:lvlJc w:val="left"/>
      <w:pPr>
        <w:ind w:left="3960"/>
      </w:pPr>
      <w:rPr>
        <w:rFonts w:ascii="Times New Roman" w:eastAsia="Times New Roman" w:hAnsi="Times New Roman" w:cs="Times New Roman"/>
        <w:b w:val="0"/>
        <w:i w:val="0"/>
        <w:strike w:val="0"/>
        <w:dstrike w:val="0"/>
        <w:color w:val="131313"/>
        <w:sz w:val="22"/>
        <w:szCs w:val="22"/>
        <w:u w:val="none" w:color="000000"/>
        <w:bdr w:val="none" w:sz="0" w:space="0" w:color="auto"/>
        <w:shd w:val="clear" w:color="auto" w:fill="auto"/>
        <w:vertAlign w:val="baseline"/>
      </w:rPr>
    </w:lvl>
    <w:lvl w:ilvl="6" w:tplc="A9DE4A5A">
      <w:start w:val="1"/>
      <w:numFmt w:val="decimal"/>
      <w:lvlText w:val="%7"/>
      <w:lvlJc w:val="left"/>
      <w:pPr>
        <w:ind w:left="4680"/>
      </w:pPr>
      <w:rPr>
        <w:rFonts w:ascii="Times New Roman" w:eastAsia="Times New Roman" w:hAnsi="Times New Roman" w:cs="Times New Roman"/>
        <w:b w:val="0"/>
        <w:i w:val="0"/>
        <w:strike w:val="0"/>
        <w:dstrike w:val="0"/>
        <w:color w:val="131313"/>
        <w:sz w:val="22"/>
        <w:szCs w:val="22"/>
        <w:u w:val="none" w:color="000000"/>
        <w:bdr w:val="none" w:sz="0" w:space="0" w:color="auto"/>
        <w:shd w:val="clear" w:color="auto" w:fill="auto"/>
        <w:vertAlign w:val="baseline"/>
      </w:rPr>
    </w:lvl>
    <w:lvl w:ilvl="7" w:tplc="C076256C">
      <w:start w:val="1"/>
      <w:numFmt w:val="lowerLetter"/>
      <w:lvlText w:val="%8"/>
      <w:lvlJc w:val="left"/>
      <w:pPr>
        <w:ind w:left="5400"/>
      </w:pPr>
      <w:rPr>
        <w:rFonts w:ascii="Times New Roman" w:eastAsia="Times New Roman" w:hAnsi="Times New Roman" w:cs="Times New Roman"/>
        <w:b w:val="0"/>
        <w:i w:val="0"/>
        <w:strike w:val="0"/>
        <w:dstrike w:val="0"/>
        <w:color w:val="131313"/>
        <w:sz w:val="22"/>
        <w:szCs w:val="22"/>
        <w:u w:val="none" w:color="000000"/>
        <w:bdr w:val="none" w:sz="0" w:space="0" w:color="auto"/>
        <w:shd w:val="clear" w:color="auto" w:fill="auto"/>
        <w:vertAlign w:val="baseline"/>
      </w:rPr>
    </w:lvl>
    <w:lvl w:ilvl="8" w:tplc="23D89C72">
      <w:start w:val="1"/>
      <w:numFmt w:val="lowerRoman"/>
      <w:lvlText w:val="%9"/>
      <w:lvlJc w:val="left"/>
      <w:pPr>
        <w:ind w:left="6120"/>
      </w:pPr>
      <w:rPr>
        <w:rFonts w:ascii="Times New Roman" w:eastAsia="Times New Roman" w:hAnsi="Times New Roman" w:cs="Times New Roman"/>
        <w:b w:val="0"/>
        <w:i w:val="0"/>
        <w:strike w:val="0"/>
        <w:dstrike w:val="0"/>
        <w:color w:val="131313"/>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86E"/>
    <w:rsid w:val="00000920"/>
    <w:rsid w:val="000956F5"/>
    <w:rsid w:val="001238A1"/>
    <w:rsid w:val="0016170A"/>
    <w:rsid w:val="00176AEE"/>
    <w:rsid w:val="001843CA"/>
    <w:rsid w:val="001D6600"/>
    <w:rsid w:val="00281E07"/>
    <w:rsid w:val="002E4B1A"/>
    <w:rsid w:val="00300C76"/>
    <w:rsid w:val="00392AFE"/>
    <w:rsid w:val="0039444A"/>
    <w:rsid w:val="004F5B50"/>
    <w:rsid w:val="0052188A"/>
    <w:rsid w:val="005A5BB8"/>
    <w:rsid w:val="00615614"/>
    <w:rsid w:val="006E205C"/>
    <w:rsid w:val="00700AAC"/>
    <w:rsid w:val="007030FE"/>
    <w:rsid w:val="007A4C4D"/>
    <w:rsid w:val="007A7C36"/>
    <w:rsid w:val="007E786E"/>
    <w:rsid w:val="008A3785"/>
    <w:rsid w:val="008E20AD"/>
    <w:rsid w:val="00953FF4"/>
    <w:rsid w:val="009B4A34"/>
    <w:rsid w:val="009C459B"/>
    <w:rsid w:val="00A40DDE"/>
    <w:rsid w:val="00B13699"/>
    <w:rsid w:val="00B16E7E"/>
    <w:rsid w:val="00B32639"/>
    <w:rsid w:val="00B33EE0"/>
    <w:rsid w:val="00B3763D"/>
    <w:rsid w:val="00B87BB0"/>
    <w:rsid w:val="00BE5DC9"/>
    <w:rsid w:val="00D01094"/>
    <w:rsid w:val="00DF778B"/>
    <w:rsid w:val="00E702B6"/>
    <w:rsid w:val="00E92F51"/>
    <w:rsid w:val="00ED0E9E"/>
    <w:rsid w:val="00EF6BD9"/>
    <w:rsid w:val="00F54155"/>
    <w:rsid w:val="00FB4342"/>
    <w:rsid w:val="00FE55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8DAAB"/>
  <w15:chartTrackingRefBased/>
  <w15:docId w15:val="{5DAC817B-5A65-48EF-9B25-2811A2A7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8A1"/>
    <w:pPr>
      <w:spacing w:after="5" w:line="260" w:lineRule="auto"/>
      <w:ind w:right="1" w:firstLine="217"/>
      <w:jc w:val="both"/>
    </w:pPr>
    <w:rPr>
      <w:rFonts w:ascii="Times New Roman" w:eastAsia="Times New Roman" w:hAnsi="Times New Roman" w:cs="Times New Roman"/>
      <w:color w:val="131313"/>
      <w:sz w:val="20"/>
    </w:rPr>
  </w:style>
  <w:style w:type="paragraph" w:styleId="Heading1">
    <w:name w:val="heading 1"/>
    <w:next w:val="Normal"/>
    <w:link w:val="Heading1Char"/>
    <w:uiPriority w:val="9"/>
    <w:unhideWhenUsed/>
    <w:qFormat/>
    <w:rsid w:val="00BE5DC9"/>
    <w:pPr>
      <w:keepNext/>
      <w:keepLines/>
      <w:numPr>
        <w:numId w:val="1"/>
      </w:numPr>
      <w:spacing w:after="205" w:line="265" w:lineRule="auto"/>
      <w:ind w:left="10" w:hanging="10"/>
      <w:outlineLvl w:val="0"/>
    </w:pPr>
    <w:rPr>
      <w:rFonts w:ascii="Times New Roman" w:eastAsia="Times New Roman" w:hAnsi="Times New Roman" w:cs="Times New Roman"/>
      <w:color w:val="1313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5DC9"/>
    <w:rPr>
      <w:rFonts w:ascii="Times New Roman" w:eastAsia="Times New Roman" w:hAnsi="Times New Roman" w:cs="Times New Roman"/>
      <w:color w:val="131313"/>
    </w:rPr>
  </w:style>
  <w:style w:type="paragraph" w:customStyle="1" w:styleId="footnotedescription">
    <w:name w:val="footnote description"/>
    <w:next w:val="Normal"/>
    <w:link w:val="footnotedescriptionChar"/>
    <w:hidden/>
    <w:rsid w:val="00BE5DC9"/>
    <w:pPr>
      <w:spacing w:after="0" w:line="263" w:lineRule="auto"/>
      <w:ind w:right="1"/>
      <w:jc w:val="both"/>
    </w:pPr>
    <w:rPr>
      <w:rFonts w:ascii="Times New Roman" w:eastAsia="Times New Roman" w:hAnsi="Times New Roman" w:cs="Times New Roman"/>
      <w:color w:val="131313"/>
      <w:sz w:val="16"/>
    </w:rPr>
  </w:style>
  <w:style w:type="character" w:customStyle="1" w:styleId="footnotedescriptionChar">
    <w:name w:val="footnote description Char"/>
    <w:link w:val="footnotedescription"/>
    <w:rsid w:val="00BE5DC9"/>
    <w:rPr>
      <w:rFonts w:ascii="Times New Roman" w:eastAsia="Times New Roman" w:hAnsi="Times New Roman" w:cs="Times New Roman"/>
      <w:color w:val="131313"/>
      <w:sz w:val="16"/>
    </w:rPr>
  </w:style>
  <w:style w:type="character" w:customStyle="1" w:styleId="footnotemark">
    <w:name w:val="footnote mark"/>
    <w:hidden/>
    <w:rsid w:val="00BE5DC9"/>
    <w:rPr>
      <w:rFonts w:ascii="Times New Roman" w:eastAsia="Times New Roman" w:hAnsi="Times New Roman" w:cs="Times New Roman"/>
      <w:color w:val="131313"/>
      <w:sz w:val="16"/>
      <w:vertAlign w:val="superscript"/>
    </w:rPr>
  </w:style>
  <w:style w:type="table" w:customStyle="1" w:styleId="TableGrid">
    <w:name w:val="TableGrid"/>
    <w:rsid w:val="007A7C36"/>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7A7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C36"/>
    <w:rPr>
      <w:rFonts w:ascii="Times New Roman" w:eastAsia="Times New Roman" w:hAnsi="Times New Roman" w:cs="Times New Roman"/>
      <w:color w:val="131313"/>
      <w:sz w:val="20"/>
    </w:rPr>
  </w:style>
  <w:style w:type="paragraph" w:styleId="Footer">
    <w:name w:val="footer"/>
    <w:basedOn w:val="Normal"/>
    <w:link w:val="FooterChar"/>
    <w:uiPriority w:val="99"/>
    <w:unhideWhenUsed/>
    <w:rsid w:val="007A7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C36"/>
    <w:rPr>
      <w:rFonts w:ascii="Times New Roman" w:eastAsia="Times New Roman" w:hAnsi="Times New Roman" w:cs="Times New Roman"/>
      <w:color w:val="131313"/>
      <w:sz w:val="20"/>
    </w:rPr>
  </w:style>
  <w:style w:type="paragraph" w:styleId="FootnoteText">
    <w:name w:val="footnote text"/>
    <w:basedOn w:val="Normal"/>
    <w:link w:val="FootnoteTextChar"/>
    <w:uiPriority w:val="99"/>
    <w:semiHidden/>
    <w:unhideWhenUsed/>
    <w:rsid w:val="00B33EE0"/>
    <w:pPr>
      <w:spacing w:after="0" w:line="240" w:lineRule="auto"/>
    </w:pPr>
    <w:rPr>
      <w:szCs w:val="20"/>
    </w:rPr>
  </w:style>
  <w:style w:type="character" w:customStyle="1" w:styleId="FootnoteTextChar">
    <w:name w:val="Footnote Text Char"/>
    <w:basedOn w:val="DefaultParagraphFont"/>
    <w:link w:val="FootnoteText"/>
    <w:uiPriority w:val="99"/>
    <w:semiHidden/>
    <w:rsid w:val="00B33EE0"/>
    <w:rPr>
      <w:rFonts w:ascii="Times New Roman" w:eastAsia="Times New Roman" w:hAnsi="Times New Roman" w:cs="Times New Roman"/>
      <w:color w:val="131313"/>
      <w:sz w:val="20"/>
      <w:szCs w:val="20"/>
    </w:rPr>
  </w:style>
  <w:style w:type="character" w:styleId="FootnoteReference">
    <w:name w:val="footnote reference"/>
    <w:basedOn w:val="DefaultParagraphFont"/>
    <w:uiPriority w:val="99"/>
    <w:semiHidden/>
    <w:unhideWhenUsed/>
    <w:rsid w:val="00B33EE0"/>
    <w:rPr>
      <w:vertAlign w:val="superscript"/>
    </w:rPr>
  </w:style>
  <w:style w:type="character" w:styleId="Hyperlink">
    <w:name w:val="Hyperlink"/>
    <w:basedOn w:val="DefaultParagraphFont"/>
    <w:uiPriority w:val="99"/>
    <w:unhideWhenUsed/>
    <w:rsid w:val="00B33E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570276">
      <w:bodyDiv w:val="1"/>
      <w:marLeft w:val="0"/>
      <w:marRight w:val="0"/>
      <w:marTop w:val="0"/>
      <w:marBottom w:val="0"/>
      <w:divBdr>
        <w:top w:val="none" w:sz="0" w:space="0" w:color="auto"/>
        <w:left w:val="none" w:sz="0" w:space="0" w:color="auto"/>
        <w:bottom w:val="none" w:sz="0" w:space="0" w:color="auto"/>
        <w:right w:val="none" w:sz="0" w:space="0" w:color="auto"/>
      </w:divBdr>
      <w:divsChild>
        <w:div w:id="1935237223">
          <w:marLeft w:val="0"/>
          <w:marRight w:val="0"/>
          <w:marTop w:val="105"/>
          <w:marBottom w:val="30"/>
          <w:divBdr>
            <w:top w:val="none" w:sz="0" w:space="0" w:color="auto"/>
            <w:left w:val="none" w:sz="0" w:space="0" w:color="auto"/>
            <w:bottom w:val="none" w:sz="0" w:space="0" w:color="auto"/>
            <w:right w:val="none" w:sz="0" w:space="0" w:color="auto"/>
          </w:divBdr>
          <w:divsChild>
            <w:div w:id="48649678">
              <w:marLeft w:val="0"/>
              <w:marRight w:val="0"/>
              <w:marTop w:val="0"/>
              <w:marBottom w:val="0"/>
              <w:divBdr>
                <w:top w:val="none" w:sz="0" w:space="0" w:color="auto"/>
                <w:left w:val="none" w:sz="0" w:space="0" w:color="auto"/>
                <w:bottom w:val="none" w:sz="0" w:space="0" w:color="auto"/>
                <w:right w:val="none" w:sz="0" w:space="0" w:color="auto"/>
              </w:divBdr>
              <w:divsChild>
                <w:div w:id="22492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58426">
          <w:marLeft w:val="0"/>
          <w:marRight w:val="0"/>
          <w:marTop w:val="0"/>
          <w:marBottom w:val="0"/>
          <w:divBdr>
            <w:top w:val="none" w:sz="0" w:space="0" w:color="auto"/>
            <w:left w:val="none" w:sz="0" w:space="0" w:color="auto"/>
            <w:bottom w:val="none" w:sz="0" w:space="0" w:color="auto"/>
            <w:right w:val="none" w:sz="0" w:space="0" w:color="auto"/>
          </w:divBdr>
          <w:divsChild>
            <w:div w:id="1395818175">
              <w:marLeft w:val="0"/>
              <w:marRight w:val="0"/>
              <w:marTop w:val="0"/>
              <w:marBottom w:val="0"/>
              <w:divBdr>
                <w:top w:val="none" w:sz="0" w:space="0" w:color="auto"/>
                <w:left w:val="none" w:sz="0" w:space="0" w:color="auto"/>
                <w:bottom w:val="none" w:sz="0" w:space="0" w:color="auto"/>
                <w:right w:val="none" w:sz="0" w:space="0" w:color="auto"/>
              </w:divBdr>
              <w:divsChild>
                <w:div w:id="1652902265">
                  <w:marLeft w:val="60"/>
                  <w:marRight w:val="0"/>
                  <w:marTop w:val="0"/>
                  <w:marBottom w:val="0"/>
                  <w:divBdr>
                    <w:top w:val="none" w:sz="0" w:space="0" w:color="auto"/>
                    <w:left w:val="none" w:sz="0" w:space="0" w:color="auto"/>
                    <w:bottom w:val="none" w:sz="0" w:space="0" w:color="auto"/>
                    <w:right w:val="none" w:sz="0" w:space="0" w:color="auto"/>
                  </w:divBdr>
                  <w:divsChild>
                    <w:div w:id="1875463313">
                      <w:marLeft w:val="0"/>
                      <w:marRight w:val="0"/>
                      <w:marTop w:val="0"/>
                      <w:marBottom w:val="120"/>
                      <w:divBdr>
                        <w:top w:val="single" w:sz="6" w:space="0" w:color="C0C0C0"/>
                        <w:left w:val="single" w:sz="6" w:space="0" w:color="D9D9D9"/>
                        <w:bottom w:val="single" w:sz="6" w:space="0" w:color="D9D9D9"/>
                        <w:right w:val="single" w:sz="6" w:space="0" w:color="D9D9D9"/>
                      </w:divBdr>
                      <w:divsChild>
                        <w:div w:id="21365878">
                          <w:marLeft w:val="0"/>
                          <w:marRight w:val="0"/>
                          <w:marTop w:val="0"/>
                          <w:marBottom w:val="0"/>
                          <w:divBdr>
                            <w:top w:val="none" w:sz="0" w:space="0" w:color="auto"/>
                            <w:left w:val="none" w:sz="0" w:space="0" w:color="auto"/>
                            <w:bottom w:val="none" w:sz="0" w:space="0" w:color="auto"/>
                            <w:right w:val="none" w:sz="0" w:space="0" w:color="auto"/>
                          </w:divBdr>
                        </w:div>
                        <w:div w:id="44558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929088">
              <w:marLeft w:val="0"/>
              <w:marRight w:val="0"/>
              <w:marTop w:val="0"/>
              <w:marBottom w:val="0"/>
              <w:divBdr>
                <w:top w:val="none" w:sz="0" w:space="0" w:color="auto"/>
                <w:left w:val="none" w:sz="0" w:space="0" w:color="auto"/>
                <w:bottom w:val="none" w:sz="0" w:space="0" w:color="auto"/>
                <w:right w:val="none" w:sz="0" w:space="0" w:color="auto"/>
              </w:divBdr>
              <w:divsChild>
                <w:div w:id="681056946">
                  <w:marLeft w:val="0"/>
                  <w:marRight w:val="60"/>
                  <w:marTop w:val="0"/>
                  <w:marBottom w:val="0"/>
                  <w:divBdr>
                    <w:top w:val="none" w:sz="0" w:space="0" w:color="auto"/>
                    <w:left w:val="none" w:sz="0" w:space="0" w:color="auto"/>
                    <w:bottom w:val="none" w:sz="0" w:space="0" w:color="auto"/>
                    <w:right w:val="none" w:sz="0" w:space="0" w:color="auto"/>
                  </w:divBdr>
                  <w:divsChild>
                    <w:div w:id="396324322">
                      <w:marLeft w:val="0"/>
                      <w:marRight w:val="0"/>
                      <w:marTop w:val="0"/>
                      <w:marBottom w:val="0"/>
                      <w:divBdr>
                        <w:top w:val="none" w:sz="0" w:space="0" w:color="auto"/>
                        <w:left w:val="none" w:sz="0" w:space="0" w:color="auto"/>
                        <w:bottom w:val="none" w:sz="0" w:space="0" w:color="auto"/>
                        <w:right w:val="none" w:sz="0" w:space="0" w:color="auto"/>
                      </w:divBdr>
                      <w:divsChild>
                        <w:div w:id="630986767">
                          <w:marLeft w:val="0"/>
                          <w:marRight w:val="0"/>
                          <w:marTop w:val="0"/>
                          <w:marBottom w:val="120"/>
                          <w:divBdr>
                            <w:top w:val="single" w:sz="6" w:space="0" w:color="F5F5F5"/>
                            <w:left w:val="single" w:sz="6" w:space="0" w:color="F5F5F5"/>
                            <w:bottom w:val="single" w:sz="6" w:space="0" w:color="F5F5F5"/>
                            <w:right w:val="single" w:sz="6" w:space="0" w:color="F5F5F5"/>
                          </w:divBdr>
                          <w:divsChild>
                            <w:div w:id="427506032">
                              <w:marLeft w:val="0"/>
                              <w:marRight w:val="0"/>
                              <w:marTop w:val="0"/>
                              <w:marBottom w:val="0"/>
                              <w:divBdr>
                                <w:top w:val="none" w:sz="0" w:space="0" w:color="auto"/>
                                <w:left w:val="none" w:sz="0" w:space="0" w:color="auto"/>
                                <w:bottom w:val="none" w:sz="0" w:space="0" w:color="auto"/>
                                <w:right w:val="none" w:sz="0" w:space="0" w:color="auto"/>
                              </w:divBdr>
                              <w:divsChild>
                                <w:div w:id="27768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za.co.us@gmail.com"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2C70803-F5A6-4B45-8346-AAF92A3CD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11097</Words>
  <Characters>63254</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dc:creator>
  <cp:keywords/>
  <dc:description/>
  <cp:lastModifiedBy>Reza</cp:lastModifiedBy>
  <cp:revision>33</cp:revision>
  <cp:lastPrinted>2018-12-10T15:35:00Z</cp:lastPrinted>
  <dcterms:created xsi:type="dcterms:W3CDTF">2018-06-02T09:38:00Z</dcterms:created>
  <dcterms:modified xsi:type="dcterms:W3CDTF">2018-12-10T15:37:00Z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427717</vt:lpwstr>
  </property>
  <property fmtid="{D5CDD505-2E9C-101B-9397-08002B2CF9AE}" pid="3" name="ProjectId">
    <vt:lpwstr>-1</vt:lpwstr>
  </property>
  <property fmtid="{D5CDD505-2E9C-101B-9397-08002B2CF9AE}" pid="4" name="InsertAsFootnote">
    <vt:lpwstr>False</vt:lpwstr>
  </property>
  <property fmtid="{D5CDD505-2E9C-101B-9397-08002B2CF9AE}" pid="5" name="StyleId">
    <vt:lpwstr>http://www.zotero.org/styles/vancouver</vt:lpwstr>
  </property>
</Properties>
</file>