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42" w:rsidRDefault="008A4C26">
      <w:r w:rsidRPr="008A4C26">
        <w:rPr>
          <w:noProof/>
          <w:lang w:val="en-US"/>
        </w:rPr>
        <w:drawing>
          <wp:inline distT="0" distB="0" distL="0" distR="0" wp14:anchorId="3F711D14" wp14:editId="3F94D3BB">
            <wp:extent cx="5760720" cy="3240405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C26" w:rsidRPr="008A4C26" w:rsidRDefault="008A4C26">
      <w:pPr>
        <w:rPr>
          <w:color w:val="000000" w:themeColor="text1"/>
          <w:lang w:val="en-US"/>
        </w:rPr>
      </w:pPr>
      <w:r w:rsidRPr="008A4C26">
        <w:rPr>
          <w:rFonts w:ascii="Arial" w:hAnsi="Arial" w:cs="Arial"/>
          <w:b/>
          <w:bCs/>
          <w:color w:val="000000" w:themeColor="text1"/>
          <w:lang w:val="en-US"/>
        </w:rPr>
        <w:t>Figure S1: validation of BAX mitochondrial localization as a marker of apoptosis.</w:t>
      </w:r>
      <w:r w:rsidRPr="008A4C26">
        <w:rPr>
          <w:rFonts w:ascii="Arial" w:hAnsi="Arial" w:cs="Arial"/>
          <w:color w:val="000000" w:themeColor="text1"/>
          <w:lang w:val="en-US"/>
        </w:rPr>
        <w:t xml:space="preserve"> A549 cells were treated with TNF/CHX for 16h and co-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immunolabeled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with anti-BAX Ab and anti-mitochondria Ab (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mito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>), or anti cytochrome c Ab (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cyt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c) 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A</w:t>
      </w:r>
      <w:bookmarkStart w:id="0" w:name="_GoBack"/>
      <w:bookmarkEnd w:id="0"/>
      <w:r w:rsidR="00A559C9" w:rsidRPr="008A4C26">
        <w:rPr>
          <w:rFonts w:ascii="Arial" w:hAnsi="Arial" w:cs="Arial"/>
          <w:color w:val="000000" w:themeColor="text1"/>
          <w:lang w:val="en-US"/>
        </w:rPr>
        <w:t>):</w:t>
      </w:r>
      <w:r w:rsidRPr="008A4C2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Immunodetection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of BAX and mitochondrial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colocalization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>, 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B</w:t>
      </w:r>
      <w:r w:rsidRPr="008A4C26">
        <w:rPr>
          <w:rFonts w:ascii="Arial" w:hAnsi="Arial" w:cs="Arial"/>
          <w:color w:val="000000" w:themeColor="text1"/>
          <w:lang w:val="en-US"/>
        </w:rPr>
        <w:t xml:space="preserve">)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Immunodetection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of BAX is associated with cytosolic cytochrome-c in apoptotic cells.</w:t>
      </w:r>
    </w:p>
    <w:p w:rsidR="008A4C26" w:rsidRPr="008A4C26" w:rsidRDefault="008A4C26">
      <w:pPr>
        <w:rPr>
          <w:color w:val="000000" w:themeColor="text1"/>
        </w:rPr>
      </w:pPr>
      <w:r w:rsidRPr="008A4C26">
        <w:rPr>
          <w:noProof/>
          <w:color w:val="000000" w:themeColor="text1"/>
          <w:lang w:val="en-US"/>
        </w:rPr>
        <w:drawing>
          <wp:inline distT="0" distB="0" distL="0" distR="0" wp14:anchorId="4AB5A404" wp14:editId="35620E30">
            <wp:extent cx="5760720" cy="3240405"/>
            <wp:effectExtent l="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C26" w:rsidRPr="008A4C26" w:rsidRDefault="008A4C26">
      <w:pPr>
        <w:rPr>
          <w:color w:val="000000" w:themeColor="text1"/>
          <w:lang w:val="en-US"/>
        </w:rPr>
      </w:pPr>
      <w:r w:rsidRPr="008A4C26">
        <w:rPr>
          <w:rFonts w:ascii="Arial" w:hAnsi="Arial" w:cs="Arial"/>
          <w:b/>
          <w:bCs/>
          <w:color w:val="000000" w:themeColor="text1"/>
          <w:lang w:val="en-US"/>
        </w:rPr>
        <w:t>Figure S2: Alphavirus RRV induces early and massive apoptosis compared to Zika virus.</w:t>
      </w:r>
      <w:r w:rsidRPr="008A4C26">
        <w:rPr>
          <w:rFonts w:ascii="Arial" w:hAnsi="Arial" w:cs="Arial"/>
          <w:color w:val="000000" w:themeColor="text1"/>
          <w:lang w:val="en-US"/>
        </w:rPr>
        <w:t xml:space="preserve"> Vero cells were infected with Ross River virus (RRV) or with ZIKV at an MOI of 1 for 72 hours and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analysed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for 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A</w:t>
      </w:r>
      <w:r w:rsidRPr="008A4C26">
        <w:rPr>
          <w:rFonts w:ascii="Arial" w:hAnsi="Arial" w:cs="Arial"/>
          <w:color w:val="000000" w:themeColor="text1"/>
          <w:lang w:val="en-US"/>
        </w:rPr>
        <w:t>) caspase 3/7 activity, 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B</w:t>
      </w:r>
      <w:r w:rsidRPr="008A4C26">
        <w:rPr>
          <w:rFonts w:ascii="Arial" w:hAnsi="Arial" w:cs="Arial"/>
          <w:color w:val="000000" w:themeColor="text1"/>
          <w:lang w:val="en-US"/>
        </w:rPr>
        <w:t>) cell viability assay (MTT) and 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C</w:t>
      </w:r>
      <w:r w:rsidRPr="008A4C26">
        <w:rPr>
          <w:rFonts w:ascii="Arial" w:hAnsi="Arial" w:cs="Arial"/>
          <w:color w:val="000000" w:themeColor="text1"/>
          <w:lang w:val="en-US"/>
        </w:rPr>
        <w:t>) released LDH activity in cell supernatants. Values represent the mean and SD for one experiment. (</w:t>
      </w:r>
      <w:r w:rsidRPr="008A4C26">
        <w:rPr>
          <w:rFonts w:ascii="Arial" w:hAnsi="Arial" w:cs="Arial"/>
          <w:color w:val="000000" w:themeColor="text1"/>
          <w:shd w:val="clear" w:color="auto" w:fill="FFFFFF"/>
          <w:lang w:val="en-US"/>
        </w:rPr>
        <w:t>** p&lt;0.01; *** p&lt;0.001, **** p&lt;0.0001, ns </w:t>
      </w:r>
      <w:r w:rsidR="00A559C9" w:rsidRPr="008A4C26">
        <w:rPr>
          <w:rFonts w:ascii="Arial" w:hAnsi="Arial" w:cs="Arial"/>
          <w:color w:val="000000" w:themeColor="text1"/>
          <w:shd w:val="clear" w:color="auto" w:fill="FFFFFF"/>
          <w:lang w:val="en-US"/>
        </w:rPr>
        <w:t>= not</w:t>
      </w:r>
      <w:r w:rsidRPr="008A4C26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significant).</w:t>
      </w:r>
    </w:p>
    <w:p w:rsidR="008A4C26" w:rsidRDefault="008A4C26">
      <w:r w:rsidRPr="008A4C26">
        <w:rPr>
          <w:noProof/>
          <w:lang w:val="en-US"/>
        </w:rPr>
        <w:lastRenderedPageBreak/>
        <w:drawing>
          <wp:inline distT="0" distB="0" distL="0" distR="0" wp14:anchorId="3822D48A" wp14:editId="668B9E06">
            <wp:extent cx="5760720" cy="3240405"/>
            <wp:effectExtent l="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C26" w:rsidRPr="008A4C26" w:rsidRDefault="008A4C26">
      <w:pPr>
        <w:rPr>
          <w:color w:val="000000" w:themeColor="text1"/>
          <w:lang w:val="en-US"/>
        </w:rPr>
      </w:pPr>
      <w:r w:rsidRPr="008A4C26">
        <w:rPr>
          <w:rFonts w:ascii="Arial" w:hAnsi="Arial" w:cs="Arial"/>
          <w:b/>
          <w:bCs/>
          <w:color w:val="000000" w:themeColor="text1"/>
          <w:lang w:val="en-US"/>
        </w:rPr>
        <w:t>Figure S3:</w:t>
      </w:r>
      <w:r w:rsidRPr="008A4C26">
        <w:rPr>
          <w:rFonts w:ascii="Arial" w:hAnsi="Arial" w:cs="Arial"/>
          <w:color w:val="000000" w:themeColor="text1"/>
          <w:lang w:val="en-US"/>
        </w:rPr>
        <w:t xml:space="preserve"> 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ZIKV-PF13 does not cause significant activation of apoptosis until late in infection in U251MG cells</w:t>
      </w:r>
      <w:r w:rsidRPr="008A4C26">
        <w:rPr>
          <w:rFonts w:ascii="Arial" w:hAnsi="Arial" w:cs="Arial"/>
          <w:b/>
          <w:bCs/>
          <w:i/>
          <w:iCs/>
          <w:color w:val="000000" w:themeColor="text1"/>
          <w:lang w:val="en-US"/>
        </w:rPr>
        <w:t>.</w:t>
      </w:r>
      <w:r w:rsidRPr="008A4C26">
        <w:rPr>
          <w:rFonts w:ascii="Arial" w:hAnsi="Arial" w:cs="Arial"/>
          <w:color w:val="000000" w:themeColor="text1"/>
          <w:lang w:val="en-US"/>
        </w:rPr>
        <w:t xml:space="preserve"> U251MG cells were infected with ZIKV PF13 (clinical isolate) at MOI of 1 for 96h</w:t>
      </w:r>
      <w:r w:rsidRPr="008A4C26">
        <w:rPr>
          <w:rFonts w:ascii="Arial" w:hAnsi="Arial" w:cs="Arial"/>
          <w:i/>
          <w:iCs/>
          <w:color w:val="000000" w:themeColor="text1"/>
          <w:lang w:val="en-US"/>
        </w:rPr>
        <w:t xml:space="preserve">. </w:t>
      </w:r>
      <w:r w:rsidRPr="008A4C26">
        <w:rPr>
          <w:rFonts w:ascii="Arial" w:hAnsi="Arial" w:cs="Arial"/>
          <w:color w:val="000000" w:themeColor="text1"/>
          <w:lang w:val="en-US"/>
        </w:rPr>
        <w:t>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A</w:t>
      </w:r>
      <w:r w:rsidRPr="008A4C26">
        <w:rPr>
          <w:rFonts w:ascii="Arial" w:hAnsi="Arial" w:cs="Arial"/>
          <w:color w:val="000000" w:themeColor="text1"/>
          <w:lang w:val="en-US"/>
        </w:rPr>
        <w:t xml:space="preserve">) Percentage of U251MG cells infected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immunostained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with anti-BAX antibody were determined at 24, 48 and 96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hpi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>. 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B</w:t>
      </w:r>
      <w:r w:rsidRPr="008A4C26">
        <w:rPr>
          <w:rFonts w:ascii="Arial" w:hAnsi="Arial" w:cs="Arial"/>
          <w:color w:val="000000" w:themeColor="text1"/>
          <w:lang w:val="en-US"/>
        </w:rPr>
        <w:t>) The infectious viral particles were collected from infected cell culture supernatants during 96 hours post infection and titrated.</w:t>
      </w:r>
    </w:p>
    <w:p w:rsidR="008A4C26" w:rsidRDefault="008A4C26">
      <w:r w:rsidRPr="008A4C26">
        <w:rPr>
          <w:noProof/>
          <w:lang w:val="en-US"/>
        </w:rPr>
        <w:drawing>
          <wp:inline distT="0" distB="0" distL="0" distR="0" wp14:anchorId="4EFA5BD1" wp14:editId="47B107D9">
            <wp:extent cx="5760720" cy="3240405"/>
            <wp:effectExtent l="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C26" w:rsidRPr="008A4C26" w:rsidRDefault="008A4C26">
      <w:pPr>
        <w:rPr>
          <w:color w:val="000000" w:themeColor="text1"/>
          <w:lang w:val="en-US"/>
        </w:rPr>
      </w:pPr>
      <w:r w:rsidRPr="008A4C26">
        <w:rPr>
          <w:rFonts w:ascii="Arial" w:hAnsi="Arial" w:cs="Arial"/>
          <w:b/>
          <w:bCs/>
          <w:color w:val="000000" w:themeColor="text1"/>
          <w:lang w:val="en-US"/>
        </w:rPr>
        <w:t>Figure S4:</w:t>
      </w:r>
      <w:r w:rsidRPr="008A4C26">
        <w:rPr>
          <w:rFonts w:ascii="Arial" w:hAnsi="Arial" w:cs="Arial"/>
          <w:color w:val="000000" w:themeColor="text1"/>
          <w:lang w:val="en-US"/>
        </w:rPr>
        <w:t xml:space="preserve"> 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ZIKV-MR766 does not cause significant activation of apoptosis until late in infection and ZIKV-MR766 is able to control cell death.</w:t>
      </w:r>
      <w:r w:rsidRPr="008A4C26">
        <w:rPr>
          <w:rFonts w:ascii="Arial" w:hAnsi="Arial" w:cs="Arial"/>
          <w:color w:val="000000" w:themeColor="text1"/>
          <w:lang w:val="en-US"/>
        </w:rPr>
        <w:t xml:space="preserve"> A549 cells were infected with MR766</w:t>
      </w:r>
      <w:r w:rsidRPr="008A4C26">
        <w:rPr>
          <w:rFonts w:ascii="Arial" w:hAnsi="Arial" w:cs="Arial"/>
          <w:color w:val="000000" w:themeColor="text1"/>
          <w:sz w:val="13"/>
          <w:szCs w:val="13"/>
          <w:vertAlign w:val="superscript"/>
          <w:lang w:val="en-US"/>
        </w:rPr>
        <w:t>MC</w:t>
      </w:r>
      <w:r w:rsidRPr="008A4C26">
        <w:rPr>
          <w:rFonts w:ascii="Arial" w:hAnsi="Arial" w:cs="Arial"/>
          <w:color w:val="000000" w:themeColor="text1"/>
          <w:lang w:val="en-US"/>
        </w:rPr>
        <w:t xml:space="preserve"> at MOI of 1 and during 96h. The percentage of A549 infected cells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immunostained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with anti-BAX antibody at 24, 48 and 72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hpi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A</w:t>
      </w:r>
      <w:r w:rsidRPr="008A4C26">
        <w:rPr>
          <w:rFonts w:ascii="Arial" w:hAnsi="Arial" w:cs="Arial"/>
          <w:color w:val="000000" w:themeColor="text1"/>
          <w:lang w:val="en-US"/>
        </w:rPr>
        <w:t xml:space="preserve">). The infectious virus was collected in supernatant of infected cells at 24, 48, 72 and 96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hpi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for titration (PFU assay) 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B</w:t>
      </w:r>
      <w:r w:rsidRPr="008A4C26">
        <w:rPr>
          <w:rFonts w:ascii="Arial" w:hAnsi="Arial" w:cs="Arial"/>
          <w:color w:val="000000" w:themeColor="text1"/>
          <w:lang w:val="en-US"/>
        </w:rPr>
        <w:t>). A549 cells were infected with MR766</w:t>
      </w:r>
      <w:r w:rsidRPr="008A4C26">
        <w:rPr>
          <w:rFonts w:ascii="Arial" w:hAnsi="Arial" w:cs="Arial"/>
          <w:color w:val="000000" w:themeColor="text1"/>
          <w:sz w:val="13"/>
          <w:szCs w:val="13"/>
          <w:vertAlign w:val="superscript"/>
          <w:lang w:val="en-US"/>
        </w:rPr>
        <w:t>MC</w:t>
      </w:r>
      <w:r w:rsidRPr="008A4C26">
        <w:rPr>
          <w:rFonts w:ascii="Arial" w:hAnsi="Arial" w:cs="Arial"/>
          <w:color w:val="000000" w:themeColor="text1"/>
          <w:lang w:val="en-US"/>
        </w:rPr>
        <w:t xml:space="preserve"> at MOI of 1 for 8 hours and treated with TNF</w:t>
      </w:r>
      <w:r w:rsidRPr="008A4C26">
        <w:rPr>
          <w:rFonts w:ascii="Arial" w:hAnsi="Arial" w:cs="Arial"/>
          <w:color w:val="000000" w:themeColor="text1"/>
        </w:rPr>
        <w:t>α</w:t>
      </w:r>
      <w:r w:rsidRPr="008A4C26">
        <w:rPr>
          <w:rFonts w:ascii="Arial" w:hAnsi="Arial" w:cs="Arial"/>
          <w:color w:val="000000" w:themeColor="text1"/>
          <w:lang w:val="en-US"/>
        </w:rPr>
        <w:t xml:space="preserve">/CHX 2 hours before infection (2hbi) or 2 hours post infection (2hpi). Percentage of A549 cells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lastRenderedPageBreak/>
        <w:t>immunostained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with anti-BAX antibody (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C</w:t>
      </w:r>
      <w:r w:rsidRPr="008A4C26">
        <w:rPr>
          <w:rFonts w:ascii="Arial" w:hAnsi="Arial" w:cs="Arial"/>
          <w:color w:val="000000" w:themeColor="text1"/>
          <w:lang w:val="en-US"/>
        </w:rPr>
        <w:t>). Values represent the mean and standard deviation of three independent experiments (**** p&lt;0,0001, ns: not significant).</w:t>
      </w:r>
    </w:p>
    <w:p w:rsidR="008A4C26" w:rsidRDefault="008A4C26">
      <w:r w:rsidRPr="008A4C26">
        <w:rPr>
          <w:noProof/>
          <w:lang w:val="en-US"/>
        </w:rPr>
        <w:drawing>
          <wp:inline distT="0" distB="0" distL="0" distR="0" wp14:anchorId="2D5592C6" wp14:editId="7A0CC47D">
            <wp:extent cx="5760720" cy="3240405"/>
            <wp:effectExtent l="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C26" w:rsidRPr="008A4C26" w:rsidRDefault="008A4C26">
      <w:pPr>
        <w:rPr>
          <w:color w:val="000000" w:themeColor="text1"/>
          <w:lang w:val="en-US"/>
        </w:rPr>
      </w:pPr>
      <w:r w:rsidRPr="008A4C26">
        <w:rPr>
          <w:rFonts w:ascii="Arial" w:hAnsi="Arial" w:cs="Arial"/>
          <w:b/>
          <w:bCs/>
          <w:color w:val="000000" w:themeColor="text1"/>
          <w:lang w:val="en-US"/>
        </w:rPr>
        <w:t>Figure S5:</w:t>
      </w:r>
      <w:r w:rsidRPr="008A4C26">
        <w:rPr>
          <w:rFonts w:ascii="Arial" w:hAnsi="Arial" w:cs="Arial"/>
          <w:color w:val="000000" w:themeColor="text1"/>
          <w:lang w:val="en-US"/>
        </w:rPr>
        <w:t xml:space="preserve"> </w:t>
      </w:r>
      <w:r w:rsidRPr="008A4C26">
        <w:rPr>
          <w:rFonts w:ascii="Arial" w:hAnsi="Arial" w:cs="Arial"/>
          <w:b/>
          <w:bCs/>
          <w:color w:val="000000" w:themeColor="text1"/>
          <w:lang w:val="en-US"/>
        </w:rPr>
        <w:t>A549 cells transiently expressing a ZIKV-MR766 replicon are protected against cell death by apoptosis</w:t>
      </w:r>
      <w:r w:rsidRPr="008A4C26">
        <w:rPr>
          <w:rFonts w:ascii="Arial" w:hAnsi="Arial" w:cs="Arial"/>
          <w:b/>
          <w:bCs/>
          <w:i/>
          <w:iCs/>
          <w:color w:val="000000" w:themeColor="text1"/>
          <w:lang w:val="en-US"/>
        </w:rPr>
        <w:t>.</w:t>
      </w:r>
      <w:r w:rsidRPr="008A4C26">
        <w:rPr>
          <w:rFonts w:ascii="Arial" w:hAnsi="Arial" w:cs="Arial"/>
          <w:color w:val="000000" w:themeColor="text1"/>
          <w:lang w:val="en-US"/>
        </w:rPr>
        <w:t xml:space="preserve"> A549 cells were transfected with amplicons of ISA methods to generate replicon for ZIKV-MR766 or with pEGFP-N1. 48h after transfection A549 cells were treated with Etoposide for 16 h. Percentage of A549 cells </w:t>
      </w:r>
      <w:proofErr w:type="spellStart"/>
      <w:r w:rsidRPr="008A4C26">
        <w:rPr>
          <w:rFonts w:ascii="Arial" w:hAnsi="Arial" w:cs="Arial"/>
          <w:color w:val="000000" w:themeColor="text1"/>
          <w:lang w:val="en-US"/>
        </w:rPr>
        <w:t>immunostained</w:t>
      </w:r>
      <w:proofErr w:type="spellEnd"/>
      <w:r w:rsidRPr="008A4C26">
        <w:rPr>
          <w:rFonts w:ascii="Arial" w:hAnsi="Arial" w:cs="Arial"/>
          <w:color w:val="000000" w:themeColor="text1"/>
          <w:lang w:val="en-US"/>
        </w:rPr>
        <w:t xml:space="preserve"> with BAX antibody were monitored. Values represent the mean and standard deviation of three independent experiments (** p&lt;0,01, ns: not significant).</w:t>
      </w:r>
    </w:p>
    <w:sectPr w:rsidR="008A4C26" w:rsidRPr="008A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26"/>
    <w:rsid w:val="00343DEA"/>
    <w:rsid w:val="0062184B"/>
    <w:rsid w:val="008A4C26"/>
    <w:rsid w:val="00A559C9"/>
    <w:rsid w:val="00A94242"/>
    <w:rsid w:val="00B15FE9"/>
    <w:rsid w:val="00B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60FC3-43FA-405A-8877-0B38B1ED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Turpin</dc:creator>
  <cp:keywords/>
  <dc:description/>
  <cp:lastModifiedBy>WILDRISS_VIRANAICKEN</cp:lastModifiedBy>
  <cp:revision>2</cp:revision>
  <dcterms:created xsi:type="dcterms:W3CDTF">2019-09-16T17:32:00Z</dcterms:created>
  <dcterms:modified xsi:type="dcterms:W3CDTF">2019-09-16T17:32:00Z</dcterms:modified>
</cp:coreProperties>
</file>