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7B8" w:rsidRPr="00642C9C" w:rsidRDefault="00A127B8" w:rsidP="00642C9C">
      <w:pPr>
        <w:autoSpaceDE w:val="0"/>
        <w:autoSpaceDN w:val="0"/>
        <w:adjustRightInd w:val="0"/>
        <w:spacing w:after="0" w:line="240" w:lineRule="auto"/>
        <w:ind w:right="-306"/>
        <w:rPr>
          <w:rFonts w:ascii="Palatino Linotype" w:hAnsi="Palatino Linotype" w:cs="AdvPSMER-R"/>
          <w:sz w:val="20"/>
          <w:szCs w:val="18"/>
          <w:lang w:val="en-US"/>
        </w:rPr>
      </w:pPr>
      <w:r w:rsidRPr="00642C9C">
        <w:rPr>
          <w:rFonts w:ascii="Palatino Linotype" w:hAnsi="Palatino Linotype" w:cs="AdvPSMER-R"/>
          <w:sz w:val="20"/>
          <w:szCs w:val="18"/>
          <w:lang w:val="en-US"/>
        </w:rPr>
        <w:t>Supporting information to the paper</w:t>
      </w:r>
    </w:p>
    <w:p w:rsidR="00A127B8" w:rsidRPr="00642C9C" w:rsidRDefault="00A127B8" w:rsidP="00642C9C">
      <w:pPr>
        <w:autoSpaceDE w:val="0"/>
        <w:autoSpaceDN w:val="0"/>
        <w:adjustRightInd w:val="0"/>
        <w:spacing w:after="0" w:line="240" w:lineRule="auto"/>
        <w:ind w:right="-306"/>
        <w:rPr>
          <w:rFonts w:ascii="Palatino Linotype" w:hAnsi="Palatino Linotype" w:cs="AdvPSMER-R"/>
          <w:sz w:val="20"/>
          <w:szCs w:val="18"/>
          <w:lang w:val="en-US"/>
        </w:rPr>
      </w:pPr>
    </w:p>
    <w:p w:rsidR="00A127B8" w:rsidRPr="00642C9C" w:rsidRDefault="00A127B8" w:rsidP="00642C9C">
      <w:pPr>
        <w:pStyle w:val="MDPI12title"/>
        <w:spacing w:line="240" w:lineRule="auto"/>
        <w:jc w:val="both"/>
        <w:rPr>
          <w:b w:val="0"/>
          <w:sz w:val="20"/>
          <w:szCs w:val="18"/>
        </w:rPr>
      </w:pPr>
      <w:proofErr w:type="spellStart"/>
      <w:r w:rsidRPr="00642C9C">
        <w:rPr>
          <w:rFonts w:cs="AdvPSMER-R"/>
          <w:sz w:val="20"/>
          <w:szCs w:val="18"/>
        </w:rPr>
        <w:t>Quizhpe</w:t>
      </w:r>
      <w:proofErr w:type="spellEnd"/>
      <w:r w:rsidRPr="00642C9C">
        <w:rPr>
          <w:rFonts w:cs="AdvPSMER-R"/>
          <w:sz w:val="20"/>
          <w:szCs w:val="18"/>
        </w:rPr>
        <w:t xml:space="preserve"> W. </w:t>
      </w:r>
      <w:proofErr w:type="gramStart"/>
      <w:r w:rsidRPr="00642C9C">
        <w:rPr>
          <w:rFonts w:cs="AdvPSMER-R"/>
          <w:sz w:val="20"/>
          <w:szCs w:val="18"/>
        </w:rPr>
        <w:t>et al.</w:t>
      </w:r>
      <w:proofErr w:type="gramEnd"/>
      <w:r w:rsidRPr="00642C9C">
        <w:rPr>
          <w:rFonts w:cs="AdvPSMER-R"/>
          <w:sz w:val="20"/>
          <w:szCs w:val="18"/>
        </w:rPr>
        <w:t xml:space="preserve"> </w:t>
      </w:r>
      <w:r w:rsidRPr="00642C9C">
        <w:rPr>
          <w:b w:val="0"/>
          <w:sz w:val="20"/>
          <w:szCs w:val="18"/>
        </w:rPr>
        <w:t>Diversity and structure of the forests in Amazonian mountains ranges on southeastern Ecuador.</w:t>
      </w:r>
    </w:p>
    <w:p w:rsidR="00A127B8" w:rsidRPr="00054EDA" w:rsidRDefault="00A127B8" w:rsidP="00642C9C">
      <w:pPr>
        <w:spacing w:line="240" w:lineRule="auto"/>
        <w:rPr>
          <w:rFonts w:ascii="Palatino Linotype" w:hAnsi="Palatino Linotype" w:cs="AdvPS-CGSL"/>
          <w:sz w:val="20"/>
          <w:szCs w:val="18"/>
          <w:lang w:val="en-US"/>
        </w:rPr>
      </w:pPr>
      <w:r w:rsidRPr="00642C9C">
        <w:rPr>
          <w:rFonts w:ascii="Palatino Linotype" w:hAnsi="Palatino Linotype" w:cs="AdvPS-CGSB"/>
          <w:b/>
          <w:sz w:val="20"/>
          <w:szCs w:val="18"/>
          <w:lang w:val="en-US"/>
        </w:rPr>
        <w:t>Appendix S1</w:t>
      </w:r>
      <w:r w:rsidRPr="00642C9C">
        <w:rPr>
          <w:rFonts w:ascii="Palatino Linotype" w:hAnsi="Palatino Linotype"/>
          <w:b/>
          <w:sz w:val="20"/>
          <w:szCs w:val="18"/>
          <w:lang w:val="en-US"/>
        </w:rPr>
        <w:t>.</w:t>
      </w:r>
      <w:r w:rsidRPr="00642C9C">
        <w:rPr>
          <w:rFonts w:ascii="Palatino Linotype" w:hAnsi="Palatino Linotype"/>
          <w:sz w:val="20"/>
          <w:szCs w:val="18"/>
          <w:lang w:val="en-US"/>
        </w:rPr>
        <w:t xml:space="preserve"> </w:t>
      </w:r>
      <w:r w:rsidR="00054EDA">
        <w:rPr>
          <w:rFonts w:ascii="Palatino Linotype" w:hAnsi="Palatino Linotype"/>
          <w:sz w:val="20"/>
          <w:szCs w:val="18"/>
          <w:lang w:val="en-US"/>
        </w:rPr>
        <w:t>Values of Relative D</w:t>
      </w:r>
      <w:r w:rsidR="00054EDA" w:rsidRPr="00054EDA">
        <w:rPr>
          <w:rFonts w:ascii="Palatino Linotype" w:hAnsi="Palatino Linotype"/>
          <w:sz w:val="20"/>
          <w:szCs w:val="18"/>
          <w:lang w:val="en-US"/>
        </w:rPr>
        <w:t>iversity and number of species determined in the forests of southeastern Ecuador</w:t>
      </w:r>
      <w:r w:rsidRPr="00054EDA">
        <w:rPr>
          <w:rFonts w:ascii="Palatino Linotype" w:hAnsi="Palatino Linotype" w:cs="AdvPS-CGSL"/>
          <w:sz w:val="20"/>
          <w:szCs w:val="18"/>
          <w:lang w:val="en-US"/>
        </w:rPr>
        <w:t>.</w:t>
      </w:r>
    </w:p>
    <w:tbl>
      <w:tblPr>
        <w:tblW w:w="52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1200"/>
        <w:gridCol w:w="2020"/>
      </w:tblGrid>
      <w:tr w:rsidR="00642C9C" w:rsidRPr="00054EDA" w:rsidTr="00054EDA">
        <w:trPr>
          <w:trHeight w:val="345"/>
          <w:jc w:val="center"/>
        </w:trPr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054EDA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n-US" w:eastAsia="es-419"/>
              </w:rPr>
            </w:pPr>
            <w:r w:rsidRPr="00054EDA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n-US" w:eastAsia="es-419"/>
              </w:rPr>
              <w:t>Family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054EDA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n-US" w:eastAsia="es-419"/>
              </w:rPr>
            </w:pPr>
            <w:r w:rsidRPr="00054EDA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n-US" w:eastAsia="es-419"/>
              </w:rPr>
              <w:t># Species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054EDA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n-US" w:eastAsia="es-419"/>
              </w:rPr>
            </w:pPr>
            <w:r w:rsidRPr="00054EDA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n-US" w:eastAsia="es-419"/>
              </w:rPr>
              <w:t>Relative Diversity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Fabaceae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51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9.9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Rubiaceae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7.7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Euphorbiaceae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36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7.0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Lauraceae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36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7.0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Moraceae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27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5.2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Sapotaceae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3.7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Clusiaceae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3.5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Melastomataceae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3.5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Myristicaceae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2.9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Burseraceae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2.7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Cecropiaceae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2.7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Annonaceae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2.5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Myrtaceae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2.5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Arecaceae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2.3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Flacourtiaceae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2.1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Sapindaceae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1.9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Bombacaceae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1.7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Lecythidaceae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1.7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Apocynaceae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1.4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Chrysobalanaceae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1.4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Myrsinaceae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1.4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Theaceae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1.4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Araliaceae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1.2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Malpighiaceae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1.2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Polygonaceae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1.2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Anacardiaceae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1.0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Cyatheaceae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1.0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Nyctaginaceae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1.0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Simaroubaceae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1.0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Sterculiaceae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1.0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Aquifoliaceae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0.8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Cunoniaceae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0.8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Elaeocarpaceae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0.8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Icacinaceae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0.8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Boraginaceae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0.6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lastRenderedPageBreak/>
              <w:t>Chloranthaceae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0.6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Magnoliaceae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0.6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Rutaceae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0.6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Sabiaceae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0.6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Solanaceae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0.6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Violaceae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0.6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Vochysiaceae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0.6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Actinidiaceae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0.4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Bignoniaceae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0.4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Combretaceae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0.4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Humiriaceae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0.4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Lacistemataceae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0.4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Linaceae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0.4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Ochnaceae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0.4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Podocarpaceae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0.4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Proteaceae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0.4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Rosaceae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0.4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Tiliaceae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0.4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Verbenaceae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0.4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Asteraceae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0.2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Brunelliaceae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0.2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Capparidaceae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0.2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Clethraceae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0.2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Cyrillaceae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0.2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Ebenaceae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0.2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Ericaceae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0.2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Erythroxylaceae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0.2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Marcgraviaceae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0.2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Menispermaceae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0.2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Monimiaceae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0.2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Olacaceae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0.2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Rhamnaceae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0.2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Rhizophoraceae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0.2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Staphyleaceae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0.2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Symplocaceae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0.2</w:t>
            </w:r>
          </w:p>
        </w:tc>
      </w:tr>
      <w:tr w:rsidR="00642C9C" w:rsidRPr="00642C9C" w:rsidTr="00054EDA">
        <w:trPr>
          <w:trHeight w:val="330"/>
          <w:jc w:val="center"/>
        </w:trPr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Ulmaceae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0.2</w:t>
            </w:r>
          </w:p>
        </w:tc>
      </w:tr>
      <w:tr w:rsidR="00642C9C" w:rsidRPr="00642C9C" w:rsidTr="00054EDA">
        <w:trPr>
          <w:trHeight w:val="30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517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100</w:t>
            </w:r>
          </w:p>
        </w:tc>
      </w:tr>
    </w:tbl>
    <w:p w:rsidR="00642C9C" w:rsidRPr="00642C9C" w:rsidRDefault="00642C9C" w:rsidP="00642C9C">
      <w:pPr>
        <w:spacing w:line="240" w:lineRule="auto"/>
        <w:rPr>
          <w:rFonts w:ascii="Palatino Linotype" w:hAnsi="Palatino Linotype" w:cs="AdvPS-CGSL"/>
          <w:sz w:val="18"/>
          <w:szCs w:val="18"/>
          <w:lang w:val="en-US"/>
        </w:rPr>
      </w:pPr>
    </w:p>
    <w:p w:rsidR="00642C9C" w:rsidRPr="00642C9C" w:rsidRDefault="00642C9C" w:rsidP="00642C9C">
      <w:pPr>
        <w:spacing w:line="240" w:lineRule="auto"/>
        <w:rPr>
          <w:rFonts w:ascii="Palatino Linotype" w:hAnsi="Palatino Linotype" w:cs="AdvPS-CGSL"/>
          <w:sz w:val="18"/>
          <w:szCs w:val="18"/>
          <w:lang w:val="en-US"/>
        </w:rPr>
      </w:pPr>
    </w:p>
    <w:p w:rsidR="00642C9C" w:rsidRPr="00642C9C" w:rsidRDefault="00642C9C" w:rsidP="00642C9C">
      <w:pPr>
        <w:spacing w:line="240" w:lineRule="auto"/>
        <w:rPr>
          <w:rFonts w:ascii="Palatino Linotype" w:hAnsi="Palatino Linotype" w:cs="AdvPS-CGSL"/>
          <w:sz w:val="18"/>
          <w:szCs w:val="18"/>
          <w:lang w:val="en-US"/>
        </w:rPr>
      </w:pPr>
    </w:p>
    <w:p w:rsidR="00642C9C" w:rsidRPr="00642C9C" w:rsidRDefault="00642C9C" w:rsidP="00642C9C">
      <w:pPr>
        <w:spacing w:line="240" w:lineRule="auto"/>
        <w:rPr>
          <w:rFonts w:ascii="Palatino Linotype" w:hAnsi="Palatino Linotype" w:cs="AdvPS-CGSL"/>
          <w:sz w:val="18"/>
          <w:szCs w:val="18"/>
          <w:lang w:val="en-US"/>
        </w:rPr>
      </w:pPr>
    </w:p>
    <w:p w:rsidR="00A127B8" w:rsidRPr="006508E3" w:rsidRDefault="00A127B8" w:rsidP="00642C9C">
      <w:pPr>
        <w:spacing w:line="240" w:lineRule="auto"/>
        <w:jc w:val="both"/>
        <w:rPr>
          <w:rFonts w:ascii="Palatino Linotype" w:hAnsi="Palatino Linotype" w:cs="AdvPS-CGSL"/>
          <w:sz w:val="18"/>
          <w:szCs w:val="18"/>
          <w:lang w:val="en-US"/>
        </w:rPr>
      </w:pPr>
      <w:r w:rsidRPr="00054EDA">
        <w:rPr>
          <w:rFonts w:ascii="Palatino Linotype" w:hAnsi="Palatino Linotype" w:cs="AdvPS-CGSB"/>
          <w:b/>
          <w:sz w:val="18"/>
          <w:szCs w:val="18"/>
          <w:lang w:val="en-US"/>
        </w:rPr>
        <w:lastRenderedPageBreak/>
        <w:t>Appendix S2</w:t>
      </w:r>
      <w:r w:rsidRPr="00054EDA">
        <w:rPr>
          <w:rFonts w:ascii="Palatino Linotype" w:hAnsi="Palatino Linotype"/>
          <w:b/>
          <w:sz w:val="18"/>
          <w:szCs w:val="18"/>
          <w:lang w:val="en-US"/>
        </w:rPr>
        <w:t>.</w:t>
      </w:r>
      <w:r w:rsidRPr="00054EDA">
        <w:rPr>
          <w:rFonts w:ascii="Palatino Linotype" w:hAnsi="Palatino Linotype"/>
          <w:sz w:val="18"/>
          <w:szCs w:val="18"/>
          <w:lang w:val="en-US"/>
        </w:rPr>
        <w:t xml:space="preserve"> </w:t>
      </w:r>
      <w:r w:rsidR="006508E3" w:rsidRPr="006508E3">
        <w:rPr>
          <w:rFonts w:ascii="Palatino Linotype" w:hAnsi="Palatino Linotype"/>
          <w:sz w:val="18"/>
          <w:szCs w:val="18"/>
          <w:lang w:val="en-US"/>
        </w:rPr>
        <w:t xml:space="preserve">Structural parameters of the three most ecologically important species recorded in each of the plots analyzed in the </w:t>
      </w:r>
      <w:r w:rsidR="00054EDA">
        <w:rPr>
          <w:rFonts w:ascii="Palatino Linotype" w:hAnsi="Palatino Linotype"/>
          <w:sz w:val="18"/>
          <w:szCs w:val="18"/>
          <w:lang w:val="en-US"/>
        </w:rPr>
        <w:t xml:space="preserve">Terra </w:t>
      </w:r>
      <w:proofErr w:type="spellStart"/>
      <w:r w:rsidR="006508E3" w:rsidRPr="006508E3">
        <w:rPr>
          <w:rFonts w:ascii="Palatino Linotype" w:hAnsi="Palatino Linotype"/>
          <w:sz w:val="18"/>
          <w:szCs w:val="18"/>
          <w:lang w:val="en-US"/>
        </w:rPr>
        <w:t>Firme</w:t>
      </w:r>
      <w:proofErr w:type="spellEnd"/>
      <w:r w:rsidR="006508E3" w:rsidRPr="006508E3">
        <w:rPr>
          <w:rFonts w:ascii="Palatino Linotype" w:hAnsi="Palatino Linotype"/>
          <w:sz w:val="18"/>
          <w:szCs w:val="18"/>
          <w:lang w:val="en-US"/>
        </w:rPr>
        <w:t xml:space="preserve"> and </w:t>
      </w:r>
      <w:proofErr w:type="spellStart"/>
      <w:r w:rsidR="006508E3" w:rsidRPr="006508E3">
        <w:rPr>
          <w:rFonts w:ascii="Palatino Linotype" w:hAnsi="Palatino Linotype"/>
          <w:sz w:val="18"/>
          <w:szCs w:val="18"/>
          <w:lang w:val="en-US"/>
        </w:rPr>
        <w:t>Tepuy</w:t>
      </w:r>
      <w:proofErr w:type="spellEnd"/>
      <w:r w:rsidR="006508E3" w:rsidRPr="006508E3">
        <w:rPr>
          <w:rFonts w:ascii="Palatino Linotype" w:hAnsi="Palatino Linotype"/>
          <w:sz w:val="18"/>
          <w:szCs w:val="18"/>
          <w:lang w:val="en-US"/>
        </w:rPr>
        <w:t xml:space="preserve"> Forests. DR Relative Density; Dom Relative Dominance; IVI, Importance Value Index</w:t>
      </w:r>
      <w:r w:rsidR="006508E3">
        <w:rPr>
          <w:rFonts w:ascii="Palatino Linotype" w:hAnsi="Palatino Linotype"/>
          <w:sz w:val="18"/>
          <w:szCs w:val="18"/>
          <w:lang w:val="en-US"/>
        </w:rPr>
        <w:t>.</w:t>
      </w:r>
    </w:p>
    <w:tbl>
      <w:tblPr>
        <w:tblW w:w="74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3258"/>
        <w:gridCol w:w="760"/>
        <w:gridCol w:w="980"/>
        <w:gridCol w:w="760"/>
      </w:tblGrid>
      <w:tr w:rsidR="00642C9C" w:rsidRPr="00642C9C" w:rsidTr="00642C9C">
        <w:trPr>
          <w:trHeight w:val="315"/>
        </w:trPr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EC" w:eastAsia="es-419"/>
              </w:rPr>
              <w:t>Site</w:t>
            </w:r>
            <w:proofErr w:type="spellEnd"/>
            <w:r w:rsidRPr="00642C9C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EC" w:eastAsia="es-419"/>
              </w:rPr>
              <w:t>/</w:t>
            </w:r>
            <w:proofErr w:type="spellStart"/>
            <w:r w:rsidRPr="00642C9C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EC" w:eastAsia="es-419"/>
              </w:rPr>
              <w:t>Plot</w:t>
            </w:r>
            <w:proofErr w:type="spellEnd"/>
          </w:p>
        </w:tc>
        <w:tc>
          <w:tcPr>
            <w:tcW w:w="32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EC" w:eastAsia="es-419"/>
              </w:rPr>
              <w:t>Especie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EC" w:eastAsia="es-419"/>
              </w:rPr>
              <w:t>DR (%)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EC" w:eastAsia="es-419"/>
              </w:rPr>
              <w:t>Dom. (%)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EC" w:eastAsia="es-419"/>
              </w:rPr>
              <w:t>IVI (%)</w:t>
            </w:r>
          </w:p>
        </w:tc>
      </w:tr>
      <w:tr w:rsidR="00642C9C" w:rsidRPr="00642C9C" w:rsidTr="00642C9C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419"/>
              </w:rPr>
              <w:t>Nangaritza TF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>Chrysophyllum</w:t>
            </w:r>
            <w:proofErr w:type="spellEnd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 xml:space="preserve"> </w:t>
            </w:r>
            <w:proofErr w:type="spellStart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>sanguineolentum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19.1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23.56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42.67</w:t>
            </w:r>
          </w:p>
        </w:tc>
      </w:tr>
      <w:tr w:rsidR="00642C9C" w:rsidRPr="00642C9C" w:rsidTr="00642C9C">
        <w:trPr>
          <w:trHeight w:val="300"/>
        </w:trPr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>Nectandra</w:t>
            </w:r>
            <w:proofErr w:type="spellEnd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 xml:space="preserve"> </w:t>
            </w:r>
            <w:proofErr w:type="spellStart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>sp</w:t>
            </w:r>
            <w:proofErr w:type="spellEnd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5.52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6.525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12.04</w:t>
            </w:r>
          </w:p>
        </w:tc>
      </w:tr>
      <w:tr w:rsidR="00642C9C" w:rsidRPr="00642C9C" w:rsidTr="00642C9C">
        <w:trPr>
          <w:trHeight w:val="315"/>
        </w:trPr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>Aspidosperma</w:t>
            </w:r>
            <w:proofErr w:type="spellEnd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 xml:space="preserve"> </w:t>
            </w:r>
            <w:proofErr w:type="spellStart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>megalocarpon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3.58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4.5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8.08</w:t>
            </w:r>
          </w:p>
        </w:tc>
      </w:tr>
      <w:tr w:rsidR="00642C9C" w:rsidRPr="00642C9C" w:rsidTr="00642C9C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Nangaritza</w:t>
            </w:r>
            <w:proofErr w:type="spellEnd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 xml:space="preserve"> T 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>Alchornea</w:t>
            </w:r>
            <w:proofErr w:type="spellEnd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 xml:space="preserve"> grandiflora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9.62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10.97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20.59</w:t>
            </w:r>
          </w:p>
        </w:tc>
      </w:tr>
      <w:tr w:rsidR="00642C9C" w:rsidRPr="00642C9C" w:rsidTr="00642C9C">
        <w:trPr>
          <w:trHeight w:val="300"/>
        </w:trPr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>Ormosia</w:t>
            </w:r>
            <w:proofErr w:type="spellEnd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 xml:space="preserve"> </w:t>
            </w:r>
            <w:proofErr w:type="spellStart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>sp</w:t>
            </w:r>
            <w:proofErr w:type="spellEnd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4.18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5.86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10.04</w:t>
            </w:r>
          </w:p>
        </w:tc>
      </w:tr>
      <w:tr w:rsidR="00642C9C" w:rsidRPr="00642C9C" w:rsidTr="00642C9C">
        <w:trPr>
          <w:trHeight w:val="315"/>
        </w:trPr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 xml:space="preserve">Podocarpus </w:t>
            </w:r>
            <w:proofErr w:type="spellStart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>tepuiensis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1.88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7.82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9.712</w:t>
            </w:r>
          </w:p>
        </w:tc>
      </w:tr>
      <w:tr w:rsidR="00642C9C" w:rsidRPr="00642C9C" w:rsidTr="00642C9C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Wawaime</w:t>
            </w:r>
            <w:proofErr w:type="spellEnd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 xml:space="preserve"> TF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>Wettinia</w:t>
            </w:r>
            <w:proofErr w:type="spellEnd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 xml:space="preserve"> </w:t>
            </w:r>
            <w:proofErr w:type="spellStart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>maynensis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12.76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5.07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17.83</w:t>
            </w:r>
          </w:p>
        </w:tc>
      </w:tr>
      <w:tr w:rsidR="00642C9C" w:rsidRPr="00642C9C" w:rsidTr="00642C9C">
        <w:trPr>
          <w:trHeight w:val="300"/>
        </w:trPr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>Chrysophyllum</w:t>
            </w:r>
            <w:proofErr w:type="spellEnd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 xml:space="preserve"> </w:t>
            </w:r>
            <w:proofErr w:type="spellStart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>sanguineolentum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4.747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9.46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14.21</w:t>
            </w:r>
          </w:p>
        </w:tc>
      </w:tr>
      <w:tr w:rsidR="00642C9C" w:rsidRPr="00642C9C" w:rsidTr="00642C9C">
        <w:trPr>
          <w:trHeight w:val="315"/>
        </w:trPr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>Osteophloeum</w:t>
            </w:r>
            <w:proofErr w:type="spellEnd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 xml:space="preserve"> </w:t>
            </w:r>
            <w:proofErr w:type="spellStart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>platyspermum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3.16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10.34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13.5</w:t>
            </w:r>
          </w:p>
        </w:tc>
      </w:tr>
      <w:tr w:rsidR="00642C9C" w:rsidRPr="00642C9C" w:rsidTr="00642C9C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Wawaime</w:t>
            </w:r>
            <w:proofErr w:type="spellEnd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 xml:space="preserve"> T 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>Alchornea</w:t>
            </w:r>
            <w:proofErr w:type="spellEnd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 xml:space="preserve"> grandiflora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21.34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29.3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50.64</w:t>
            </w:r>
          </w:p>
        </w:tc>
      </w:tr>
      <w:tr w:rsidR="00642C9C" w:rsidRPr="00642C9C" w:rsidTr="00642C9C">
        <w:trPr>
          <w:trHeight w:val="300"/>
        </w:trPr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>Purdiaea</w:t>
            </w:r>
            <w:proofErr w:type="spellEnd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 xml:space="preserve"> </w:t>
            </w:r>
            <w:proofErr w:type="spellStart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>nutans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22.02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26.77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48.79</w:t>
            </w:r>
          </w:p>
        </w:tc>
      </w:tr>
      <w:tr w:rsidR="00642C9C" w:rsidRPr="00642C9C" w:rsidTr="00642C9C">
        <w:trPr>
          <w:trHeight w:val="315"/>
        </w:trPr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>Neea</w:t>
            </w:r>
            <w:proofErr w:type="spellEnd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 xml:space="preserve"> </w:t>
            </w:r>
            <w:proofErr w:type="spellStart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>ovalifolia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9.43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6.1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15.54</w:t>
            </w:r>
          </w:p>
        </w:tc>
      </w:tr>
      <w:tr w:rsidR="00642C9C" w:rsidRPr="00642C9C" w:rsidTr="00642C9C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Wisui</w:t>
            </w:r>
            <w:proofErr w:type="spellEnd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 xml:space="preserve"> TF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 xml:space="preserve">Otoba </w:t>
            </w:r>
            <w:proofErr w:type="spellStart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>glycycarpa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9.79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14.17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23.97</w:t>
            </w:r>
          </w:p>
        </w:tc>
      </w:tr>
      <w:tr w:rsidR="00642C9C" w:rsidRPr="00642C9C" w:rsidTr="00642C9C">
        <w:trPr>
          <w:trHeight w:val="300"/>
        </w:trPr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>Wettinia</w:t>
            </w:r>
            <w:proofErr w:type="spellEnd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 xml:space="preserve"> </w:t>
            </w:r>
            <w:proofErr w:type="spellStart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>maynensis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9.64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2.59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12.23</w:t>
            </w:r>
          </w:p>
        </w:tc>
      </w:tr>
      <w:tr w:rsidR="00642C9C" w:rsidRPr="00642C9C" w:rsidTr="00642C9C">
        <w:trPr>
          <w:trHeight w:val="315"/>
        </w:trPr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>Chimarrhis</w:t>
            </w:r>
            <w:proofErr w:type="spellEnd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 xml:space="preserve"> </w:t>
            </w:r>
            <w:proofErr w:type="spellStart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>hookeri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3.421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7.46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10.88</w:t>
            </w:r>
          </w:p>
        </w:tc>
      </w:tr>
      <w:tr w:rsidR="00642C9C" w:rsidRPr="00642C9C" w:rsidTr="00642C9C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Wisui</w:t>
            </w:r>
            <w:proofErr w:type="spellEnd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 xml:space="preserve"> T 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>Humiriastrum</w:t>
            </w:r>
            <w:proofErr w:type="spellEnd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 xml:space="preserve"> </w:t>
            </w:r>
            <w:proofErr w:type="spellStart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>mapiriense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8.52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16.36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24.89</w:t>
            </w:r>
          </w:p>
        </w:tc>
      </w:tr>
      <w:tr w:rsidR="00642C9C" w:rsidRPr="00642C9C" w:rsidTr="00642C9C">
        <w:trPr>
          <w:trHeight w:val="300"/>
        </w:trPr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>Pseudolmedia</w:t>
            </w:r>
            <w:proofErr w:type="spellEnd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 xml:space="preserve"> </w:t>
            </w:r>
            <w:proofErr w:type="spellStart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>laevigata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9.23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10.75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19.99</w:t>
            </w:r>
          </w:p>
        </w:tc>
      </w:tr>
      <w:tr w:rsidR="00642C9C" w:rsidRPr="00642C9C" w:rsidTr="00642C9C">
        <w:trPr>
          <w:trHeight w:val="315"/>
        </w:trPr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>Macrolobium</w:t>
            </w:r>
            <w:proofErr w:type="spellEnd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 xml:space="preserve"> </w:t>
            </w:r>
            <w:proofErr w:type="spellStart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>sp</w:t>
            </w:r>
            <w:proofErr w:type="spellEnd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9.84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10.03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19.88</w:t>
            </w:r>
          </w:p>
        </w:tc>
      </w:tr>
      <w:tr w:rsidR="00642C9C" w:rsidRPr="00642C9C" w:rsidTr="00642C9C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Kuankos</w:t>
            </w:r>
            <w:proofErr w:type="spellEnd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 xml:space="preserve"> TF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>Wettinia</w:t>
            </w:r>
            <w:proofErr w:type="spellEnd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 xml:space="preserve"> </w:t>
            </w:r>
            <w:proofErr w:type="spellStart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>maynensis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17.11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4.51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21.62</w:t>
            </w:r>
          </w:p>
        </w:tc>
      </w:tr>
      <w:tr w:rsidR="00642C9C" w:rsidRPr="00642C9C" w:rsidTr="00642C9C">
        <w:trPr>
          <w:trHeight w:val="300"/>
        </w:trPr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 xml:space="preserve">Otoba </w:t>
            </w:r>
            <w:proofErr w:type="spellStart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>glycycarpa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6.28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11.1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17.38</w:t>
            </w:r>
          </w:p>
        </w:tc>
      </w:tr>
      <w:tr w:rsidR="00642C9C" w:rsidRPr="00642C9C" w:rsidTr="00642C9C">
        <w:trPr>
          <w:trHeight w:val="315"/>
        </w:trPr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>Dacryodes</w:t>
            </w:r>
            <w:proofErr w:type="spellEnd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 xml:space="preserve"> peruviana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5.88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6.55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12.43</w:t>
            </w:r>
          </w:p>
        </w:tc>
      </w:tr>
      <w:tr w:rsidR="00642C9C" w:rsidRPr="00642C9C" w:rsidTr="00642C9C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Kuankus</w:t>
            </w:r>
            <w:proofErr w:type="spellEnd"/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 xml:space="preserve"> T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>Chrysophyllum</w:t>
            </w:r>
            <w:proofErr w:type="spellEnd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 xml:space="preserve"> </w:t>
            </w:r>
            <w:proofErr w:type="spellStart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>sanguineolentum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11.44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17.05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28.49</w:t>
            </w:r>
          </w:p>
        </w:tc>
      </w:tr>
      <w:tr w:rsidR="00642C9C" w:rsidRPr="00642C9C" w:rsidTr="00642C9C">
        <w:trPr>
          <w:trHeight w:val="300"/>
        </w:trPr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>Schefflera</w:t>
            </w:r>
            <w:proofErr w:type="spellEnd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 xml:space="preserve"> </w:t>
            </w:r>
            <w:proofErr w:type="spellStart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>harmsii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15.61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12.45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28.06</w:t>
            </w:r>
          </w:p>
        </w:tc>
      </w:tr>
      <w:tr w:rsidR="00642C9C" w:rsidRPr="00642C9C" w:rsidTr="00642C9C">
        <w:trPr>
          <w:trHeight w:val="315"/>
        </w:trPr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>Socratea</w:t>
            </w:r>
            <w:proofErr w:type="spellEnd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 xml:space="preserve"> </w:t>
            </w:r>
            <w:proofErr w:type="spellStart"/>
            <w:r w:rsidRPr="00642C9C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EC" w:eastAsia="es-419"/>
              </w:rPr>
              <w:t>exorrhiza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13.59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8.18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C9C" w:rsidRPr="00642C9C" w:rsidRDefault="00642C9C" w:rsidP="00642C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642C9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EC" w:eastAsia="es-419"/>
              </w:rPr>
              <w:t>21.77</w:t>
            </w:r>
          </w:p>
        </w:tc>
      </w:tr>
    </w:tbl>
    <w:p w:rsidR="00642C9C" w:rsidRPr="00642C9C" w:rsidRDefault="00642C9C" w:rsidP="00642C9C">
      <w:pPr>
        <w:spacing w:line="240" w:lineRule="auto"/>
        <w:rPr>
          <w:rFonts w:ascii="Palatino Linotype" w:hAnsi="Palatino Linotype" w:cs="AdvPS-CGSL"/>
          <w:sz w:val="18"/>
          <w:szCs w:val="18"/>
          <w:lang w:val="en-US"/>
        </w:rPr>
      </w:pPr>
    </w:p>
    <w:p w:rsidR="00642C9C" w:rsidRPr="00642C9C" w:rsidRDefault="00642C9C" w:rsidP="00642C9C">
      <w:pPr>
        <w:spacing w:line="240" w:lineRule="auto"/>
        <w:rPr>
          <w:rFonts w:ascii="Palatino Linotype" w:hAnsi="Palatino Linotype" w:cs="AdvPS-CGSL"/>
          <w:sz w:val="18"/>
          <w:szCs w:val="18"/>
          <w:lang w:val="en-US"/>
        </w:rPr>
      </w:pPr>
    </w:p>
    <w:p w:rsidR="00642C9C" w:rsidRDefault="00642C9C" w:rsidP="00642C9C">
      <w:pPr>
        <w:spacing w:line="240" w:lineRule="auto"/>
        <w:rPr>
          <w:rFonts w:ascii="Palatino Linotype" w:hAnsi="Palatino Linotype" w:cs="AdvPS-CGSL"/>
          <w:sz w:val="18"/>
          <w:szCs w:val="18"/>
          <w:lang w:val="en-US"/>
        </w:rPr>
      </w:pPr>
    </w:p>
    <w:p w:rsidR="00642C9C" w:rsidRDefault="00642C9C" w:rsidP="00642C9C">
      <w:pPr>
        <w:spacing w:line="240" w:lineRule="auto"/>
        <w:rPr>
          <w:rFonts w:ascii="Palatino Linotype" w:hAnsi="Palatino Linotype" w:cs="AdvPS-CGSL"/>
          <w:sz w:val="18"/>
          <w:szCs w:val="18"/>
          <w:lang w:val="en-US"/>
        </w:rPr>
      </w:pPr>
    </w:p>
    <w:p w:rsidR="00642C9C" w:rsidRDefault="00642C9C" w:rsidP="00642C9C">
      <w:pPr>
        <w:spacing w:line="240" w:lineRule="auto"/>
        <w:rPr>
          <w:rFonts w:ascii="Palatino Linotype" w:hAnsi="Palatino Linotype" w:cs="AdvPS-CGSL"/>
          <w:sz w:val="18"/>
          <w:szCs w:val="18"/>
          <w:lang w:val="en-US"/>
        </w:rPr>
      </w:pPr>
    </w:p>
    <w:p w:rsidR="00642C9C" w:rsidRDefault="00642C9C" w:rsidP="00642C9C">
      <w:pPr>
        <w:spacing w:line="240" w:lineRule="auto"/>
        <w:rPr>
          <w:rFonts w:ascii="Palatino Linotype" w:hAnsi="Palatino Linotype" w:cs="AdvPS-CGSL"/>
          <w:sz w:val="18"/>
          <w:szCs w:val="18"/>
          <w:lang w:val="en-US"/>
        </w:rPr>
      </w:pPr>
    </w:p>
    <w:p w:rsidR="00642C9C" w:rsidRDefault="00642C9C" w:rsidP="00642C9C">
      <w:pPr>
        <w:spacing w:line="240" w:lineRule="auto"/>
        <w:rPr>
          <w:rFonts w:ascii="Palatino Linotype" w:hAnsi="Palatino Linotype" w:cs="AdvPS-CGSL"/>
          <w:sz w:val="18"/>
          <w:szCs w:val="18"/>
          <w:lang w:val="en-US"/>
        </w:rPr>
      </w:pPr>
    </w:p>
    <w:p w:rsidR="00642C9C" w:rsidRDefault="00642C9C" w:rsidP="00642C9C">
      <w:pPr>
        <w:spacing w:line="240" w:lineRule="auto"/>
        <w:rPr>
          <w:rFonts w:ascii="Palatino Linotype" w:hAnsi="Palatino Linotype" w:cs="AdvPS-CGSL"/>
          <w:sz w:val="18"/>
          <w:szCs w:val="18"/>
          <w:lang w:val="en-US"/>
        </w:rPr>
      </w:pPr>
    </w:p>
    <w:p w:rsidR="00642C9C" w:rsidRDefault="00642C9C" w:rsidP="00642C9C">
      <w:pPr>
        <w:spacing w:line="240" w:lineRule="auto"/>
        <w:rPr>
          <w:rFonts w:ascii="Palatino Linotype" w:hAnsi="Palatino Linotype" w:cs="AdvPS-CGSL"/>
          <w:sz w:val="18"/>
          <w:szCs w:val="18"/>
          <w:lang w:val="en-US"/>
        </w:rPr>
      </w:pPr>
    </w:p>
    <w:p w:rsidR="00642C9C" w:rsidRDefault="00642C9C" w:rsidP="00642C9C">
      <w:pPr>
        <w:spacing w:line="240" w:lineRule="auto"/>
        <w:rPr>
          <w:rFonts w:ascii="Palatino Linotype" w:hAnsi="Palatino Linotype" w:cs="AdvPS-CGSL"/>
          <w:sz w:val="18"/>
          <w:szCs w:val="18"/>
          <w:lang w:val="en-US"/>
        </w:rPr>
      </w:pPr>
    </w:p>
    <w:p w:rsidR="00642C9C" w:rsidRDefault="00642C9C" w:rsidP="00642C9C">
      <w:pPr>
        <w:spacing w:line="240" w:lineRule="auto"/>
        <w:rPr>
          <w:rFonts w:ascii="Palatino Linotype" w:hAnsi="Palatino Linotype" w:cs="AdvPS-CGSL"/>
          <w:sz w:val="18"/>
          <w:szCs w:val="18"/>
          <w:lang w:val="en-US"/>
        </w:rPr>
      </w:pPr>
    </w:p>
    <w:p w:rsidR="00A127B8" w:rsidRPr="00FA4F9C" w:rsidRDefault="00A127B8" w:rsidP="00642C9C">
      <w:pPr>
        <w:spacing w:line="240" w:lineRule="auto"/>
        <w:rPr>
          <w:rFonts w:ascii="Palatino Linotype" w:hAnsi="Palatino Linotype" w:cs="AdvPS-CGSL"/>
          <w:sz w:val="18"/>
          <w:szCs w:val="18"/>
          <w:lang w:val="en-US"/>
        </w:rPr>
      </w:pPr>
      <w:r w:rsidRPr="00642C9C">
        <w:rPr>
          <w:rFonts w:ascii="Palatino Linotype" w:hAnsi="Palatino Linotype" w:cs="AdvPS-CGSB"/>
          <w:b/>
          <w:sz w:val="18"/>
          <w:szCs w:val="18"/>
          <w:lang w:val="en-US"/>
        </w:rPr>
        <w:lastRenderedPageBreak/>
        <w:t>Appendix S3</w:t>
      </w:r>
      <w:r w:rsidRPr="00642C9C">
        <w:rPr>
          <w:rFonts w:ascii="Palatino Linotype" w:hAnsi="Palatino Linotype"/>
          <w:b/>
          <w:sz w:val="18"/>
          <w:szCs w:val="18"/>
          <w:lang w:val="en-US"/>
        </w:rPr>
        <w:t>.</w:t>
      </w:r>
      <w:r w:rsidRPr="00642C9C">
        <w:rPr>
          <w:rFonts w:ascii="Palatino Linotype" w:hAnsi="Palatino Linotype"/>
          <w:sz w:val="18"/>
          <w:szCs w:val="18"/>
          <w:lang w:val="en-US"/>
        </w:rPr>
        <w:t xml:space="preserve"> </w:t>
      </w:r>
      <w:r w:rsidR="00FA4F9C" w:rsidRPr="00FA4F9C">
        <w:rPr>
          <w:rFonts w:ascii="Palatino Linotype" w:hAnsi="Palatino Linotype"/>
          <w:sz w:val="18"/>
          <w:szCs w:val="18"/>
          <w:lang w:val="en-US"/>
        </w:rPr>
        <w:t>Dissimilarity between forest types and sampling sites, species and abundance values and percentage contribution for dissimilarity are shown</w:t>
      </w:r>
      <w:r w:rsidRPr="00FA4F9C">
        <w:rPr>
          <w:rFonts w:ascii="Palatino Linotype" w:hAnsi="Palatino Linotype" w:cs="AdvPS-CGSL"/>
          <w:sz w:val="18"/>
          <w:szCs w:val="18"/>
          <w:lang w:val="en-US"/>
        </w:rPr>
        <w:t>.</w:t>
      </w:r>
    </w:p>
    <w:tbl>
      <w:tblPr>
        <w:tblW w:w="73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134"/>
        <w:gridCol w:w="1005"/>
        <w:gridCol w:w="795"/>
        <w:gridCol w:w="940"/>
        <w:gridCol w:w="746"/>
      </w:tblGrid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TF I &amp; TYI</w:t>
            </w:r>
          </w:p>
        </w:tc>
        <w:tc>
          <w:tcPr>
            <w:tcW w:w="46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Average dissimilarity = 97.4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TF 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TY I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Species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Av.Abund</w:t>
            </w:r>
            <w:proofErr w:type="spellEnd"/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Av.Abund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Av.Diss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Contrib</w:t>
            </w:r>
            <w:proofErr w:type="spellEnd"/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%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Cum.%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Chrysophyllum.sanguineolentum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20"/>
                <w:lang w:val="en-US" w:eastAsia="es-419"/>
              </w:rPr>
              <w:t>0.08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20"/>
                <w:lang w:val="en-US" w:eastAsia="es-419"/>
              </w:rPr>
              <w:t>5.12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20"/>
                <w:lang w:val="en-US" w:eastAsia="es-419"/>
              </w:rPr>
              <w:t>10.99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11.28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11.28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Alchornea.grandiflora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1.84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4.121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4.231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15.51</w:t>
            </w:r>
          </w:p>
        </w:tc>
      </w:tr>
      <w:tr w:rsidR="00242162" w:rsidRPr="00242162" w:rsidTr="00FA4F9C">
        <w:trPr>
          <w:trHeight w:val="330"/>
          <w:jc w:val="center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Nectandra.sp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1.52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3.45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3.543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19.05</w:t>
            </w:r>
          </w:p>
        </w:tc>
      </w:tr>
      <w:tr w:rsidR="00242162" w:rsidRPr="00242162" w:rsidTr="00FA4F9C">
        <w:trPr>
          <w:trHeight w:val="330"/>
          <w:jc w:val="center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TF I &amp; TF II</w:t>
            </w:r>
          </w:p>
        </w:tc>
        <w:tc>
          <w:tcPr>
            <w:tcW w:w="46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Average dissimilarity = 87.54</w:t>
            </w:r>
          </w:p>
        </w:tc>
      </w:tr>
      <w:tr w:rsidR="00242162" w:rsidRPr="00242162" w:rsidTr="00FA4F9C">
        <w:trPr>
          <w:trHeight w:val="33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TF 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TF II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Wettinia.maynensis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0.16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4.84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7.41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8.46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8.46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Chrysophyllum.sanguineolentum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5.12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1.8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6.32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7.21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15.67</w:t>
            </w:r>
          </w:p>
        </w:tc>
      </w:tr>
      <w:tr w:rsidR="00242162" w:rsidRPr="00242162" w:rsidTr="00FA4F9C">
        <w:trPr>
          <w:trHeight w:val="330"/>
          <w:jc w:val="center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Iriartea.deltoidea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0.04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2.56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4.41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5.03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20.7</w:t>
            </w:r>
          </w:p>
        </w:tc>
      </w:tr>
      <w:tr w:rsidR="00242162" w:rsidRPr="00242162" w:rsidTr="00FA4F9C">
        <w:trPr>
          <w:trHeight w:val="330"/>
          <w:jc w:val="center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n-US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Groups TF I &amp; TY II</w:t>
            </w:r>
          </w:p>
        </w:tc>
        <w:tc>
          <w:tcPr>
            <w:tcW w:w="46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Average dissimilarity = 97.53</w:t>
            </w:r>
          </w:p>
        </w:tc>
      </w:tr>
      <w:tr w:rsidR="00242162" w:rsidRPr="00242162" w:rsidTr="00FA4F9C">
        <w:trPr>
          <w:trHeight w:val="33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TF 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TY II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Chrysophyllum.sanguineolentum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5.12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11.25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11.53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11.53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Purdiaea.nutans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3.92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9.05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9.27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20.8</w:t>
            </w:r>
          </w:p>
        </w:tc>
      </w:tr>
      <w:tr w:rsidR="00242162" w:rsidRPr="00242162" w:rsidTr="00FA4F9C">
        <w:trPr>
          <w:trHeight w:val="330"/>
          <w:jc w:val="center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Alchornea.grandiflora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3.8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8.57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8.79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29.6</w:t>
            </w:r>
          </w:p>
        </w:tc>
      </w:tr>
      <w:tr w:rsidR="00242162" w:rsidRPr="00242162" w:rsidTr="00FA4F9C">
        <w:trPr>
          <w:trHeight w:val="330"/>
          <w:jc w:val="center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n-US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Groups TF I &amp; TF III</w:t>
            </w:r>
          </w:p>
        </w:tc>
        <w:tc>
          <w:tcPr>
            <w:tcW w:w="46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Average dissimilarity = 99.3</w:t>
            </w:r>
          </w:p>
        </w:tc>
      </w:tr>
      <w:tr w:rsidR="00242162" w:rsidRPr="00242162" w:rsidTr="00FA4F9C">
        <w:trPr>
          <w:trHeight w:val="33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TF 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TF III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Chrysophyllum.sanguineolentum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5.12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9.54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9.61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9.61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 xml:space="preserve">Otoba </w:t>
            </w: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glycicarpa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2.52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5.3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5.34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14.95</w:t>
            </w:r>
          </w:p>
        </w:tc>
      </w:tr>
      <w:tr w:rsidR="00242162" w:rsidRPr="00242162" w:rsidTr="00FA4F9C">
        <w:trPr>
          <w:trHeight w:val="330"/>
          <w:jc w:val="center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Wettinia.maynensis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0.16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2.48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5.13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5.16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20.11</w:t>
            </w:r>
          </w:p>
        </w:tc>
      </w:tr>
      <w:tr w:rsidR="00242162" w:rsidRPr="00242162" w:rsidTr="00FA4F9C">
        <w:trPr>
          <w:trHeight w:val="330"/>
          <w:jc w:val="center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n-US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Groups TF I &amp; TY III</w:t>
            </w:r>
          </w:p>
        </w:tc>
        <w:tc>
          <w:tcPr>
            <w:tcW w:w="46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Average dissimilarity = 98.94</w:t>
            </w:r>
          </w:p>
        </w:tc>
      </w:tr>
      <w:tr w:rsidR="00242162" w:rsidRPr="00242162" w:rsidTr="00FA4F9C">
        <w:trPr>
          <w:trHeight w:val="33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TF 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TY III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Chrysophyllum.sanguineolentum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5.12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7.59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7.67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7.67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Macrolobium.sp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0.16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3.88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6.43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6.49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14.16</w:t>
            </w:r>
          </w:p>
        </w:tc>
      </w:tr>
      <w:tr w:rsidR="00242162" w:rsidRPr="00242162" w:rsidTr="00FA4F9C">
        <w:trPr>
          <w:trHeight w:val="330"/>
          <w:jc w:val="center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Humiriastrum.mapiriense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0.04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3.36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5.98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6.04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20.21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n-US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Groups TF I &amp; TF IV</w:t>
            </w:r>
          </w:p>
        </w:tc>
        <w:tc>
          <w:tcPr>
            <w:tcW w:w="46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Average dissimilarity = 98.55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TF 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TF IV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242162" w:rsidRPr="00242162" w:rsidTr="00FA4F9C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Chrysophyllum.sanguineolentum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5.12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8.91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9.05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9.05</w:t>
            </w:r>
          </w:p>
        </w:tc>
      </w:tr>
      <w:tr w:rsidR="00242162" w:rsidRPr="00242162" w:rsidTr="00FA4F9C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Wettinia.maynensis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0.16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5.12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8.84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8.97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18.02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Otoba.glycycarpa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1.88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3.74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3.79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21.81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n-US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Groups TF I &amp; TY IV</w:t>
            </w:r>
          </w:p>
        </w:tc>
        <w:tc>
          <w:tcPr>
            <w:tcW w:w="46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Average dissimilarity = 93.34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TF 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TY IV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Chrysophyllum.sanguineolentum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5.12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3.4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11.47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12.29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12.29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Schefflera.harmsii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4.64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7.26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7.78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20.1</w:t>
            </w:r>
          </w:p>
        </w:tc>
      </w:tr>
      <w:tr w:rsidR="00242162" w:rsidRPr="00242162" w:rsidTr="00FA4F9C">
        <w:trPr>
          <w:trHeight w:val="330"/>
          <w:jc w:val="center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Socratea.exorrhiza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0.16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4.04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6.35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6.81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26.88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n-US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Groups TY I &amp; TF II</w:t>
            </w:r>
          </w:p>
        </w:tc>
        <w:tc>
          <w:tcPr>
            <w:tcW w:w="46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Average dissimilarity = 98.29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TY 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TF II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Wettinia.maynensis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0.04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4.84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8.59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8.74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8.74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Iriartea.deltoidea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2.56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5.06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5.15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13.89</w:t>
            </w:r>
          </w:p>
        </w:tc>
      </w:tr>
      <w:tr w:rsidR="00242162" w:rsidRPr="00242162" w:rsidTr="00FA4F9C">
        <w:trPr>
          <w:trHeight w:val="33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lastRenderedPageBreak/>
              <w:t>Euterpe.catinga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2.52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4.35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4.43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18.32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n-US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Groups TY I &amp; TY II</w:t>
            </w:r>
          </w:p>
        </w:tc>
        <w:tc>
          <w:tcPr>
            <w:tcW w:w="46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Average dissimilarity = 85,28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TY 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TY II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Alchornea.grandiflora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1.84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3.8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12.1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12.88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12.88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Purdiaea.nutans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0.16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3.92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10.89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11.6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24.48</w:t>
            </w:r>
          </w:p>
        </w:tc>
      </w:tr>
      <w:tr w:rsidR="00242162" w:rsidRPr="00242162" w:rsidTr="00FA4F9C">
        <w:trPr>
          <w:trHeight w:val="330"/>
          <w:jc w:val="center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Neea.ovalifolia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1.68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4.65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4.96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29.43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n-US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Groups TY I &amp; TF III</w:t>
            </w:r>
          </w:p>
        </w:tc>
        <w:tc>
          <w:tcPr>
            <w:tcW w:w="46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Average dissimilarity = 99.87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TY 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TF III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Otoba.glycycarpa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2.52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6.30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6.31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6.31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Wettinia.maynensis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0.04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2.48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5.86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5.87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12.17</w:t>
            </w:r>
          </w:p>
        </w:tc>
      </w:tr>
      <w:tr w:rsidR="00242162" w:rsidRPr="00242162" w:rsidTr="00FA4F9C">
        <w:trPr>
          <w:trHeight w:val="33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Alchornea.grandiflora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1.84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0.00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4.11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4.12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16.29</w:t>
            </w:r>
          </w:p>
        </w:tc>
      </w:tr>
      <w:tr w:rsidR="00242162" w:rsidRPr="00242162" w:rsidTr="00FA4F9C">
        <w:trPr>
          <w:trHeight w:val="330"/>
          <w:jc w:val="center"/>
        </w:trPr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n-US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Groups TY I &amp; TY III</w:t>
            </w:r>
          </w:p>
        </w:tc>
        <w:tc>
          <w:tcPr>
            <w:tcW w:w="46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Average dissimilarity = 98.81</w:t>
            </w:r>
          </w:p>
        </w:tc>
      </w:tr>
      <w:tr w:rsidR="00242162" w:rsidRPr="00242162" w:rsidTr="00FA4F9C">
        <w:trPr>
          <w:trHeight w:val="33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TY 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TY III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Humiriastrum.mapiriense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0.68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3.36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7.654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7.746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7.746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Macrolobium.sp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3.88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7.088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7.173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14.92</w:t>
            </w:r>
          </w:p>
        </w:tc>
      </w:tr>
      <w:tr w:rsidR="00242162" w:rsidRPr="00242162" w:rsidTr="00FA4F9C">
        <w:trPr>
          <w:trHeight w:val="33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Pseudolmedia.laevigata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3.64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5.335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5.4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20.32</w:t>
            </w:r>
          </w:p>
        </w:tc>
      </w:tr>
      <w:tr w:rsidR="00242162" w:rsidRPr="00242162" w:rsidTr="00FA4F9C">
        <w:trPr>
          <w:trHeight w:val="330"/>
          <w:jc w:val="center"/>
        </w:trPr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n-US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Groups TY I &amp; TF IV</w:t>
            </w:r>
          </w:p>
        </w:tc>
        <w:tc>
          <w:tcPr>
            <w:tcW w:w="46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Average dissimilarity = 99.75</w:t>
            </w:r>
          </w:p>
        </w:tc>
      </w:tr>
      <w:tr w:rsidR="00242162" w:rsidRPr="00242162" w:rsidTr="00FA4F9C">
        <w:trPr>
          <w:trHeight w:val="33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TY 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TF IV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Wettinia.maynensis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0.04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5.12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10.01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10.04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10.04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Otoba.glycycarpa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1.88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4.411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4.422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14.46</w:t>
            </w:r>
          </w:p>
        </w:tc>
      </w:tr>
      <w:tr w:rsidR="00242162" w:rsidRPr="00242162" w:rsidTr="00FA4F9C">
        <w:trPr>
          <w:trHeight w:val="33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Alchornea.grandiflora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1.84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3.798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3.807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18.27</w:t>
            </w:r>
          </w:p>
        </w:tc>
      </w:tr>
      <w:tr w:rsidR="00242162" w:rsidRPr="00242162" w:rsidTr="00FA4F9C">
        <w:trPr>
          <w:trHeight w:val="330"/>
          <w:jc w:val="center"/>
        </w:trPr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n-US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Groups TY I &amp; TY IV</w:t>
            </w:r>
          </w:p>
        </w:tc>
        <w:tc>
          <w:tcPr>
            <w:tcW w:w="46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Average dissimilarity = 99.02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TY 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TY IV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Schefflera.harmsii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4.64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8.247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8.329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8.329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Chrysophyllum.sanguineolentum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0.08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3.4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8.228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8.309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16.64</w:t>
            </w:r>
          </w:p>
        </w:tc>
      </w:tr>
      <w:tr w:rsidR="00242162" w:rsidRPr="00242162" w:rsidTr="00FA4F9C">
        <w:trPr>
          <w:trHeight w:val="33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Socratea.exorrhiza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4.04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6.954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7.024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23.66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n-US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Groups TF II &amp; TY II</w:t>
            </w:r>
          </w:p>
        </w:tc>
        <w:tc>
          <w:tcPr>
            <w:tcW w:w="46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Average dissimilarity = 96.49</w:t>
            </w:r>
          </w:p>
        </w:tc>
      </w:tr>
      <w:tr w:rsidR="00242162" w:rsidRPr="00242162" w:rsidTr="00FA4F9C">
        <w:trPr>
          <w:trHeight w:val="33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TF II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TY II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Wettinia.maynensis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4.84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8.722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9.039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9.039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Purdiaea.nutans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3.92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7.079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7.337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16.38</w:t>
            </w:r>
          </w:p>
        </w:tc>
      </w:tr>
      <w:tr w:rsidR="00242162" w:rsidRPr="00242162" w:rsidTr="00FA4F9C">
        <w:trPr>
          <w:trHeight w:val="33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Alchornea.grandiflora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3.8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6.759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7.005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23.38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n-US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Groups TF II &amp; TF III</w:t>
            </w:r>
          </w:p>
        </w:tc>
        <w:tc>
          <w:tcPr>
            <w:tcW w:w="46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Average dissimilarity = 96.65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TF II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TF III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Wettinia.maynensis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4.84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2.48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9.758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10.1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10.1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Iriartea.deltoidea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2.56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1.44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5.994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6.202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16.3</w:t>
            </w:r>
          </w:p>
        </w:tc>
      </w:tr>
      <w:tr w:rsidR="00242162" w:rsidRPr="00242162" w:rsidTr="00FA4F9C">
        <w:trPr>
          <w:trHeight w:val="33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Otoba.glycycarpa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2.52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4.249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4.396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20.69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n-US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Groups TF II &amp; TY III</w:t>
            </w:r>
          </w:p>
        </w:tc>
        <w:tc>
          <w:tcPr>
            <w:tcW w:w="46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Average dissimilarity = 97.24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TF II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TY III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Pseudolmedia.laevigata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2.52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3.64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6.66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6.85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6.85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Wettinia.maynensis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4.84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0.20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6.16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6.34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13.18</w:t>
            </w:r>
          </w:p>
        </w:tc>
      </w:tr>
      <w:tr w:rsidR="00242162" w:rsidRPr="00242162" w:rsidTr="00FA4F9C">
        <w:trPr>
          <w:trHeight w:val="33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Macrolobium.sp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3.88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5.25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5.40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18.58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n-US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Groups TF II &amp; TF IV</w:t>
            </w:r>
          </w:p>
        </w:tc>
        <w:tc>
          <w:tcPr>
            <w:tcW w:w="46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Average dissimilarity = 95.5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TF II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TF IV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Wettinia.maynensis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4.84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5.12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11.73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12.28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12.28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Iriartea.deltoidea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2.56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4.134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4.329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16.61</w:t>
            </w:r>
          </w:p>
        </w:tc>
      </w:tr>
      <w:tr w:rsidR="00242162" w:rsidRPr="00242162" w:rsidTr="00FA4F9C">
        <w:trPr>
          <w:trHeight w:val="33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Euterpe.catinga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2.52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3.646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3.817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20.42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n-US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Groups TF II &amp; TY IV</w:t>
            </w:r>
          </w:p>
        </w:tc>
        <w:tc>
          <w:tcPr>
            <w:tcW w:w="46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Average dissimilarity = 95.3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TF II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TY IV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Wettinia.maynensis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4.84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7.351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7.714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7.714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Chrysophyllum.sanguineolentum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1.8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3.4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6.82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7.157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14.87</w:t>
            </w:r>
          </w:p>
        </w:tc>
      </w:tr>
      <w:tr w:rsidR="00242162" w:rsidRPr="00242162" w:rsidTr="00FA4F9C">
        <w:trPr>
          <w:trHeight w:val="33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Schefflera.harmsii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4.64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6.136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6.439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21.31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n-US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Groups TF III &amp; TY III</w:t>
            </w:r>
          </w:p>
        </w:tc>
        <w:tc>
          <w:tcPr>
            <w:tcW w:w="46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Average dissimilarity = 99.75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TF III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TY III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Macrolobium.sp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3.88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6.25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6.27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6.27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Humiriastrum.mapiriense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3.36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5.95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5.97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12.23</w:t>
            </w:r>
          </w:p>
        </w:tc>
      </w:tr>
      <w:tr w:rsidR="00242162" w:rsidRPr="00242162" w:rsidTr="00FA4F9C">
        <w:trPr>
          <w:trHeight w:val="33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Pseudolmedia.laevigata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0.24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3.64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5.12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5.13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17.36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n-US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Groups TF III &amp; TF IV</w:t>
            </w:r>
          </w:p>
        </w:tc>
        <w:tc>
          <w:tcPr>
            <w:tcW w:w="46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Average dissimilarity = 85,28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TF III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TF IV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Wettinia.maynensis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2.48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5.12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11.84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12.26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12.26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Otoba.glycycarpa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2.52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1.88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7.588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7.857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20.11</w:t>
            </w:r>
          </w:p>
        </w:tc>
      </w:tr>
      <w:tr w:rsidR="00242162" w:rsidRPr="00242162" w:rsidTr="00FA4F9C">
        <w:trPr>
          <w:trHeight w:val="33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Grias.neuberthii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1.32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3.58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3.707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23.82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n-US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Groups TF III &amp; TY IV</w:t>
            </w:r>
          </w:p>
        </w:tc>
        <w:tc>
          <w:tcPr>
            <w:tcW w:w="46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Average dissimilarity = 99.86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TF III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TY IV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Schefflera.harmsii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4.64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7.29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7.30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7.30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Chrysophyllum.sanguineolentum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3.4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6.89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6.90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14.20</w:t>
            </w:r>
          </w:p>
        </w:tc>
      </w:tr>
      <w:tr w:rsidR="00242162" w:rsidRPr="00242162" w:rsidTr="00FA4F9C">
        <w:trPr>
          <w:trHeight w:val="33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Socratea.exorrhiza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4.04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6.17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6.17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20.37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n-US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Groups TF IV &amp; TY IV</w:t>
            </w:r>
          </w:p>
        </w:tc>
        <w:tc>
          <w:tcPr>
            <w:tcW w:w="46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Average dissimilarity = 85,28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TF IV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20"/>
                <w:lang w:val="en-US" w:eastAsia="es-419"/>
              </w:rPr>
              <w:t>TY IV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162" w:rsidRPr="00242162" w:rsidRDefault="00242162" w:rsidP="00242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2421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Wettinia.maynensis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5.12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0.00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8.38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8.46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8.46</w:t>
            </w:r>
          </w:p>
        </w:tc>
      </w:tr>
      <w:tr w:rsidR="00242162" w:rsidRPr="00242162" w:rsidTr="00FA4F9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Schefflera.harmsii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4.64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6.88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6.95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15.40</w:t>
            </w:r>
          </w:p>
        </w:tc>
      </w:tr>
      <w:tr w:rsidR="00242162" w:rsidRPr="00242162" w:rsidTr="00FA4F9C">
        <w:trPr>
          <w:trHeight w:val="330"/>
          <w:jc w:val="center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proofErr w:type="spellStart"/>
            <w:r w:rsidRPr="00242162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es-419" w:eastAsia="es-419"/>
              </w:rPr>
              <w:t>Socratea.exorrhiza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0.64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4.04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6.58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6.64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162" w:rsidRPr="00242162" w:rsidRDefault="00242162" w:rsidP="0024216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</w:pPr>
            <w:r w:rsidRPr="0024216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s-419" w:eastAsia="es-419"/>
              </w:rPr>
              <w:t>22.04</w:t>
            </w:r>
          </w:p>
        </w:tc>
      </w:tr>
    </w:tbl>
    <w:p w:rsidR="00A127B8" w:rsidRDefault="00A127B8" w:rsidP="00242162">
      <w:pPr>
        <w:spacing w:line="240" w:lineRule="auto"/>
        <w:rPr>
          <w:rFonts w:ascii="Palatino Linotype" w:hAnsi="Palatino Linotype"/>
          <w:sz w:val="18"/>
          <w:szCs w:val="18"/>
          <w:lang w:val="en-US"/>
        </w:rPr>
      </w:pPr>
    </w:p>
    <w:p w:rsidR="00242162" w:rsidRDefault="00242162" w:rsidP="00242162">
      <w:pPr>
        <w:spacing w:line="240" w:lineRule="auto"/>
        <w:rPr>
          <w:rFonts w:ascii="Palatino Linotype" w:hAnsi="Palatino Linotype"/>
          <w:sz w:val="18"/>
          <w:szCs w:val="18"/>
          <w:lang w:val="en-US"/>
        </w:rPr>
      </w:pPr>
      <w:bookmarkStart w:id="0" w:name="_GoBack"/>
      <w:bookmarkEnd w:id="0"/>
    </w:p>
    <w:p w:rsidR="00242162" w:rsidRDefault="00242162" w:rsidP="00242162">
      <w:pPr>
        <w:spacing w:line="240" w:lineRule="auto"/>
        <w:rPr>
          <w:rFonts w:ascii="Palatino Linotype" w:hAnsi="Palatino Linotype"/>
          <w:sz w:val="18"/>
          <w:szCs w:val="18"/>
          <w:lang w:val="en-US"/>
        </w:rPr>
      </w:pPr>
    </w:p>
    <w:p w:rsidR="00242162" w:rsidRDefault="00242162" w:rsidP="00242162">
      <w:pPr>
        <w:spacing w:line="240" w:lineRule="auto"/>
        <w:rPr>
          <w:rFonts w:ascii="Palatino Linotype" w:hAnsi="Palatino Linotype"/>
          <w:sz w:val="18"/>
          <w:szCs w:val="18"/>
          <w:lang w:val="en-US"/>
        </w:rPr>
      </w:pPr>
    </w:p>
    <w:p w:rsidR="00242162" w:rsidRDefault="00242162" w:rsidP="00242162">
      <w:pPr>
        <w:spacing w:line="240" w:lineRule="auto"/>
        <w:rPr>
          <w:rFonts w:ascii="Palatino Linotype" w:hAnsi="Palatino Linotype"/>
          <w:sz w:val="18"/>
          <w:szCs w:val="18"/>
          <w:lang w:val="en-US"/>
        </w:rPr>
      </w:pPr>
    </w:p>
    <w:p w:rsidR="00A127B8" w:rsidRPr="00642C9C" w:rsidRDefault="00A127B8" w:rsidP="00242162">
      <w:pPr>
        <w:spacing w:line="240" w:lineRule="auto"/>
        <w:rPr>
          <w:rFonts w:ascii="Palatino Linotype" w:hAnsi="Palatino Linotype"/>
          <w:sz w:val="18"/>
          <w:szCs w:val="18"/>
          <w:lang w:val="en-US"/>
        </w:rPr>
      </w:pPr>
    </w:p>
    <w:p w:rsidR="00A127B8" w:rsidRPr="00642C9C" w:rsidRDefault="00A127B8" w:rsidP="00242162">
      <w:pPr>
        <w:spacing w:line="240" w:lineRule="auto"/>
        <w:rPr>
          <w:rFonts w:ascii="Palatino Linotype" w:hAnsi="Palatino Linotype"/>
          <w:sz w:val="18"/>
          <w:szCs w:val="18"/>
          <w:lang w:val="en-US"/>
        </w:rPr>
      </w:pPr>
    </w:p>
    <w:sectPr w:rsidR="00A127B8" w:rsidRPr="00642C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dvPSMER-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S-CGS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PS-CGSL">
    <w:altName w:val="Arial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B8"/>
    <w:rsid w:val="00054EDA"/>
    <w:rsid w:val="000D337E"/>
    <w:rsid w:val="002313FB"/>
    <w:rsid w:val="00242162"/>
    <w:rsid w:val="00642C9C"/>
    <w:rsid w:val="006508E3"/>
    <w:rsid w:val="00A127B8"/>
    <w:rsid w:val="00E26278"/>
    <w:rsid w:val="00FA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946E59"/>
  <w15:chartTrackingRefBased/>
  <w15:docId w15:val="{8B2524AA-ECEF-45D6-8F71-8ACB822A4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7B8"/>
    <w:pPr>
      <w:spacing w:after="200" w:line="276" w:lineRule="auto"/>
    </w:pPr>
    <w:rPr>
      <w:rFonts w:eastAsiaTheme="minorEastAsia"/>
      <w:lang w:val="cs-CZ" w:eastAsia="zh-TW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DPI12title">
    <w:name w:val="MDPI_1.2_title"/>
    <w:next w:val="Normal"/>
    <w:qFormat/>
    <w:rsid w:val="00A127B8"/>
    <w:pPr>
      <w:adjustRightInd w:val="0"/>
      <w:snapToGrid w:val="0"/>
      <w:spacing w:after="240" w:line="400" w:lineRule="exac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4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6</Pages>
  <Words>1208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OMAR CABRERA CISNEROS</dc:creator>
  <cp:keywords/>
  <dc:description/>
  <cp:lastModifiedBy>HUGO OMAR CABRERA CISNEROS</cp:lastModifiedBy>
  <cp:revision>5</cp:revision>
  <dcterms:created xsi:type="dcterms:W3CDTF">2019-06-18T22:37:00Z</dcterms:created>
  <dcterms:modified xsi:type="dcterms:W3CDTF">2019-09-05T14:49:00Z</dcterms:modified>
</cp:coreProperties>
</file>