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8A" w:rsidRPr="006D166B" w:rsidRDefault="003C468A" w:rsidP="003C468A">
      <w:pPr>
        <w:autoSpaceDE w:val="0"/>
        <w:autoSpaceDN w:val="0"/>
        <w:adjustRightInd w:val="0"/>
        <w:spacing w:line="360" w:lineRule="auto"/>
        <w:ind w:left="-142" w:hanging="284"/>
        <w:rPr>
          <w:rFonts w:ascii="Times New Roman" w:hAnsi="Times New Roman" w:cs="Times New Roman"/>
          <w:b/>
          <w:color w:val="4F81BD" w:themeColor="accent1"/>
          <w:sz w:val="24"/>
          <w:szCs w:val="24"/>
          <w:shd w:val="clear" w:color="auto" w:fill="FFFFFF"/>
        </w:rPr>
      </w:pPr>
      <w:r w:rsidRPr="006D166B">
        <w:rPr>
          <w:rFonts w:ascii="Times New Roman" w:hAnsi="Times New Roman" w:cs="Times New Roman"/>
          <w:b/>
          <w:color w:val="4F81BD" w:themeColor="accent1"/>
          <w:sz w:val="24"/>
          <w:szCs w:val="24"/>
          <w:shd w:val="clear" w:color="auto" w:fill="FFFFFF"/>
        </w:rPr>
        <w:t>Data diagnoses through error bar and scatter plots</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color w:val="4F81BD" w:themeColor="accent1"/>
          <w:sz w:val="24"/>
          <w:szCs w:val="24"/>
          <w:shd w:val="clear" w:color="auto" w:fill="FFFFFF"/>
        </w:rPr>
      </w:pPr>
      <w:r w:rsidRPr="006D166B">
        <w:rPr>
          <w:rFonts w:ascii="Times New Roman" w:hAnsi="Times New Roman" w:cs="Times New Roman"/>
          <w:color w:val="4F81BD" w:themeColor="accent1"/>
          <w:sz w:val="24"/>
          <w:szCs w:val="24"/>
          <w:shd w:val="clear" w:color="auto" w:fill="FFFFFF"/>
        </w:rPr>
        <w:t>As described below (</w:t>
      </w:r>
      <w:r w:rsidRPr="006D166B">
        <w:rPr>
          <w:rFonts w:ascii="Times New Roman" w:hAnsi="Times New Roman" w:cs="Times New Roman"/>
          <w:b/>
          <w:color w:val="4F81BD" w:themeColor="accent1"/>
          <w:sz w:val="24"/>
          <w:szCs w:val="24"/>
          <w:shd w:val="clear" w:color="auto" w:fill="FFFFFF"/>
        </w:rPr>
        <w:t>Figure 2</w:t>
      </w:r>
      <w:r w:rsidRPr="006D166B">
        <w:rPr>
          <w:rFonts w:ascii="Times New Roman" w:hAnsi="Times New Roman" w:cs="Times New Roman"/>
          <w:color w:val="4F81BD" w:themeColor="accent1"/>
          <w:sz w:val="24"/>
          <w:szCs w:val="24"/>
          <w:shd w:val="clear" w:color="auto" w:fill="FFFFFF"/>
        </w:rPr>
        <w:t xml:space="preserve">), the two error bars do not overlap by horizontal imaginary line. This is a clue that the mean value of </w:t>
      </w:r>
      <w:proofErr w:type="spellStart"/>
      <w:r w:rsidRPr="006D166B">
        <w:rPr>
          <w:rFonts w:ascii="Times New Roman" w:hAnsi="Times New Roman" w:cs="Times New Roman"/>
          <w:color w:val="4F81BD" w:themeColor="accent1"/>
          <w:sz w:val="24"/>
          <w:szCs w:val="24"/>
          <w:shd w:val="clear" w:color="auto" w:fill="FFFFFF"/>
        </w:rPr>
        <w:t>vitC</w:t>
      </w:r>
      <w:proofErr w:type="spellEnd"/>
      <w:r w:rsidRPr="006D166B">
        <w:rPr>
          <w:rFonts w:ascii="Times New Roman" w:hAnsi="Times New Roman" w:cs="Times New Roman"/>
          <w:color w:val="4F81BD" w:themeColor="accent1"/>
          <w:sz w:val="24"/>
          <w:szCs w:val="24"/>
          <w:shd w:val="clear" w:color="auto" w:fill="FFFFFF"/>
        </w:rPr>
        <w:t xml:space="preserve"> for normal individuals is different as compared with individuals who already developed kidney disease. There was also high variability of </w:t>
      </w:r>
      <w:proofErr w:type="spellStart"/>
      <w:r w:rsidRPr="006D166B">
        <w:rPr>
          <w:rFonts w:ascii="Times New Roman" w:hAnsi="Times New Roman" w:cs="Times New Roman"/>
          <w:color w:val="4F81BD" w:themeColor="accent1"/>
          <w:sz w:val="24"/>
          <w:szCs w:val="24"/>
          <w:shd w:val="clear" w:color="auto" w:fill="FFFFFF"/>
        </w:rPr>
        <w:t>vitC</w:t>
      </w:r>
      <w:proofErr w:type="spellEnd"/>
      <w:r w:rsidRPr="006D166B">
        <w:rPr>
          <w:rFonts w:ascii="Times New Roman" w:hAnsi="Times New Roman" w:cs="Times New Roman"/>
          <w:color w:val="4F81BD" w:themeColor="accent1"/>
          <w:sz w:val="24"/>
          <w:szCs w:val="24"/>
          <w:shd w:val="clear" w:color="auto" w:fill="FFFFFF"/>
        </w:rPr>
        <w:t xml:space="preserve"> level among individuals who have developed kidney disease compared with normal individuals. However, we cannot be sure and it is a must to perform a statistical test to draw a conclusion.</w:t>
      </w:r>
    </w:p>
    <w:p w:rsidR="003C468A" w:rsidRPr="006D166B" w:rsidRDefault="003C468A" w:rsidP="003C468A">
      <w:pPr>
        <w:pStyle w:val="ListParagraph"/>
        <w:numPr>
          <w:ilvl w:val="0"/>
          <w:numId w:val="1"/>
        </w:num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noProof/>
          <w:color w:val="4F81BD" w:themeColor="accent1"/>
          <w:sz w:val="24"/>
          <w:szCs w:val="24"/>
          <w:lang w:val="en-GB" w:eastAsia="en-GB"/>
        </w:rPr>
        <w:drawing>
          <wp:inline distT="0" distB="0" distL="0" distR="0" wp14:anchorId="55EC322E" wp14:editId="614E034D">
            <wp:extent cx="5942965" cy="2476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1" cy="2476765"/>
                    </a:xfrm>
                    <a:prstGeom prst="rect">
                      <a:avLst/>
                    </a:prstGeom>
                    <a:noFill/>
                    <a:ln>
                      <a:noFill/>
                    </a:ln>
                  </pic:spPr>
                </pic:pic>
              </a:graphicData>
            </a:graphic>
          </wp:inline>
        </w:drawing>
      </w:r>
    </w:p>
    <w:p w:rsidR="003C468A" w:rsidRPr="006D166B" w:rsidRDefault="003C468A" w:rsidP="003C468A">
      <w:pPr>
        <w:pStyle w:val="Caption"/>
        <w:spacing w:line="360" w:lineRule="auto"/>
        <w:ind w:left="-142" w:hanging="284"/>
        <w:rPr>
          <w:rFonts w:ascii="Times New Roman" w:hAnsi="Times New Roman" w:cs="Times New Roman"/>
          <w:sz w:val="24"/>
          <w:szCs w:val="24"/>
        </w:rPr>
      </w:pPr>
      <w:r w:rsidRPr="006D166B">
        <w:rPr>
          <w:rFonts w:ascii="Times New Roman" w:hAnsi="Times New Roman" w:cs="Times New Roman"/>
          <w:sz w:val="24"/>
          <w:szCs w:val="24"/>
        </w:rPr>
        <w:t xml:space="preserve">Figure 2: An error bar which indicates the relationship between ACR and </w:t>
      </w:r>
      <w:proofErr w:type="spellStart"/>
      <w:r w:rsidRPr="006D166B">
        <w:rPr>
          <w:rFonts w:ascii="Times New Roman" w:hAnsi="Times New Roman" w:cs="Times New Roman"/>
          <w:sz w:val="24"/>
          <w:szCs w:val="24"/>
        </w:rPr>
        <w:t>VitC</w:t>
      </w:r>
      <w:proofErr w:type="spellEnd"/>
      <w:r w:rsidRPr="006D166B">
        <w:rPr>
          <w:rFonts w:ascii="Times New Roman" w:hAnsi="Times New Roman" w:cs="Times New Roman"/>
          <w:sz w:val="24"/>
          <w:szCs w:val="24"/>
        </w:rPr>
        <w:t xml:space="preserve"> among the US population; data from NHANES, 2007-2008.</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color w:val="4F81BD" w:themeColor="accent1"/>
          <w:sz w:val="24"/>
          <w:szCs w:val="24"/>
        </w:rPr>
        <w:t xml:space="preserve">Moreover, about the relationship among albumin creatinine ratio (ACR),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and </w:t>
      </w:r>
      <w:proofErr w:type="spellStart"/>
      <w:r w:rsidRPr="006D166B">
        <w:rPr>
          <w:rFonts w:ascii="Times New Roman" w:hAnsi="Times New Roman" w:cs="Times New Roman"/>
          <w:color w:val="4F81BD" w:themeColor="accent1"/>
          <w:sz w:val="24"/>
          <w:szCs w:val="24"/>
        </w:rPr>
        <w:t>MetS</w:t>
      </w:r>
      <w:proofErr w:type="spellEnd"/>
      <w:r w:rsidRPr="006D166B">
        <w:rPr>
          <w:rFonts w:ascii="Times New Roman" w:hAnsi="Times New Roman" w:cs="Times New Roman"/>
          <w:color w:val="4F81BD" w:themeColor="accent1"/>
          <w:sz w:val="24"/>
          <w:szCs w:val="24"/>
        </w:rPr>
        <w:t xml:space="preserve"> was described briefly below in </w:t>
      </w:r>
      <w:r w:rsidRPr="006D166B">
        <w:rPr>
          <w:rFonts w:ascii="Times New Roman" w:hAnsi="Times New Roman" w:cs="Times New Roman"/>
          <w:b/>
          <w:color w:val="4F81BD" w:themeColor="accent1"/>
          <w:sz w:val="24"/>
          <w:szCs w:val="24"/>
        </w:rPr>
        <w:t>Figure 3</w:t>
      </w:r>
      <w:r w:rsidRPr="006D166B">
        <w:rPr>
          <w:rFonts w:ascii="Times New Roman" w:hAnsi="Times New Roman" w:cs="Times New Roman"/>
          <w:color w:val="4F81BD" w:themeColor="accent1"/>
          <w:sz w:val="24"/>
          <w:szCs w:val="24"/>
        </w:rPr>
        <w:t xml:space="preserve">. The mean value of ACR and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was different for both normal and individuals with </w:t>
      </w:r>
      <w:proofErr w:type="spellStart"/>
      <w:r w:rsidRPr="006D166B">
        <w:rPr>
          <w:rFonts w:ascii="Times New Roman" w:hAnsi="Times New Roman" w:cs="Times New Roman"/>
          <w:color w:val="4F81BD" w:themeColor="accent1"/>
          <w:sz w:val="24"/>
          <w:szCs w:val="24"/>
        </w:rPr>
        <w:t>MetS</w:t>
      </w:r>
      <w:proofErr w:type="spellEnd"/>
      <w:r w:rsidRPr="006D166B">
        <w:rPr>
          <w:rFonts w:ascii="Times New Roman" w:hAnsi="Times New Roman" w:cs="Times New Roman"/>
          <w:color w:val="4F81BD" w:themeColor="accent1"/>
          <w:sz w:val="24"/>
          <w:szCs w:val="24"/>
        </w:rPr>
        <w:t xml:space="preserve">. From the graph, we observe that there was huge variability with higher mean value of ACR among </w:t>
      </w:r>
      <w:proofErr w:type="spellStart"/>
      <w:r w:rsidRPr="006D166B">
        <w:rPr>
          <w:rFonts w:ascii="Times New Roman" w:hAnsi="Times New Roman" w:cs="Times New Roman"/>
          <w:color w:val="4F81BD" w:themeColor="accent1"/>
          <w:sz w:val="24"/>
          <w:szCs w:val="24"/>
        </w:rPr>
        <w:t>MetS</w:t>
      </w:r>
      <w:proofErr w:type="spellEnd"/>
      <w:r w:rsidRPr="006D166B">
        <w:rPr>
          <w:rFonts w:ascii="Times New Roman" w:hAnsi="Times New Roman" w:cs="Times New Roman"/>
          <w:color w:val="4F81BD" w:themeColor="accent1"/>
          <w:sz w:val="24"/>
          <w:szCs w:val="24"/>
        </w:rPr>
        <w:t xml:space="preserve"> individuals compared with normal individuals. The mean value of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among normal individuals was a little bit higher compared to individuals who developed </w:t>
      </w:r>
      <w:proofErr w:type="spellStart"/>
      <w:r w:rsidRPr="006D166B">
        <w:rPr>
          <w:rFonts w:ascii="Times New Roman" w:hAnsi="Times New Roman" w:cs="Times New Roman"/>
          <w:color w:val="4F81BD" w:themeColor="accent1"/>
          <w:sz w:val="24"/>
          <w:szCs w:val="24"/>
        </w:rPr>
        <w:t>MetS</w:t>
      </w:r>
      <w:proofErr w:type="spellEnd"/>
      <w:r w:rsidRPr="006D166B">
        <w:rPr>
          <w:rFonts w:ascii="Times New Roman" w:hAnsi="Times New Roman" w:cs="Times New Roman"/>
          <w:color w:val="4F81BD" w:themeColor="accent1"/>
          <w:sz w:val="24"/>
          <w:szCs w:val="24"/>
        </w:rPr>
        <w:t xml:space="preserve">. Beyond this, there was no any error bar that overlaps with any of the bars through horizontal imaginary line. These supports that there may be statistically significant difference mean value of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and ACR for both normal and individuals who developed </w:t>
      </w:r>
      <w:proofErr w:type="spellStart"/>
      <w:r w:rsidRPr="006D166B">
        <w:rPr>
          <w:rFonts w:ascii="Times New Roman" w:hAnsi="Times New Roman" w:cs="Times New Roman"/>
          <w:color w:val="4F81BD" w:themeColor="accent1"/>
          <w:sz w:val="24"/>
          <w:szCs w:val="24"/>
        </w:rPr>
        <w:t>MetS</w:t>
      </w:r>
      <w:proofErr w:type="spellEnd"/>
      <w:r w:rsidRPr="006D166B">
        <w:rPr>
          <w:rFonts w:ascii="Times New Roman" w:hAnsi="Times New Roman" w:cs="Times New Roman"/>
          <w:color w:val="4F81BD" w:themeColor="accent1"/>
          <w:sz w:val="24"/>
          <w:szCs w:val="24"/>
        </w:rPr>
        <w:t xml:space="preserve">. </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color w:val="4F81BD" w:themeColor="accent1"/>
          <w:sz w:val="24"/>
          <w:szCs w:val="24"/>
        </w:rPr>
      </w:pPr>
    </w:p>
    <w:p w:rsidR="003C468A" w:rsidRPr="006D166B" w:rsidRDefault="003C468A" w:rsidP="003C468A">
      <w:pPr>
        <w:pStyle w:val="ListParagraph"/>
        <w:numPr>
          <w:ilvl w:val="0"/>
          <w:numId w:val="1"/>
        </w:num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noProof/>
          <w:color w:val="4F81BD" w:themeColor="accent1"/>
          <w:sz w:val="24"/>
          <w:szCs w:val="24"/>
          <w:lang w:val="en-GB" w:eastAsia="en-GB"/>
        </w:rPr>
        <w:lastRenderedPageBreak/>
        <w:drawing>
          <wp:inline distT="0" distB="0" distL="0" distR="0" wp14:anchorId="08E183BB" wp14:editId="4E875FD8">
            <wp:extent cx="6134100" cy="39515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34100" cy="3951515"/>
                    </a:xfrm>
                    <a:prstGeom prst="rect">
                      <a:avLst/>
                    </a:prstGeom>
                  </pic:spPr>
                </pic:pic>
              </a:graphicData>
            </a:graphic>
          </wp:inline>
        </w:drawing>
      </w:r>
      <w:r w:rsidRPr="006D166B">
        <w:rPr>
          <w:rFonts w:ascii="Times New Roman" w:hAnsi="Times New Roman" w:cs="Times New Roman"/>
          <w:b/>
          <w:color w:val="4F81BD" w:themeColor="accent1"/>
          <w:sz w:val="24"/>
          <w:szCs w:val="24"/>
        </w:rPr>
        <w:t xml:space="preserve">Figure 3: An error bar which indicates the relationship of </w:t>
      </w:r>
      <w:proofErr w:type="spellStart"/>
      <w:r w:rsidRPr="006D166B">
        <w:rPr>
          <w:rFonts w:ascii="Times New Roman" w:hAnsi="Times New Roman" w:cs="Times New Roman"/>
          <w:b/>
          <w:color w:val="4F81BD" w:themeColor="accent1"/>
          <w:sz w:val="24"/>
          <w:szCs w:val="24"/>
        </w:rPr>
        <w:t>MetS</w:t>
      </w:r>
      <w:proofErr w:type="spellEnd"/>
      <w:r w:rsidRPr="006D166B">
        <w:rPr>
          <w:rFonts w:ascii="Times New Roman" w:hAnsi="Times New Roman" w:cs="Times New Roman"/>
          <w:b/>
          <w:color w:val="4F81BD" w:themeColor="accent1"/>
          <w:sz w:val="24"/>
          <w:szCs w:val="24"/>
        </w:rPr>
        <w:t xml:space="preserve">, ACR and </w:t>
      </w:r>
      <w:proofErr w:type="spellStart"/>
      <w:r w:rsidRPr="006D166B">
        <w:rPr>
          <w:rFonts w:ascii="Times New Roman" w:hAnsi="Times New Roman" w:cs="Times New Roman"/>
          <w:b/>
          <w:color w:val="4F81BD" w:themeColor="accent1"/>
          <w:sz w:val="24"/>
          <w:szCs w:val="24"/>
        </w:rPr>
        <w:t>VitC</w:t>
      </w:r>
      <w:proofErr w:type="spellEnd"/>
      <w:r w:rsidRPr="006D166B">
        <w:rPr>
          <w:rFonts w:ascii="Times New Roman" w:hAnsi="Times New Roman" w:cs="Times New Roman"/>
          <w:b/>
          <w:color w:val="4F81BD" w:themeColor="accent1"/>
          <w:sz w:val="24"/>
          <w:szCs w:val="24"/>
        </w:rPr>
        <w:t xml:space="preserve"> among the US population; data from NHANES, </w:t>
      </w:r>
      <w:r w:rsidRPr="006D166B">
        <w:rPr>
          <w:rFonts w:ascii="Times New Roman" w:hAnsi="Times New Roman" w:cs="Times New Roman"/>
          <w:color w:val="4F81BD" w:themeColor="accent1"/>
          <w:sz w:val="24"/>
          <w:szCs w:val="24"/>
        </w:rPr>
        <w:t>2007-2008</w:t>
      </w:r>
      <w:r w:rsidRPr="006D166B">
        <w:rPr>
          <w:rFonts w:ascii="Times New Roman" w:hAnsi="Times New Roman" w:cs="Times New Roman"/>
          <w:b/>
          <w:color w:val="4F81BD" w:themeColor="accent1"/>
          <w:sz w:val="24"/>
          <w:szCs w:val="24"/>
        </w:rPr>
        <w:t>.</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b/>
          <w:color w:val="4F81BD" w:themeColor="accent1"/>
          <w:sz w:val="24"/>
          <w:szCs w:val="24"/>
        </w:rPr>
      </w:pPr>
      <w:r w:rsidRPr="006D166B">
        <w:rPr>
          <w:rFonts w:ascii="Times New Roman" w:hAnsi="Times New Roman" w:cs="Times New Roman"/>
          <w:color w:val="4F81BD" w:themeColor="accent1"/>
          <w:sz w:val="24"/>
          <w:szCs w:val="24"/>
        </w:rPr>
        <w:t xml:space="preserve">The scatter plot also indicates that there is a negative linear relationship between ACR and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serum concentration though there are some extreme data (</w:t>
      </w:r>
      <w:r w:rsidRPr="006D166B">
        <w:rPr>
          <w:rFonts w:ascii="Times New Roman" w:hAnsi="Times New Roman" w:cs="Times New Roman"/>
          <w:b/>
          <w:color w:val="4F81BD" w:themeColor="accent1"/>
          <w:sz w:val="24"/>
          <w:szCs w:val="24"/>
        </w:rPr>
        <w:t>Figure 4</w:t>
      </w:r>
      <w:r w:rsidRPr="006D166B">
        <w:rPr>
          <w:rFonts w:ascii="Times New Roman" w:hAnsi="Times New Roman" w:cs="Times New Roman"/>
          <w:color w:val="4F81BD" w:themeColor="accent1"/>
          <w:sz w:val="24"/>
          <w:szCs w:val="24"/>
        </w:rPr>
        <w:t xml:space="preserve">). For a unit an increase in serum vitamin C concentration, the value of ACR is decreased by 1.9 (ACR=6.04-1.9*vitamin C in mg/dl). </w:t>
      </w:r>
    </w:p>
    <w:p w:rsidR="003C468A" w:rsidRPr="006D166B" w:rsidRDefault="003C468A" w:rsidP="003C468A">
      <w:pPr>
        <w:pStyle w:val="ListParagraph"/>
        <w:numPr>
          <w:ilvl w:val="0"/>
          <w:numId w:val="1"/>
        </w:num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noProof/>
          <w:color w:val="4F81BD" w:themeColor="accent1"/>
          <w:sz w:val="24"/>
          <w:szCs w:val="24"/>
          <w:lang w:val="en-GB" w:eastAsia="en-GB"/>
        </w:rPr>
        <w:lastRenderedPageBreak/>
        <w:drawing>
          <wp:inline distT="0" distB="0" distL="0" distR="0" wp14:anchorId="3A74C32D" wp14:editId="2C7069CB">
            <wp:extent cx="5519054" cy="5421086"/>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605" cy="5416716"/>
                    </a:xfrm>
                    <a:prstGeom prst="rect">
                      <a:avLst/>
                    </a:prstGeom>
                    <a:noFill/>
                    <a:ln>
                      <a:noFill/>
                    </a:ln>
                  </pic:spPr>
                </pic:pic>
              </a:graphicData>
            </a:graphic>
          </wp:inline>
        </w:drawing>
      </w:r>
      <w:r w:rsidRPr="006D166B">
        <w:rPr>
          <w:rFonts w:ascii="Times New Roman" w:hAnsi="Times New Roman" w:cs="Times New Roman"/>
          <w:color w:val="4F81BD" w:themeColor="accent1"/>
          <w:sz w:val="24"/>
          <w:szCs w:val="24"/>
        </w:rPr>
        <w:t xml:space="preserve">Figure 4: The scatter plot which indicates the relationship between ACR and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among the US population; data from NHANES, 2007-2008.</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b/>
          <w:noProof/>
          <w:color w:val="4F81BD" w:themeColor="accent1"/>
          <w:sz w:val="24"/>
          <w:szCs w:val="24"/>
        </w:rPr>
      </w:pPr>
      <w:r w:rsidRPr="006D166B">
        <w:rPr>
          <w:rFonts w:ascii="Times New Roman" w:hAnsi="Times New Roman" w:cs="Times New Roman"/>
          <w:b/>
          <w:noProof/>
          <w:color w:val="4F81BD" w:themeColor="accent1"/>
          <w:sz w:val="24"/>
          <w:szCs w:val="24"/>
        </w:rPr>
        <w:t xml:space="preserve">Independent T test, one way ANOVA and its mean plots </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noProof/>
          <w:color w:val="4F81BD" w:themeColor="accent1"/>
          <w:sz w:val="24"/>
          <w:szCs w:val="24"/>
        </w:rPr>
      </w:pPr>
      <w:r w:rsidRPr="006D166B">
        <w:rPr>
          <w:rFonts w:ascii="Times New Roman" w:hAnsi="Times New Roman" w:cs="Times New Roman"/>
          <w:noProof/>
          <w:color w:val="4F81BD" w:themeColor="accent1"/>
          <w:sz w:val="24"/>
          <w:szCs w:val="24"/>
        </w:rPr>
        <w:t>There was  statististical difference in the means of  vitC concentration of  indviduals whose ACR was less than 30 mg/g and greater than or equal to 30 mg/g ( P =0.05; t=2.01).</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color w:val="4F81BD" w:themeColor="accent1"/>
          <w:sz w:val="24"/>
          <w:szCs w:val="24"/>
        </w:rPr>
        <w:t xml:space="preserve">One way ANOVA also indicated that both the mean difference of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concentration and ACR was statistically significant between normal individuals and who developed </w:t>
      </w:r>
      <w:proofErr w:type="spellStart"/>
      <w:r w:rsidRPr="006D166B">
        <w:rPr>
          <w:rFonts w:ascii="Times New Roman" w:hAnsi="Times New Roman" w:cs="Times New Roman"/>
          <w:color w:val="4F81BD" w:themeColor="accent1"/>
          <w:sz w:val="24"/>
          <w:szCs w:val="24"/>
        </w:rPr>
        <w:t>MetS</w:t>
      </w:r>
      <w:proofErr w:type="spellEnd"/>
      <w:r w:rsidRPr="006D166B">
        <w:rPr>
          <w:rFonts w:ascii="Times New Roman" w:hAnsi="Times New Roman" w:cs="Times New Roman"/>
          <w:color w:val="4F81BD" w:themeColor="accent1"/>
          <w:sz w:val="24"/>
          <w:szCs w:val="24"/>
        </w:rPr>
        <w:t xml:space="preserve">. The mean plot also indicated that individuals who developed </w:t>
      </w:r>
      <w:proofErr w:type="spellStart"/>
      <w:r w:rsidRPr="006D166B">
        <w:rPr>
          <w:rFonts w:ascii="Times New Roman" w:hAnsi="Times New Roman" w:cs="Times New Roman"/>
          <w:color w:val="4F81BD" w:themeColor="accent1"/>
          <w:sz w:val="24"/>
          <w:szCs w:val="24"/>
        </w:rPr>
        <w:t>MetS</w:t>
      </w:r>
      <w:proofErr w:type="spellEnd"/>
      <w:r w:rsidRPr="006D166B">
        <w:rPr>
          <w:rFonts w:ascii="Times New Roman" w:hAnsi="Times New Roman" w:cs="Times New Roman"/>
          <w:color w:val="4F81BD" w:themeColor="accent1"/>
          <w:sz w:val="24"/>
          <w:szCs w:val="24"/>
        </w:rPr>
        <w:t xml:space="preserve"> had  low  mean of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concentration  but high mean value of ACR compared with normal individuals (</w:t>
      </w:r>
      <w:r w:rsidRPr="006D166B">
        <w:rPr>
          <w:rFonts w:ascii="Times New Roman" w:hAnsi="Times New Roman" w:cs="Times New Roman"/>
          <w:b/>
          <w:color w:val="4F81BD" w:themeColor="accent1"/>
          <w:sz w:val="24"/>
          <w:szCs w:val="24"/>
        </w:rPr>
        <w:t>Figure 5 and 6</w:t>
      </w:r>
      <w:r w:rsidRPr="006D166B">
        <w:rPr>
          <w:rFonts w:ascii="Times New Roman" w:hAnsi="Times New Roman" w:cs="Times New Roman"/>
          <w:color w:val="4F81BD" w:themeColor="accent1"/>
          <w:sz w:val="24"/>
          <w:szCs w:val="24"/>
        </w:rPr>
        <w:t xml:space="preserve">). </w:t>
      </w:r>
    </w:p>
    <w:p w:rsidR="003C468A" w:rsidRPr="006D166B" w:rsidRDefault="003C468A" w:rsidP="003C468A">
      <w:pPr>
        <w:pStyle w:val="ListParagraph"/>
        <w:numPr>
          <w:ilvl w:val="0"/>
          <w:numId w:val="1"/>
        </w:numPr>
        <w:autoSpaceDE w:val="0"/>
        <w:autoSpaceDN w:val="0"/>
        <w:adjustRightInd w:val="0"/>
        <w:spacing w:line="360" w:lineRule="auto"/>
        <w:ind w:left="-142" w:hanging="284"/>
        <w:rPr>
          <w:rFonts w:ascii="Times New Roman" w:hAnsi="Times New Roman" w:cs="Times New Roman"/>
          <w:color w:val="4F81BD" w:themeColor="accent1"/>
          <w:sz w:val="24"/>
          <w:szCs w:val="24"/>
        </w:rPr>
      </w:pPr>
    </w:p>
    <w:p w:rsidR="003C468A" w:rsidRPr="006D166B" w:rsidRDefault="003C468A" w:rsidP="003C468A">
      <w:pPr>
        <w:pStyle w:val="ListParagraph"/>
        <w:numPr>
          <w:ilvl w:val="0"/>
          <w:numId w:val="1"/>
        </w:num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noProof/>
          <w:color w:val="4F81BD" w:themeColor="accent1"/>
          <w:sz w:val="24"/>
          <w:szCs w:val="24"/>
          <w:lang w:val="en-GB" w:eastAsia="en-GB"/>
        </w:rPr>
        <w:lastRenderedPageBreak/>
        <w:drawing>
          <wp:inline distT="0" distB="0" distL="0" distR="0" wp14:anchorId="6F975F6B" wp14:editId="1D348170">
            <wp:extent cx="6150428" cy="2928257"/>
            <wp:effectExtent l="0" t="0" r="317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428" cy="2928257"/>
                    </a:xfrm>
                    <a:prstGeom prst="rect">
                      <a:avLst/>
                    </a:prstGeom>
                    <a:noFill/>
                    <a:ln>
                      <a:noFill/>
                    </a:ln>
                  </pic:spPr>
                </pic:pic>
              </a:graphicData>
            </a:graphic>
          </wp:inline>
        </w:drawing>
      </w:r>
    </w:p>
    <w:p w:rsidR="003C468A" w:rsidRPr="006D166B" w:rsidRDefault="003C468A" w:rsidP="003C468A">
      <w:pPr>
        <w:pStyle w:val="Caption"/>
        <w:numPr>
          <w:ilvl w:val="0"/>
          <w:numId w:val="1"/>
        </w:numPr>
        <w:spacing w:line="360" w:lineRule="auto"/>
        <w:ind w:left="-142" w:hanging="284"/>
        <w:rPr>
          <w:rFonts w:ascii="Times New Roman" w:hAnsi="Times New Roman" w:cs="Times New Roman"/>
          <w:sz w:val="24"/>
          <w:szCs w:val="24"/>
        </w:rPr>
      </w:pPr>
      <w:r w:rsidRPr="006D166B">
        <w:rPr>
          <w:rFonts w:ascii="Times New Roman" w:hAnsi="Times New Roman" w:cs="Times New Roman"/>
          <w:sz w:val="24"/>
          <w:szCs w:val="24"/>
        </w:rPr>
        <w:t xml:space="preserve">Figure 5: Means plot indicating the relationship between </w:t>
      </w:r>
      <w:proofErr w:type="spellStart"/>
      <w:r w:rsidRPr="006D166B">
        <w:rPr>
          <w:rFonts w:ascii="Times New Roman" w:hAnsi="Times New Roman" w:cs="Times New Roman"/>
          <w:sz w:val="24"/>
          <w:szCs w:val="24"/>
        </w:rPr>
        <w:t>vitC</w:t>
      </w:r>
      <w:proofErr w:type="spellEnd"/>
      <w:r w:rsidRPr="006D166B">
        <w:rPr>
          <w:rFonts w:ascii="Times New Roman" w:hAnsi="Times New Roman" w:cs="Times New Roman"/>
          <w:sz w:val="24"/>
          <w:szCs w:val="24"/>
        </w:rPr>
        <w:t xml:space="preserve"> and Metabolic syndrome among the US population in the year from 2007-2008.</w:t>
      </w:r>
    </w:p>
    <w:p w:rsidR="003C468A" w:rsidRPr="006D166B" w:rsidRDefault="003C468A" w:rsidP="003C468A">
      <w:pPr>
        <w:pStyle w:val="ListParagraph"/>
        <w:numPr>
          <w:ilvl w:val="0"/>
          <w:numId w:val="1"/>
        </w:num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noProof/>
          <w:color w:val="4F81BD" w:themeColor="accent1"/>
          <w:sz w:val="24"/>
          <w:szCs w:val="24"/>
          <w:lang w:val="en-GB" w:eastAsia="en-GB"/>
        </w:rPr>
        <w:drawing>
          <wp:inline distT="0" distB="0" distL="0" distR="0" wp14:anchorId="02565904" wp14:editId="45A1B230">
            <wp:extent cx="5943600" cy="234042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40428"/>
                    </a:xfrm>
                    <a:prstGeom prst="rect">
                      <a:avLst/>
                    </a:prstGeom>
                    <a:noFill/>
                    <a:ln>
                      <a:noFill/>
                    </a:ln>
                  </pic:spPr>
                </pic:pic>
              </a:graphicData>
            </a:graphic>
          </wp:inline>
        </w:drawing>
      </w:r>
      <w:r w:rsidRPr="006D166B">
        <w:rPr>
          <w:rFonts w:ascii="Times New Roman" w:hAnsi="Times New Roman" w:cs="Times New Roman"/>
          <w:color w:val="4F81BD" w:themeColor="accent1"/>
          <w:sz w:val="24"/>
          <w:szCs w:val="24"/>
        </w:rPr>
        <w:t>Figure 6: Means plot indicating the relationship between ACR and Metabolic syndrome among the US population in the year from 2007-2008.</w:t>
      </w:r>
    </w:p>
    <w:p w:rsidR="003C468A" w:rsidRPr="006D166B" w:rsidRDefault="003C468A" w:rsidP="003C468A">
      <w:pPr>
        <w:spacing w:line="360" w:lineRule="auto"/>
        <w:ind w:left="-142" w:hanging="284"/>
        <w:rPr>
          <w:rFonts w:ascii="Times New Roman" w:hAnsi="Times New Roman" w:cs="Times New Roman"/>
          <w:b/>
          <w:color w:val="4F81BD" w:themeColor="accent1"/>
          <w:sz w:val="24"/>
          <w:szCs w:val="24"/>
        </w:rPr>
      </w:pPr>
      <w:r w:rsidRPr="006D166B">
        <w:rPr>
          <w:rFonts w:ascii="Times New Roman" w:hAnsi="Times New Roman" w:cs="Times New Roman"/>
          <w:b/>
          <w:color w:val="4F81BD" w:themeColor="accent1"/>
          <w:sz w:val="24"/>
          <w:szCs w:val="24"/>
        </w:rPr>
        <w:t xml:space="preserve">Chi-square test results and its interpretation </w:t>
      </w:r>
    </w:p>
    <w:p w:rsidR="003C468A" w:rsidRPr="006D166B" w:rsidRDefault="003C468A" w:rsidP="003C468A">
      <w:pPr>
        <w:autoSpaceDE w:val="0"/>
        <w:autoSpaceDN w:val="0"/>
        <w:adjustRightInd w:val="0"/>
        <w:spacing w:line="360" w:lineRule="auto"/>
        <w:ind w:left="-142" w:hanging="284"/>
        <w:rPr>
          <w:rFonts w:ascii="Times New Roman" w:hAnsi="Times New Roman" w:cs="Times New Roman"/>
          <w:color w:val="4F81BD" w:themeColor="accent1"/>
          <w:sz w:val="24"/>
          <w:szCs w:val="24"/>
        </w:rPr>
      </w:pPr>
      <w:r w:rsidRPr="006D166B">
        <w:rPr>
          <w:rFonts w:ascii="Times New Roman" w:hAnsi="Times New Roman" w:cs="Times New Roman"/>
          <w:color w:val="4F81BD" w:themeColor="accent1"/>
          <w:sz w:val="24"/>
          <w:szCs w:val="24"/>
        </w:rPr>
        <w:t xml:space="preserve">To do Chi-square tests and its corresponding odds ratio and Pearson chi-square statistical test was considered. Individuals who developed metabolic syndrome had increased odds of kidney disease by 2.55 folds (COR=2.55; 95% CI: 1.78, 3.66) compared with their counter parts. Whereas, </w:t>
      </w:r>
      <w:proofErr w:type="spellStart"/>
      <w:r w:rsidRPr="006D166B">
        <w:rPr>
          <w:rFonts w:ascii="Times New Roman" w:hAnsi="Times New Roman" w:cs="Times New Roman"/>
          <w:color w:val="4F81BD" w:themeColor="accent1"/>
          <w:sz w:val="24"/>
          <w:szCs w:val="24"/>
        </w:rPr>
        <w:t>vitC</w:t>
      </w:r>
      <w:proofErr w:type="spellEnd"/>
      <w:r w:rsidRPr="006D166B">
        <w:rPr>
          <w:rFonts w:ascii="Times New Roman" w:hAnsi="Times New Roman" w:cs="Times New Roman"/>
          <w:color w:val="4F81BD" w:themeColor="accent1"/>
          <w:sz w:val="24"/>
          <w:szCs w:val="24"/>
        </w:rPr>
        <w:t xml:space="preserve"> deficiency also increases the odds of developing kidney disease by 2.38 folds (COR=2.38; 95% CI: 1.35, 4.20). </w:t>
      </w:r>
    </w:p>
    <w:p w:rsidR="003C468A" w:rsidRPr="006D166B" w:rsidRDefault="003C468A" w:rsidP="003C468A">
      <w:pPr>
        <w:autoSpaceDE w:val="0"/>
        <w:autoSpaceDN w:val="0"/>
        <w:adjustRightInd w:val="0"/>
        <w:spacing w:line="360" w:lineRule="auto"/>
        <w:rPr>
          <w:rFonts w:ascii="Times New Roman" w:hAnsi="Times New Roman" w:cs="Times New Roman"/>
          <w:color w:val="4F81BD" w:themeColor="accent1"/>
          <w:sz w:val="24"/>
          <w:szCs w:val="24"/>
        </w:rPr>
      </w:pPr>
      <w:r w:rsidRPr="006D166B">
        <w:rPr>
          <w:rFonts w:ascii="Times New Roman" w:hAnsi="Times New Roman" w:cs="Times New Roman"/>
          <w:b/>
          <w:color w:val="4F81BD" w:themeColor="accent1"/>
          <w:sz w:val="24"/>
          <w:szCs w:val="24"/>
        </w:rPr>
        <w:lastRenderedPageBreak/>
        <w:t>Regression analysis and R</w:t>
      </w:r>
      <w:r w:rsidRPr="006D166B">
        <w:rPr>
          <w:rFonts w:ascii="Times New Roman" w:hAnsi="Times New Roman" w:cs="Times New Roman"/>
          <w:b/>
          <w:color w:val="4F81BD" w:themeColor="accent1"/>
          <w:sz w:val="24"/>
          <w:szCs w:val="24"/>
          <w:vertAlign w:val="superscript"/>
        </w:rPr>
        <w:t>2</w:t>
      </w:r>
      <w:r w:rsidRPr="006D166B">
        <w:rPr>
          <w:rFonts w:ascii="Times New Roman" w:hAnsi="Times New Roman" w:cs="Times New Roman"/>
          <w:b/>
          <w:color w:val="4F81BD" w:themeColor="accent1"/>
          <w:sz w:val="24"/>
          <w:szCs w:val="24"/>
        </w:rPr>
        <w:t xml:space="preserve"> value interpretation </w:t>
      </w:r>
    </w:p>
    <w:p w:rsidR="003C468A" w:rsidRPr="006D166B" w:rsidRDefault="003C468A" w:rsidP="003C468A">
      <w:pPr>
        <w:autoSpaceDE w:val="0"/>
        <w:autoSpaceDN w:val="0"/>
        <w:adjustRightInd w:val="0"/>
        <w:spacing w:line="360" w:lineRule="auto"/>
        <w:rPr>
          <w:rFonts w:ascii="Times New Roman" w:hAnsi="Times New Roman" w:cs="Times New Roman"/>
          <w:color w:val="4F81BD" w:themeColor="accent1"/>
          <w:sz w:val="24"/>
          <w:szCs w:val="24"/>
        </w:rPr>
      </w:pPr>
      <w:proofErr w:type="spellStart"/>
      <w:r w:rsidRPr="006D166B">
        <w:rPr>
          <w:rFonts w:ascii="Times New Roman" w:hAnsi="Times New Roman" w:cs="Times New Roman"/>
          <w:color w:val="4F81BD" w:themeColor="accent1"/>
          <w:sz w:val="24"/>
          <w:szCs w:val="24"/>
        </w:rPr>
        <w:t>Collinearity</w:t>
      </w:r>
      <w:proofErr w:type="spellEnd"/>
      <w:r w:rsidRPr="006D166B">
        <w:rPr>
          <w:rFonts w:ascii="Times New Roman" w:hAnsi="Times New Roman" w:cs="Times New Roman"/>
          <w:color w:val="4F81BD" w:themeColor="accent1"/>
          <w:sz w:val="24"/>
          <w:szCs w:val="24"/>
        </w:rPr>
        <w:t xml:space="preserve"> diagnosis was tested using variance inflation factor (VIF) and the tolerance value, which was found to be acceptable to fit for continuous variables. From the output the following equation was established as: ACR=6.037-1.92* vitamin C+ 0.76. This implies that for a unit decrease in serum vitamin C, the risk of developing kidney disease can be increased  nearly by two folds (COR=-1.92; 95% CI:-3.41,-0.43) though it explained only 0.1 percent compared with the other un-explained variables (R</w:t>
      </w:r>
      <w:r w:rsidRPr="006D166B">
        <w:rPr>
          <w:rFonts w:ascii="Times New Roman" w:hAnsi="Times New Roman" w:cs="Times New Roman"/>
          <w:color w:val="4F81BD" w:themeColor="accent1"/>
          <w:sz w:val="24"/>
          <w:szCs w:val="24"/>
          <w:vertAlign w:val="superscript"/>
        </w:rPr>
        <w:t>2</w:t>
      </w:r>
      <w:r w:rsidRPr="006D166B">
        <w:rPr>
          <w:rFonts w:ascii="Times New Roman" w:hAnsi="Times New Roman" w:cs="Times New Roman"/>
          <w:color w:val="4F81BD" w:themeColor="accent1"/>
          <w:sz w:val="24"/>
          <w:szCs w:val="24"/>
        </w:rPr>
        <w:t xml:space="preserve">=0.001 and p value&lt;0.01). </w:t>
      </w:r>
    </w:p>
    <w:p w:rsidR="005B3788" w:rsidRDefault="005B3788">
      <w:bookmarkStart w:id="0" w:name="_GoBack"/>
      <w:bookmarkEnd w:id="0"/>
    </w:p>
    <w:sectPr w:rsidR="005B3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F02FB"/>
    <w:multiLevelType w:val="hybridMultilevel"/>
    <w:tmpl w:val="B494068A"/>
    <w:lvl w:ilvl="0" w:tplc="9D1CAEDE">
      <w:start w:val="1"/>
      <w:numFmt w:val="bullet"/>
      <w:lvlText w:val=""/>
      <w:lvlJc w:val="left"/>
      <w:pPr>
        <w:ind w:left="1440" w:hanging="360"/>
      </w:pPr>
      <w:rPr>
        <w:rFonts w:ascii="Symbol" w:hAnsi="Symbol" w:hint="default"/>
        <w:color w:val="4F81BD"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8A"/>
    <w:rsid w:val="003C468A"/>
    <w:rsid w:val="005B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24EC7-5315-4792-B51C-633E5DF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68A"/>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68A"/>
    <w:pPr>
      <w:ind w:left="720"/>
      <w:contextualSpacing/>
    </w:pPr>
  </w:style>
  <w:style w:type="paragraph" w:styleId="Caption">
    <w:name w:val="caption"/>
    <w:basedOn w:val="Normal"/>
    <w:next w:val="Normal"/>
    <w:uiPriority w:val="35"/>
    <w:unhideWhenUsed/>
    <w:qFormat/>
    <w:rsid w:val="003C468A"/>
    <w:pPr>
      <w:spacing w:line="240" w:lineRule="auto"/>
      <w:ind w:right="-288"/>
      <w:jc w:val="both"/>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2021-01-09T17:58:00Z</dcterms:created>
  <dcterms:modified xsi:type="dcterms:W3CDTF">2021-01-09T17:58:00Z</dcterms:modified>
</cp:coreProperties>
</file>