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588" w:rsidRPr="004F4588" w:rsidRDefault="004F4588" w:rsidP="004F4588">
      <w:pPr>
        <w:adjustRightInd w:val="0"/>
        <w:snapToGrid w:val="0"/>
        <w:spacing w:after="240" w:line="228" w:lineRule="auto"/>
        <w:ind w:left="2552"/>
        <w:jc w:val="both"/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</w:pPr>
      <w:r w:rsidRPr="004F4588">
        <w:rPr>
          <w:rFonts w:ascii="Palatino Linotype" w:eastAsia="Times New Roman" w:hAnsi="Palatino Linotype" w:cs="Times New Roman"/>
          <w:b/>
          <w:snapToGrid w:val="0"/>
          <w:color w:val="000000"/>
          <w:sz w:val="20"/>
          <w:szCs w:val="20"/>
          <w:lang w:val="en-US" w:eastAsia="de-DE" w:bidi="en-US"/>
        </w:rPr>
        <w:t>Table S1.</w:t>
      </w:r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  <w:t xml:space="preserve"> Cox </w:t>
      </w:r>
      <w:proofErr w:type="spellStart"/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  <w:t>univariable</w:t>
      </w:r>
      <w:proofErr w:type="spellEnd"/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  <w:t xml:space="preserve"> analysis for DDFS including all patients (n = 909). CI, confidence interval; IGKC, immunoglobulin kappa C; HER2, human epidermal growth factor receptor 2; TNBC, triple-negative breast cancer </w:t>
      </w:r>
    </w:p>
    <w:tbl>
      <w:tblPr>
        <w:tblW w:w="7859" w:type="dxa"/>
        <w:tblInd w:w="2608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9"/>
        <w:gridCol w:w="1783"/>
        <w:gridCol w:w="1783"/>
        <w:gridCol w:w="1784"/>
      </w:tblGrid>
      <w:tr w:rsidR="004F4588" w:rsidRPr="004F4588" w:rsidTr="00C6536B">
        <w:tc>
          <w:tcPr>
            <w:tcW w:w="2509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val="en-US" w:eastAsia="de-DE" w:bidi="en-US"/>
              </w:rPr>
              <w:t>Variable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val="en-US" w:eastAsia="de-DE" w:bidi="en-US"/>
              </w:rPr>
              <w:t>Hazard ratio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95% CI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P</w:t>
            </w:r>
          </w:p>
        </w:tc>
      </w:tr>
      <w:tr w:rsidR="004F4588" w:rsidRPr="004F4588" w:rsidTr="00C6536B">
        <w:trPr>
          <w:trHeight w:val="272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i/>
                <w:snapToGrid w:val="0"/>
                <w:color w:val="000000"/>
                <w:sz w:val="20"/>
                <w:szCs w:val="20"/>
                <w:lang w:val="en-US" w:eastAsia="de-DE" w:bidi="en-US"/>
              </w:rPr>
              <w:t>IGKC</w:t>
            </w: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, continuous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0.982</w:t>
            </w: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0.920 – 1.048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0.589</w:t>
            </w:r>
          </w:p>
        </w:tc>
      </w:tr>
      <w:tr w:rsidR="004F4588" w:rsidRPr="004F4588" w:rsidTr="00C6536B">
        <w:trPr>
          <w:trHeight w:val="272"/>
        </w:trPr>
        <w:tc>
          <w:tcPr>
            <w:tcW w:w="250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i/>
                <w:snapToGrid w:val="0"/>
                <w:color w:val="000000"/>
                <w:sz w:val="20"/>
                <w:szCs w:val="20"/>
                <w:lang w:val="en-US" w:eastAsia="de-DE" w:bidi="en-US"/>
              </w:rPr>
              <w:t>IGKC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784" w:type="dxa"/>
            <w:tcBorders>
              <w:top w:val="single" w:sz="4" w:space="0" w:color="auto"/>
              <w:bottom w:val="nil"/>
            </w:tcBorders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2"/>
        </w:trPr>
        <w:tc>
          <w:tcPr>
            <w:tcW w:w="250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 median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7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2"/>
        </w:trPr>
        <w:tc>
          <w:tcPr>
            <w:tcW w:w="250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 w:hint="eastAsia"/>
                <w:snapToGrid w:val="0"/>
                <w:color w:val="000000"/>
                <w:sz w:val="20"/>
                <w:szCs w:val="20"/>
                <w:lang w:val="en-US" w:eastAsia="de-DE" w:bidi="en-US"/>
              </w:rPr>
              <w:t>≥ median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0.948</w:t>
            </w:r>
          </w:p>
        </w:tc>
        <w:tc>
          <w:tcPr>
            <w:tcW w:w="178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Arial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0.685 </w:t>
            </w: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–</w:t>
            </w:r>
            <w:r w:rsidRPr="004F4588">
              <w:rPr>
                <w:rFonts w:ascii="Palatino Linotype" w:eastAsia="Times New Roman" w:hAnsi="Palatino Linotype" w:cs="Arial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1.312</w:t>
            </w:r>
          </w:p>
        </w:tc>
        <w:tc>
          <w:tcPr>
            <w:tcW w:w="1784" w:type="dxa"/>
            <w:tcBorders>
              <w:top w:val="nil"/>
              <w:bottom w:val="single" w:sz="4" w:space="0" w:color="auto"/>
            </w:tcBorders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0.748</w:t>
            </w:r>
          </w:p>
        </w:tc>
      </w:tr>
      <w:tr w:rsidR="004F4588" w:rsidRPr="004F4588" w:rsidTr="00C6536B">
        <w:trPr>
          <w:trHeight w:val="272"/>
        </w:trPr>
        <w:tc>
          <w:tcPr>
            <w:tcW w:w="250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i/>
                <w:snapToGrid w:val="0"/>
                <w:color w:val="000000"/>
                <w:sz w:val="20"/>
                <w:szCs w:val="20"/>
                <w:lang w:val="en-US" w:eastAsia="de-DE" w:bidi="en-US"/>
              </w:rPr>
              <w:t>IGKC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784" w:type="dxa"/>
            <w:tcBorders>
              <w:top w:val="single" w:sz="4" w:space="0" w:color="auto"/>
              <w:bottom w:val="nil"/>
            </w:tcBorders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2"/>
        </w:trPr>
        <w:tc>
          <w:tcPr>
            <w:tcW w:w="250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 75</w:t>
            </w: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de-DE" w:bidi="en-US"/>
              </w:rPr>
              <w:t>th</w:t>
            </w: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quantile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7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2"/>
        </w:trPr>
        <w:tc>
          <w:tcPr>
            <w:tcW w:w="250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 w:hint="eastAsia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≥ </w:t>
            </w: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75</w:t>
            </w: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de-DE" w:bidi="en-US"/>
              </w:rPr>
              <w:t>th</w:t>
            </w: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quantile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0.862</w:t>
            </w:r>
          </w:p>
        </w:tc>
        <w:tc>
          <w:tcPr>
            <w:tcW w:w="178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0.585 – 1.270</w:t>
            </w:r>
          </w:p>
        </w:tc>
        <w:tc>
          <w:tcPr>
            <w:tcW w:w="1784" w:type="dxa"/>
            <w:tcBorders>
              <w:top w:val="nil"/>
              <w:bottom w:val="single" w:sz="4" w:space="0" w:color="auto"/>
            </w:tcBorders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0.453</w:t>
            </w:r>
          </w:p>
        </w:tc>
      </w:tr>
      <w:tr w:rsidR="004F4588" w:rsidRPr="004F4588" w:rsidTr="00C6536B">
        <w:trPr>
          <w:trHeight w:val="272"/>
        </w:trPr>
        <w:tc>
          <w:tcPr>
            <w:tcW w:w="250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Age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784" w:type="dxa"/>
            <w:tcBorders>
              <w:top w:val="single" w:sz="4" w:space="0" w:color="auto"/>
              <w:bottom w:val="nil"/>
            </w:tcBorders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2"/>
        </w:trPr>
        <w:tc>
          <w:tcPr>
            <w:tcW w:w="250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≤ 50 years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7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2"/>
        </w:trPr>
        <w:tc>
          <w:tcPr>
            <w:tcW w:w="250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&gt; 50 years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0.829</w:t>
            </w:r>
          </w:p>
        </w:tc>
        <w:tc>
          <w:tcPr>
            <w:tcW w:w="178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0.599 – 1.147</w:t>
            </w:r>
          </w:p>
        </w:tc>
        <w:tc>
          <w:tcPr>
            <w:tcW w:w="1784" w:type="dxa"/>
            <w:tcBorders>
              <w:top w:val="nil"/>
              <w:bottom w:val="single" w:sz="4" w:space="0" w:color="auto"/>
            </w:tcBorders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0.258</w:t>
            </w:r>
          </w:p>
        </w:tc>
      </w:tr>
      <w:tr w:rsidR="004F4588" w:rsidRPr="004F4588" w:rsidTr="00C6536B">
        <w:trPr>
          <w:trHeight w:val="272"/>
        </w:trPr>
        <w:tc>
          <w:tcPr>
            <w:tcW w:w="250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ER status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784" w:type="dxa"/>
            <w:tcBorders>
              <w:top w:val="single" w:sz="4" w:space="0" w:color="auto"/>
              <w:bottom w:val="nil"/>
            </w:tcBorders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2"/>
        </w:trPr>
        <w:tc>
          <w:tcPr>
            <w:tcW w:w="250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Negative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7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2"/>
        </w:trPr>
        <w:tc>
          <w:tcPr>
            <w:tcW w:w="250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Positive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0.522</w:t>
            </w:r>
          </w:p>
        </w:tc>
        <w:tc>
          <w:tcPr>
            <w:tcW w:w="178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0.375 – 0.728</w:t>
            </w:r>
          </w:p>
        </w:tc>
        <w:tc>
          <w:tcPr>
            <w:tcW w:w="1784" w:type="dxa"/>
            <w:tcBorders>
              <w:top w:val="nil"/>
              <w:bottom w:val="single" w:sz="4" w:space="0" w:color="auto"/>
            </w:tcBorders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&lt;0.001</w:t>
            </w:r>
          </w:p>
        </w:tc>
      </w:tr>
      <w:tr w:rsidR="004F4588" w:rsidRPr="004F4588" w:rsidTr="00C6536B">
        <w:trPr>
          <w:trHeight w:val="272"/>
        </w:trPr>
        <w:tc>
          <w:tcPr>
            <w:tcW w:w="250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PR status </w:t>
            </w: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de-DE" w:bidi="en-US"/>
              </w:rPr>
              <w:t>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2"/>
        </w:trPr>
        <w:tc>
          <w:tcPr>
            <w:tcW w:w="250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Negative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2"/>
        </w:trPr>
        <w:tc>
          <w:tcPr>
            <w:tcW w:w="250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Positive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0.667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0.482 – 0.922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0.014</w:t>
            </w:r>
          </w:p>
        </w:tc>
      </w:tr>
      <w:tr w:rsidR="004F4588" w:rsidRPr="004F4588" w:rsidTr="00C6536B">
        <w:trPr>
          <w:trHeight w:val="272"/>
        </w:trPr>
        <w:tc>
          <w:tcPr>
            <w:tcW w:w="250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HER2 status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784" w:type="dxa"/>
            <w:tcBorders>
              <w:top w:val="single" w:sz="4" w:space="0" w:color="auto"/>
              <w:bottom w:val="nil"/>
            </w:tcBorders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2"/>
        </w:trPr>
        <w:tc>
          <w:tcPr>
            <w:tcW w:w="250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Negative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7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2"/>
        </w:trPr>
        <w:tc>
          <w:tcPr>
            <w:tcW w:w="250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Positive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1.744</w:t>
            </w:r>
          </w:p>
        </w:tc>
        <w:tc>
          <w:tcPr>
            <w:tcW w:w="17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1.233 – 2.469</w:t>
            </w:r>
          </w:p>
        </w:tc>
        <w:tc>
          <w:tcPr>
            <w:tcW w:w="1784" w:type="dxa"/>
            <w:tcBorders>
              <w:top w:val="nil"/>
              <w:bottom w:val="nil"/>
            </w:tcBorders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0.002</w:t>
            </w:r>
          </w:p>
        </w:tc>
      </w:tr>
      <w:tr w:rsidR="004F4588" w:rsidRPr="004F4588" w:rsidTr="00C6536B">
        <w:trPr>
          <w:trHeight w:val="272"/>
        </w:trPr>
        <w:tc>
          <w:tcPr>
            <w:tcW w:w="250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Molecular subtype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784" w:type="dxa"/>
            <w:tcBorders>
              <w:top w:val="single" w:sz="4" w:space="0" w:color="auto"/>
              <w:bottom w:val="nil"/>
            </w:tcBorders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2"/>
        </w:trPr>
        <w:tc>
          <w:tcPr>
            <w:tcW w:w="250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Luminal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7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2"/>
        </w:trPr>
        <w:tc>
          <w:tcPr>
            <w:tcW w:w="250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TNBC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2.354</w:t>
            </w:r>
          </w:p>
        </w:tc>
        <w:tc>
          <w:tcPr>
            <w:tcW w:w="17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1.545 – 3.587</w:t>
            </w:r>
          </w:p>
        </w:tc>
        <w:tc>
          <w:tcPr>
            <w:tcW w:w="1784" w:type="dxa"/>
            <w:tcBorders>
              <w:top w:val="nil"/>
              <w:bottom w:val="nil"/>
            </w:tcBorders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&lt;0.001</w:t>
            </w:r>
          </w:p>
        </w:tc>
      </w:tr>
      <w:tr w:rsidR="004F4588" w:rsidRPr="004F4588" w:rsidTr="00C6536B">
        <w:trPr>
          <w:trHeight w:val="272"/>
        </w:trPr>
        <w:tc>
          <w:tcPr>
            <w:tcW w:w="250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HER2+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2.143</w:t>
            </w:r>
          </w:p>
        </w:tc>
        <w:tc>
          <w:tcPr>
            <w:tcW w:w="178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1.476 – 3.112</w:t>
            </w:r>
          </w:p>
        </w:tc>
        <w:tc>
          <w:tcPr>
            <w:tcW w:w="1784" w:type="dxa"/>
            <w:tcBorders>
              <w:top w:val="nil"/>
              <w:bottom w:val="single" w:sz="4" w:space="0" w:color="auto"/>
            </w:tcBorders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&lt;0.001</w:t>
            </w:r>
          </w:p>
        </w:tc>
      </w:tr>
      <w:tr w:rsidR="004F4588" w:rsidRPr="004F4588" w:rsidTr="00C6536B">
        <w:trPr>
          <w:trHeight w:val="272"/>
        </w:trPr>
        <w:tc>
          <w:tcPr>
            <w:tcW w:w="2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Ki67 </w:t>
            </w: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de-DE" w:bidi="en-US"/>
              </w:rPr>
              <w:t>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2"/>
        </w:trPr>
        <w:tc>
          <w:tcPr>
            <w:tcW w:w="2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 w:hint="eastAsia"/>
                <w:snapToGrid w:val="0"/>
                <w:color w:val="000000"/>
                <w:sz w:val="20"/>
                <w:szCs w:val="20"/>
                <w:lang w:val="en-US" w:eastAsia="de-DE" w:bidi="en-US"/>
              </w:rPr>
              <w:t>≤ 20%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2"/>
        </w:trPr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&gt; 20%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1.984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1.383 – 2.847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&lt;0.001</w:t>
            </w:r>
          </w:p>
        </w:tc>
      </w:tr>
      <w:tr w:rsidR="004F4588" w:rsidRPr="004F4588" w:rsidTr="00C6536B">
        <w:trPr>
          <w:trHeight w:val="272"/>
        </w:trPr>
        <w:tc>
          <w:tcPr>
            <w:tcW w:w="2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proofErr w:type="spellStart"/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pT</w:t>
            </w:r>
            <w:proofErr w:type="spellEnd"/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stage </w:t>
            </w: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de-DE" w:bidi="en-US"/>
              </w:rPr>
              <w:t>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2"/>
        </w:trPr>
        <w:tc>
          <w:tcPr>
            <w:tcW w:w="2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pT1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2"/>
        </w:trPr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pT2-4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1.748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1.230 – 2.484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0.002</w:t>
            </w:r>
          </w:p>
        </w:tc>
      </w:tr>
      <w:tr w:rsidR="004F4588" w:rsidRPr="004F4588" w:rsidTr="00C6536B">
        <w:trPr>
          <w:trHeight w:val="180"/>
        </w:trPr>
        <w:tc>
          <w:tcPr>
            <w:tcW w:w="2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proofErr w:type="spellStart"/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pN</w:t>
            </w:r>
            <w:proofErr w:type="spellEnd"/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stage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2"/>
        </w:trPr>
        <w:tc>
          <w:tcPr>
            <w:tcW w:w="2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pN0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2"/>
        </w:trPr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pN1-3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2.149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1.053 – 4.382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0.035</w:t>
            </w:r>
          </w:p>
        </w:tc>
      </w:tr>
      <w:tr w:rsidR="004F4588" w:rsidRPr="004F4588" w:rsidTr="00C6536B">
        <w:trPr>
          <w:trHeight w:val="272"/>
        </w:trPr>
        <w:tc>
          <w:tcPr>
            <w:tcW w:w="2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Grade </w:t>
            </w: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de-DE" w:bidi="en-US"/>
              </w:rPr>
              <w:t>3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2"/>
        </w:trPr>
        <w:tc>
          <w:tcPr>
            <w:tcW w:w="2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Grade I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c>
          <w:tcPr>
            <w:tcW w:w="2509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Grade II-III</w:t>
            </w:r>
          </w:p>
        </w:tc>
        <w:tc>
          <w:tcPr>
            <w:tcW w:w="17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4.331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1.911 - 9.814</w:t>
            </w:r>
          </w:p>
        </w:tc>
        <w:tc>
          <w:tcPr>
            <w:tcW w:w="1784" w:type="dxa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&lt;0.001</w:t>
            </w:r>
          </w:p>
        </w:tc>
      </w:tr>
    </w:tbl>
    <w:p w:rsidR="004F4588" w:rsidRPr="004F4588" w:rsidRDefault="004F4588" w:rsidP="004F4588">
      <w:pPr>
        <w:adjustRightInd w:val="0"/>
        <w:snapToGrid w:val="0"/>
        <w:spacing w:before="120" w:after="0" w:line="228" w:lineRule="auto"/>
        <w:ind w:left="2041" w:firstLine="510"/>
        <w:jc w:val="both"/>
        <w:rPr>
          <w:rFonts w:ascii="Palatino Linotype" w:eastAsia="Times New Roman" w:hAnsi="Palatino Linotype" w:cs="Times New Roman"/>
          <w:snapToGrid w:val="0"/>
          <w:color w:val="000000"/>
          <w:sz w:val="20"/>
          <w:lang w:val="en-US" w:eastAsia="de-DE" w:bidi="en-US"/>
        </w:rPr>
      </w:pPr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vertAlign w:val="superscript"/>
          <w:lang w:val="en-US" w:eastAsia="de-DE" w:bidi="en-US"/>
        </w:rPr>
        <w:t>1</w:t>
      </w:r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lang w:val="en-US" w:eastAsia="de-DE" w:bidi="en-US"/>
        </w:rPr>
        <w:t xml:space="preserve"> n = 908, </w:t>
      </w:r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vertAlign w:val="superscript"/>
          <w:lang w:val="en-US" w:eastAsia="de-DE" w:bidi="en-US"/>
        </w:rPr>
        <w:t>2</w:t>
      </w:r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lang w:val="en-US" w:eastAsia="de-DE" w:bidi="en-US"/>
        </w:rPr>
        <w:t xml:space="preserve"> n = 809, </w:t>
      </w:r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vertAlign w:val="superscript"/>
          <w:lang w:val="en-US" w:eastAsia="de-DE" w:bidi="en-US"/>
        </w:rPr>
        <w:t>3</w:t>
      </w:r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lang w:val="en-US" w:eastAsia="de-DE" w:bidi="en-US"/>
        </w:rPr>
        <w:t xml:space="preserve"> n = 869</w:t>
      </w:r>
    </w:p>
    <w:p w:rsidR="004F4588" w:rsidRPr="004F4588" w:rsidRDefault="004F4588" w:rsidP="004F4588">
      <w:pPr>
        <w:adjustRightInd w:val="0"/>
        <w:snapToGrid w:val="0"/>
        <w:spacing w:after="120" w:line="228" w:lineRule="auto"/>
        <w:ind w:left="2552"/>
        <w:jc w:val="both"/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</w:pPr>
      <w:r w:rsidRPr="004F4588">
        <w:rPr>
          <w:rFonts w:ascii="Palatino Linotype" w:eastAsia="Times New Roman" w:hAnsi="Palatino Linotype" w:cs="Times New Roman"/>
          <w:b/>
          <w:snapToGrid w:val="0"/>
          <w:color w:val="000000"/>
          <w:sz w:val="20"/>
          <w:lang w:val="en-US" w:eastAsia="de-DE" w:bidi="en-US"/>
        </w:rPr>
        <w:br w:type="page"/>
      </w:r>
      <w:r w:rsidRPr="004F4588">
        <w:rPr>
          <w:rFonts w:ascii="Palatino Linotype" w:eastAsia="Times New Roman" w:hAnsi="Palatino Linotype" w:cs="Times New Roman"/>
          <w:b/>
          <w:snapToGrid w:val="0"/>
          <w:color w:val="000000"/>
          <w:sz w:val="20"/>
          <w:szCs w:val="20"/>
          <w:lang w:val="en-US" w:eastAsia="de-DE" w:bidi="en-US"/>
        </w:rPr>
        <w:lastRenderedPageBreak/>
        <w:t>Table S2.</w:t>
      </w:r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  <w:t xml:space="preserve"> Cox multivariable analysis for DDFS (all patients). </w:t>
      </w:r>
      <w:proofErr w:type="gramStart"/>
      <w:r w:rsidRPr="004F4588">
        <w:rPr>
          <w:rFonts w:ascii="Palatino Linotype" w:eastAsia="Times New Roman" w:hAnsi="Palatino Linotype" w:cs="Times New Roman"/>
          <w:bCs/>
          <w:snapToGrid w:val="0"/>
          <w:color w:val="000000"/>
          <w:sz w:val="20"/>
          <w:szCs w:val="20"/>
          <w:lang w:val="en-US" w:eastAsia="de-DE" w:bidi="en-US"/>
        </w:rPr>
        <w:t>868</w:t>
      </w:r>
      <w:proofErr w:type="gramEnd"/>
      <w:r w:rsidRPr="004F4588">
        <w:rPr>
          <w:rFonts w:ascii="Palatino Linotype" w:eastAsia="Times New Roman" w:hAnsi="Palatino Linotype" w:cs="Times New Roman"/>
          <w:bCs/>
          <w:snapToGrid w:val="0"/>
          <w:color w:val="000000"/>
          <w:sz w:val="20"/>
          <w:szCs w:val="20"/>
          <w:lang w:val="en-US" w:eastAsia="de-DE" w:bidi="en-US"/>
        </w:rPr>
        <w:t xml:space="preserve"> patients had complete data for all variables and were included in the multivariable analysis.</w:t>
      </w:r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  <w:t xml:space="preserve"> </w:t>
      </w:r>
      <w:r w:rsidRPr="004F4588">
        <w:rPr>
          <w:rFonts w:ascii="Palatino Linotype" w:eastAsia="Times New Roman" w:hAnsi="Palatino Linotype" w:cs="Times New Roman"/>
          <w:i/>
          <w:snapToGrid w:val="0"/>
          <w:color w:val="000000"/>
          <w:sz w:val="20"/>
          <w:szCs w:val="20"/>
          <w:lang w:val="en-US" w:eastAsia="de-DE" w:bidi="en-US"/>
        </w:rPr>
        <w:t>IGKC</w:t>
      </w:r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  <w:t xml:space="preserve"> expression was dichotomized using the median </w:t>
      </w:r>
      <w:r w:rsidRPr="004F4588">
        <w:rPr>
          <w:rFonts w:ascii="Palatino Linotype" w:eastAsia="Times New Roman" w:hAnsi="Palatino Linotype" w:cs="Times New Roman"/>
          <w:b/>
          <w:snapToGrid w:val="0"/>
          <w:color w:val="000000"/>
          <w:sz w:val="20"/>
          <w:szCs w:val="20"/>
          <w:lang w:val="en-US" w:eastAsia="de-DE" w:bidi="en-US"/>
        </w:rPr>
        <w:t>(a)</w:t>
      </w:r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  <w:t xml:space="preserve"> or the top quartile </w:t>
      </w:r>
      <w:r w:rsidRPr="004F4588">
        <w:rPr>
          <w:rFonts w:ascii="Palatino Linotype" w:eastAsia="Times New Roman" w:hAnsi="Palatino Linotype" w:cs="Times New Roman"/>
          <w:b/>
          <w:snapToGrid w:val="0"/>
          <w:color w:val="000000"/>
          <w:sz w:val="20"/>
          <w:szCs w:val="20"/>
          <w:lang w:val="en-US" w:eastAsia="de-DE" w:bidi="en-US"/>
        </w:rPr>
        <w:t>(b)</w:t>
      </w:r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  <w:t xml:space="preserve"> as cutoff. The results for </w:t>
      </w:r>
      <w:r w:rsidRPr="004F4588">
        <w:rPr>
          <w:rFonts w:ascii="Palatino Linotype" w:eastAsia="Times New Roman" w:hAnsi="Palatino Linotype" w:cs="Times New Roman"/>
          <w:i/>
          <w:snapToGrid w:val="0"/>
          <w:color w:val="000000"/>
          <w:sz w:val="20"/>
          <w:szCs w:val="20"/>
          <w:lang w:val="en-US" w:eastAsia="de-DE" w:bidi="en-US"/>
        </w:rPr>
        <w:t>IGKC</w:t>
      </w:r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  <w:t xml:space="preserve"> expression as a continuous variable </w:t>
      </w:r>
      <w:proofErr w:type="gramStart"/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  <w:t>are shown</w:t>
      </w:r>
      <w:proofErr w:type="gramEnd"/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  <w:t xml:space="preserve"> in Table 2. CI, confidence interval; IGKC, immunoglobulin kappa C; HER2, human epidermal growth factor receptor 2; TNBC, triple-negative breast cancer</w:t>
      </w:r>
    </w:p>
    <w:p w:rsidR="004F4588" w:rsidRPr="004F4588" w:rsidRDefault="004F4588" w:rsidP="004F4588">
      <w:pPr>
        <w:adjustRightInd w:val="0"/>
        <w:snapToGrid w:val="0"/>
        <w:spacing w:after="120" w:line="228" w:lineRule="auto"/>
        <w:ind w:left="2552"/>
        <w:jc w:val="center"/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</w:pPr>
      <w:r w:rsidRPr="004F4588">
        <w:rPr>
          <w:rFonts w:ascii="Palatino Linotype" w:eastAsia="Times New Roman" w:hAnsi="Palatino Linotype" w:cs="Times New Roman"/>
          <w:b/>
          <w:snapToGrid w:val="0"/>
          <w:color w:val="000000"/>
          <w:sz w:val="20"/>
          <w:lang w:val="en-US" w:eastAsia="de-DE" w:bidi="en-US"/>
        </w:rPr>
        <w:t>(a)</w:t>
      </w:r>
    </w:p>
    <w:tbl>
      <w:tblPr>
        <w:tblW w:w="7859" w:type="dxa"/>
        <w:tblInd w:w="2608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9"/>
        <w:gridCol w:w="1783"/>
        <w:gridCol w:w="1783"/>
        <w:gridCol w:w="1784"/>
      </w:tblGrid>
      <w:tr w:rsidR="004F4588" w:rsidRPr="004F4588" w:rsidTr="00C6536B">
        <w:tc>
          <w:tcPr>
            <w:tcW w:w="2509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val="en-US" w:eastAsia="de-DE" w:bidi="en-US"/>
              </w:rPr>
              <w:t>Variable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val="en-US" w:eastAsia="de-DE" w:bidi="en-US"/>
              </w:rPr>
              <w:t>Hazard ratio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95% CI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P</w:t>
            </w:r>
          </w:p>
        </w:tc>
      </w:tr>
      <w:tr w:rsidR="004F4588" w:rsidRPr="004F4588" w:rsidTr="00C6536B">
        <w:trPr>
          <w:trHeight w:val="272"/>
        </w:trPr>
        <w:tc>
          <w:tcPr>
            <w:tcW w:w="250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i/>
                <w:snapToGrid w:val="0"/>
                <w:color w:val="000000"/>
                <w:sz w:val="20"/>
                <w:szCs w:val="20"/>
                <w:lang w:val="en-US" w:eastAsia="de-DE" w:bidi="en-US"/>
              </w:rPr>
              <w:t>IGKC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784" w:type="dxa"/>
            <w:tcBorders>
              <w:top w:val="single" w:sz="4" w:space="0" w:color="auto"/>
              <w:bottom w:val="nil"/>
            </w:tcBorders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2"/>
        </w:trPr>
        <w:tc>
          <w:tcPr>
            <w:tcW w:w="250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 median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7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2"/>
        </w:trPr>
        <w:tc>
          <w:tcPr>
            <w:tcW w:w="250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 w:hint="eastAsia"/>
                <w:snapToGrid w:val="0"/>
                <w:color w:val="000000"/>
                <w:sz w:val="20"/>
                <w:szCs w:val="20"/>
                <w:lang w:val="en-US" w:eastAsia="de-DE" w:bidi="en-US"/>
              </w:rPr>
              <w:t>≥ median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0.815</w:t>
            </w:r>
          </w:p>
        </w:tc>
        <w:tc>
          <w:tcPr>
            <w:tcW w:w="178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0.580 – 1.145</w:t>
            </w:r>
          </w:p>
        </w:tc>
        <w:tc>
          <w:tcPr>
            <w:tcW w:w="1784" w:type="dxa"/>
            <w:tcBorders>
              <w:top w:val="nil"/>
              <w:bottom w:val="single" w:sz="4" w:space="0" w:color="auto"/>
            </w:tcBorders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0.238</w:t>
            </w:r>
          </w:p>
        </w:tc>
      </w:tr>
      <w:tr w:rsidR="004F4588" w:rsidRPr="004F4588" w:rsidTr="00C6536B">
        <w:trPr>
          <w:trHeight w:val="272"/>
        </w:trPr>
        <w:tc>
          <w:tcPr>
            <w:tcW w:w="250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Age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784" w:type="dxa"/>
            <w:tcBorders>
              <w:top w:val="single" w:sz="4" w:space="0" w:color="auto"/>
              <w:bottom w:val="nil"/>
            </w:tcBorders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2"/>
        </w:trPr>
        <w:tc>
          <w:tcPr>
            <w:tcW w:w="250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≤ 50 years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7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2"/>
        </w:trPr>
        <w:tc>
          <w:tcPr>
            <w:tcW w:w="250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&gt; 50 years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0.899</w:t>
            </w:r>
          </w:p>
        </w:tc>
        <w:tc>
          <w:tcPr>
            <w:tcW w:w="178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0.643 – 1.257</w:t>
            </w:r>
          </w:p>
        </w:tc>
        <w:tc>
          <w:tcPr>
            <w:tcW w:w="1784" w:type="dxa"/>
            <w:tcBorders>
              <w:top w:val="nil"/>
              <w:bottom w:val="single" w:sz="4" w:space="0" w:color="auto"/>
            </w:tcBorders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0.533</w:t>
            </w:r>
          </w:p>
        </w:tc>
      </w:tr>
      <w:tr w:rsidR="004F4588" w:rsidRPr="004F4588" w:rsidTr="00C6536B">
        <w:trPr>
          <w:trHeight w:val="272"/>
        </w:trPr>
        <w:tc>
          <w:tcPr>
            <w:tcW w:w="250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Molecular subtype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784" w:type="dxa"/>
            <w:tcBorders>
              <w:top w:val="single" w:sz="4" w:space="0" w:color="auto"/>
              <w:bottom w:val="nil"/>
            </w:tcBorders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2"/>
        </w:trPr>
        <w:tc>
          <w:tcPr>
            <w:tcW w:w="250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Luminal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7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2"/>
        </w:trPr>
        <w:tc>
          <w:tcPr>
            <w:tcW w:w="250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TNBC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2.467</w:t>
            </w:r>
          </w:p>
        </w:tc>
        <w:tc>
          <w:tcPr>
            <w:tcW w:w="17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1.557 – 3.909</w:t>
            </w:r>
          </w:p>
        </w:tc>
        <w:tc>
          <w:tcPr>
            <w:tcW w:w="1784" w:type="dxa"/>
            <w:tcBorders>
              <w:top w:val="nil"/>
              <w:bottom w:val="nil"/>
            </w:tcBorders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&lt;0.001</w:t>
            </w:r>
          </w:p>
        </w:tc>
      </w:tr>
      <w:tr w:rsidR="004F4588" w:rsidRPr="004F4588" w:rsidTr="00C6536B">
        <w:trPr>
          <w:trHeight w:val="272"/>
        </w:trPr>
        <w:tc>
          <w:tcPr>
            <w:tcW w:w="250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HER2+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2.007</w:t>
            </w:r>
          </w:p>
        </w:tc>
        <w:tc>
          <w:tcPr>
            <w:tcW w:w="178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1.355 – 2.972</w:t>
            </w:r>
          </w:p>
        </w:tc>
        <w:tc>
          <w:tcPr>
            <w:tcW w:w="1784" w:type="dxa"/>
            <w:tcBorders>
              <w:top w:val="nil"/>
              <w:bottom w:val="single" w:sz="4" w:space="0" w:color="auto"/>
            </w:tcBorders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0.001</w:t>
            </w:r>
          </w:p>
        </w:tc>
      </w:tr>
      <w:tr w:rsidR="004F4588" w:rsidRPr="004F4588" w:rsidTr="00C6536B">
        <w:trPr>
          <w:trHeight w:val="272"/>
        </w:trPr>
        <w:tc>
          <w:tcPr>
            <w:tcW w:w="2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proofErr w:type="spellStart"/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pT</w:t>
            </w:r>
            <w:proofErr w:type="spellEnd"/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stage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2"/>
        </w:trPr>
        <w:tc>
          <w:tcPr>
            <w:tcW w:w="2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pT1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2"/>
        </w:trPr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pT2-4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1.622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1.123 – 2.343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0.010</w:t>
            </w:r>
          </w:p>
        </w:tc>
      </w:tr>
      <w:tr w:rsidR="004F4588" w:rsidRPr="004F4588" w:rsidTr="00C6536B">
        <w:trPr>
          <w:trHeight w:val="180"/>
        </w:trPr>
        <w:tc>
          <w:tcPr>
            <w:tcW w:w="2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proofErr w:type="spellStart"/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pN</w:t>
            </w:r>
            <w:proofErr w:type="spellEnd"/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stage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2"/>
        </w:trPr>
        <w:tc>
          <w:tcPr>
            <w:tcW w:w="2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pN0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2"/>
        </w:trPr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pN1-3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4.175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1.908 – 9.135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&lt;0.001</w:t>
            </w:r>
          </w:p>
        </w:tc>
      </w:tr>
      <w:tr w:rsidR="004F4588" w:rsidRPr="004F4588" w:rsidTr="00C6536B">
        <w:trPr>
          <w:trHeight w:val="272"/>
        </w:trPr>
        <w:tc>
          <w:tcPr>
            <w:tcW w:w="2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Grade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2"/>
        </w:trPr>
        <w:tc>
          <w:tcPr>
            <w:tcW w:w="2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Grade I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c>
          <w:tcPr>
            <w:tcW w:w="2509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Grade II-III</w:t>
            </w:r>
          </w:p>
        </w:tc>
        <w:tc>
          <w:tcPr>
            <w:tcW w:w="17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2.834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1.219 – 6.592</w:t>
            </w:r>
          </w:p>
        </w:tc>
        <w:tc>
          <w:tcPr>
            <w:tcW w:w="1784" w:type="dxa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0.016</w:t>
            </w:r>
          </w:p>
        </w:tc>
      </w:tr>
    </w:tbl>
    <w:p w:rsidR="004F4588" w:rsidRPr="004F4588" w:rsidRDefault="004F4588" w:rsidP="004F4588">
      <w:pPr>
        <w:adjustRightInd w:val="0"/>
        <w:snapToGrid w:val="0"/>
        <w:spacing w:after="0" w:line="228" w:lineRule="auto"/>
        <w:ind w:left="2552"/>
        <w:jc w:val="center"/>
        <w:rPr>
          <w:rFonts w:ascii="Palatino Linotype" w:eastAsia="Times New Roman" w:hAnsi="Palatino Linotype" w:cs="Times New Roman"/>
          <w:b/>
          <w:snapToGrid w:val="0"/>
          <w:color w:val="000000"/>
          <w:sz w:val="20"/>
          <w:lang w:val="en-US" w:eastAsia="de-DE" w:bidi="en-US"/>
        </w:rPr>
      </w:pPr>
    </w:p>
    <w:p w:rsidR="004F4588" w:rsidRPr="004F4588" w:rsidRDefault="004F4588" w:rsidP="004F4588">
      <w:pPr>
        <w:adjustRightInd w:val="0"/>
        <w:snapToGrid w:val="0"/>
        <w:spacing w:after="120" w:line="228" w:lineRule="auto"/>
        <w:ind w:left="2552"/>
        <w:jc w:val="center"/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</w:pPr>
      <w:r w:rsidRPr="004F4588">
        <w:rPr>
          <w:rFonts w:ascii="Palatino Linotype" w:eastAsia="Times New Roman" w:hAnsi="Palatino Linotype" w:cs="Times New Roman"/>
          <w:b/>
          <w:snapToGrid w:val="0"/>
          <w:color w:val="000000"/>
          <w:sz w:val="20"/>
          <w:lang w:val="en-US" w:eastAsia="de-DE" w:bidi="en-US"/>
        </w:rPr>
        <w:t>(b)</w:t>
      </w:r>
    </w:p>
    <w:tbl>
      <w:tblPr>
        <w:tblW w:w="7859" w:type="dxa"/>
        <w:tblInd w:w="2608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9"/>
        <w:gridCol w:w="1783"/>
        <w:gridCol w:w="1783"/>
        <w:gridCol w:w="1784"/>
      </w:tblGrid>
      <w:tr w:rsidR="004F4588" w:rsidRPr="004F4588" w:rsidTr="00C6536B">
        <w:tc>
          <w:tcPr>
            <w:tcW w:w="2509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val="en-US" w:eastAsia="de-DE" w:bidi="en-US"/>
              </w:rPr>
              <w:t>Variable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val="en-US" w:eastAsia="de-DE" w:bidi="en-US"/>
              </w:rPr>
              <w:t>Hazard ratio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95% CI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P</w:t>
            </w:r>
          </w:p>
        </w:tc>
      </w:tr>
      <w:tr w:rsidR="004F4588" w:rsidRPr="004F4588" w:rsidTr="00C6536B">
        <w:trPr>
          <w:trHeight w:val="272"/>
        </w:trPr>
        <w:tc>
          <w:tcPr>
            <w:tcW w:w="250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i/>
                <w:snapToGrid w:val="0"/>
                <w:color w:val="000000"/>
                <w:sz w:val="20"/>
                <w:szCs w:val="20"/>
                <w:lang w:val="en-US" w:eastAsia="de-DE" w:bidi="en-US"/>
              </w:rPr>
              <w:t>IGKC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784" w:type="dxa"/>
            <w:tcBorders>
              <w:top w:val="single" w:sz="4" w:space="0" w:color="auto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2"/>
        </w:trPr>
        <w:tc>
          <w:tcPr>
            <w:tcW w:w="250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 75</w:t>
            </w: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de-DE" w:bidi="en-US"/>
              </w:rPr>
              <w:t>th</w:t>
            </w: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quantile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7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2"/>
        </w:trPr>
        <w:tc>
          <w:tcPr>
            <w:tcW w:w="250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 w:hint="eastAsia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≥ </w:t>
            </w: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75</w:t>
            </w: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de-DE" w:bidi="en-US"/>
              </w:rPr>
              <w:t>th</w:t>
            </w: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quantile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0.619</w:t>
            </w:r>
          </w:p>
        </w:tc>
        <w:tc>
          <w:tcPr>
            <w:tcW w:w="178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0.410 – 0.934</w:t>
            </w:r>
          </w:p>
        </w:tc>
        <w:tc>
          <w:tcPr>
            <w:tcW w:w="1784" w:type="dxa"/>
            <w:tcBorders>
              <w:top w:val="nil"/>
              <w:bottom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0.022</w:t>
            </w:r>
          </w:p>
        </w:tc>
      </w:tr>
      <w:tr w:rsidR="004F4588" w:rsidRPr="004F4588" w:rsidTr="00C6536B">
        <w:trPr>
          <w:trHeight w:val="272"/>
        </w:trPr>
        <w:tc>
          <w:tcPr>
            <w:tcW w:w="250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Age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784" w:type="dxa"/>
            <w:tcBorders>
              <w:top w:val="single" w:sz="4" w:space="0" w:color="auto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2"/>
        </w:trPr>
        <w:tc>
          <w:tcPr>
            <w:tcW w:w="250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≤ 50 years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7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2"/>
        </w:trPr>
        <w:tc>
          <w:tcPr>
            <w:tcW w:w="250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&gt; 50 years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0.904</w:t>
            </w:r>
          </w:p>
        </w:tc>
        <w:tc>
          <w:tcPr>
            <w:tcW w:w="178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0.646 – 1.263</w:t>
            </w:r>
          </w:p>
        </w:tc>
        <w:tc>
          <w:tcPr>
            <w:tcW w:w="1784" w:type="dxa"/>
            <w:tcBorders>
              <w:top w:val="nil"/>
              <w:bottom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0.553</w:t>
            </w:r>
          </w:p>
        </w:tc>
      </w:tr>
      <w:tr w:rsidR="004F4588" w:rsidRPr="004F4588" w:rsidTr="00C6536B">
        <w:trPr>
          <w:trHeight w:val="272"/>
        </w:trPr>
        <w:tc>
          <w:tcPr>
            <w:tcW w:w="250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Molecular subtype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784" w:type="dxa"/>
            <w:tcBorders>
              <w:top w:val="single" w:sz="4" w:space="0" w:color="auto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2"/>
        </w:trPr>
        <w:tc>
          <w:tcPr>
            <w:tcW w:w="250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Luminal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7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2"/>
        </w:trPr>
        <w:tc>
          <w:tcPr>
            <w:tcW w:w="250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TNBC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2.689</w:t>
            </w:r>
          </w:p>
        </w:tc>
        <w:tc>
          <w:tcPr>
            <w:tcW w:w="17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1.690 – 4.279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&lt;0.001</w:t>
            </w:r>
          </w:p>
        </w:tc>
      </w:tr>
      <w:tr w:rsidR="004F4588" w:rsidRPr="004F4588" w:rsidTr="00C6536B">
        <w:trPr>
          <w:trHeight w:val="272"/>
        </w:trPr>
        <w:tc>
          <w:tcPr>
            <w:tcW w:w="250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HER2+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2.087</w:t>
            </w:r>
          </w:p>
        </w:tc>
        <w:tc>
          <w:tcPr>
            <w:tcW w:w="178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1.410 – 3.090</w:t>
            </w:r>
          </w:p>
        </w:tc>
        <w:tc>
          <w:tcPr>
            <w:tcW w:w="1784" w:type="dxa"/>
            <w:tcBorders>
              <w:top w:val="nil"/>
              <w:bottom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&lt;0.001</w:t>
            </w:r>
          </w:p>
        </w:tc>
      </w:tr>
      <w:tr w:rsidR="004F4588" w:rsidRPr="004F4588" w:rsidTr="00C6536B">
        <w:trPr>
          <w:trHeight w:val="272"/>
        </w:trPr>
        <w:tc>
          <w:tcPr>
            <w:tcW w:w="2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proofErr w:type="spellStart"/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pT</w:t>
            </w:r>
            <w:proofErr w:type="spellEnd"/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stage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2"/>
        </w:trPr>
        <w:tc>
          <w:tcPr>
            <w:tcW w:w="2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pT1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2"/>
        </w:trPr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pT2-4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1.604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1.111 – 2.316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0.012</w:t>
            </w:r>
          </w:p>
        </w:tc>
      </w:tr>
      <w:tr w:rsidR="004F4588" w:rsidRPr="004F4588" w:rsidTr="00C6536B">
        <w:trPr>
          <w:trHeight w:val="180"/>
        </w:trPr>
        <w:tc>
          <w:tcPr>
            <w:tcW w:w="2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proofErr w:type="spellStart"/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pN</w:t>
            </w:r>
            <w:proofErr w:type="spellEnd"/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stage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2"/>
        </w:trPr>
        <w:tc>
          <w:tcPr>
            <w:tcW w:w="2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pN0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2"/>
        </w:trPr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pN1-3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4.322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1.974 – 9.464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&lt;0.001</w:t>
            </w:r>
          </w:p>
        </w:tc>
      </w:tr>
      <w:tr w:rsidR="004F4588" w:rsidRPr="004F4588" w:rsidTr="00C6536B">
        <w:trPr>
          <w:trHeight w:val="272"/>
        </w:trPr>
        <w:tc>
          <w:tcPr>
            <w:tcW w:w="2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Grade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2"/>
        </w:trPr>
        <w:tc>
          <w:tcPr>
            <w:tcW w:w="2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Grade I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c>
          <w:tcPr>
            <w:tcW w:w="2509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Grade II-III</w:t>
            </w:r>
          </w:p>
        </w:tc>
        <w:tc>
          <w:tcPr>
            <w:tcW w:w="17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2.979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1.282 – 6.924</w:t>
            </w:r>
          </w:p>
        </w:tc>
        <w:tc>
          <w:tcPr>
            <w:tcW w:w="1784" w:type="dxa"/>
          </w:tcPr>
          <w:p w:rsidR="004F4588" w:rsidRPr="004F4588" w:rsidRDefault="004F4588" w:rsidP="004F4588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0.011</w:t>
            </w:r>
          </w:p>
        </w:tc>
      </w:tr>
    </w:tbl>
    <w:p w:rsidR="004F4588" w:rsidRPr="004F4588" w:rsidRDefault="004F4588" w:rsidP="004F4588">
      <w:pPr>
        <w:adjustRightInd w:val="0"/>
        <w:snapToGrid w:val="0"/>
        <w:spacing w:after="0" w:line="228" w:lineRule="auto"/>
        <w:jc w:val="both"/>
        <w:rPr>
          <w:rFonts w:ascii="Palatino Linotype" w:eastAsia="Times New Roman" w:hAnsi="Palatino Linotype" w:cs="Times New Roman"/>
          <w:bCs/>
          <w:snapToGrid w:val="0"/>
          <w:color w:val="000000"/>
          <w:sz w:val="20"/>
          <w:szCs w:val="20"/>
          <w:lang w:val="en-US" w:eastAsia="de-DE" w:bidi="en-US"/>
        </w:rPr>
      </w:pPr>
      <w:r w:rsidRPr="004F4588">
        <w:rPr>
          <w:rFonts w:ascii="Palatino Linotype" w:eastAsia="Times New Roman" w:hAnsi="Palatino Linotype" w:cs="Times New Roman"/>
          <w:b/>
          <w:snapToGrid w:val="0"/>
          <w:color w:val="000000"/>
          <w:sz w:val="20"/>
          <w:szCs w:val="20"/>
          <w:lang w:val="en-US" w:eastAsia="de-DE" w:bidi="en-US"/>
        </w:rPr>
        <w:lastRenderedPageBreak/>
        <w:t>Table S3.</w:t>
      </w:r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  <w:t xml:space="preserve"> Cox </w:t>
      </w:r>
      <w:proofErr w:type="spellStart"/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  <w:t>univariable</w:t>
      </w:r>
      <w:proofErr w:type="spellEnd"/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  <w:t xml:space="preserve"> and multivariable analyses for DDFS in patients with TNBC</w:t>
      </w:r>
      <w:r w:rsidRPr="004F4588">
        <w:rPr>
          <w:rFonts w:ascii="Palatino Linotype" w:eastAsia="Times New Roman" w:hAnsi="Palatino Linotype" w:cs="Times New Roman"/>
          <w:bCs/>
          <w:snapToGrid w:val="0"/>
          <w:color w:val="000000"/>
          <w:sz w:val="20"/>
          <w:szCs w:val="20"/>
          <w:lang w:val="en-US" w:eastAsia="de-DE" w:bidi="en-US"/>
        </w:rPr>
        <w:t xml:space="preserve">. </w:t>
      </w:r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  <w:t xml:space="preserve">Median </w:t>
      </w:r>
      <w:r w:rsidRPr="004F4588">
        <w:rPr>
          <w:rFonts w:ascii="Palatino Linotype" w:eastAsia="Times New Roman" w:hAnsi="Palatino Linotype" w:cs="Times New Roman"/>
          <w:i/>
          <w:snapToGrid w:val="0"/>
          <w:color w:val="000000"/>
          <w:sz w:val="20"/>
          <w:szCs w:val="20"/>
          <w:lang w:val="en-US" w:eastAsia="de-DE" w:bidi="en-US"/>
        </w:rPr>
        <w:t>IGKC</w:t>
      </w:r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  <w:t xml:space="preserve"> expression for the patients with TNBC </w:t>
      </w:r>
      <w:r w:rsidRPr="004F4588">
        <w:rPr>
          <w:rFonts w:ascii="Palatino Linotype" w:eastAsia="Times New Roman" w:hAnsi="Palatino Linotype" w:cs="Times New Roman"/>
          <w:b/>
          <w:snapToGrid w:val="0"/>
          <w:color w:val="000000"/>
          <w:sz w:val="20"/>
          <w:szCs w:val="20"/>
          <w:lang w:val="en-US" w:eastAsia="de-DE" w:bidi="en-US"/>
        </w:rPr>
        <w:t>(a)</w:t>
      </w:r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  <w:t xml:space="preserve"> or the top quartile </w:t>
      </w:r>
      <w:proofErr w:type="gramStart"/>
      <w:r w:rsidRPr="004F4588">
        <w:rPr>
          <w:rFonts w:ascii="Palatino Linotype" w:eastAsia="Times New Roman" w:hAnsi="Palatino Linotype" w:cs="Times New Roman"/>
          <w:b/>
          <w:snapToGrid w:val="0"/>
          <w:color w:val="000000"/>
          <w:sz w:val="20"/>
          <w:szCs w:val="20"/>
          <w:lang w:val="en-US" w:eastAsia="de-DE" w:bidi="en-US"/>
        </w:rPr>
        <w:t>(b)</w:t>
      </w:r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  <w:t xml:space="preserve"> was used</w:t>
      </w:r>
      <w:proofErr w:type="gramEnd"/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  <w:t xml:space="preserve"> as a cut-off to distinguish between low and high </w:t>
      </w:r>
      <w:r w:rsidRPr="004F4588">
        <w:rPr>
          <w:rFonts w:ascii="Palatino Linotype" w:eastAsia="Times New Roman" w:hAnsi="Palatino Linotype" w:cs="Times New Roman"/>
          <w:i/>
          <w:snapToGrid w:val="0"/>
          <w:color w:val="000000"/>
          <w:sz w:val="20"/>
          <w:szCs w:val="20"/>
          <w:lang w:val="en-US" w:eastAsia="de-DE" w:bidi="en-US"/>
        </w:rPr>
        <w:t>IGKC</w:t>
      </w:r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  <w:t xml:space="preserve">. </w:t>
      </w:r>
      <w:proofErr w:type="gramStart"/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  <w:t>132</w:t>
      </w:r>
      <w:proofErr w:type="gramEnd"/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  <w:t xml:space="preserve"> patients had data for IGKC and were included in the </w:t>
      </w:r>
      <w:proofErr w:type="spellStart"/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  <w:t>univariable</w:t>
      </w:r>
      <w:proofErr w:type="spellEnd"/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  <w:t xml:space="preserve"> analysis. </w:t>
      </w:r>
      <w:proofErr w:type="gramStart"/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  <w:t>129</w:t>
      </w:r>
      <w:proofErr w:type="gramEnd"/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  <w:t xml:space="preserve"> patients had complete data for all variables and were included in the multivariable analysis. CI, confidence interval; IGKC, immunoglobulin kappa C; HER2, human epidermal growth factor receptor 2</w:t>
      </w:r>
    </w:p>
    <w:p w:rsidR="004F4588" w:rsidRPr="004F4588" w:rsidRDefault="004F4588" w:rsidP="004F4588">
      <w:pPr>
        <w:adjustRightInd w:val="0"/>
        <w:snapToGrid w:val="0"/>
        <w:spacing w:after="120" w:line="228" w:lineRule="auto"/>
        <w:jc w:val="center"/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</w:pPr>
      <w:r w:rsidRPr="004F4588">
        <w:rPr>
          <w:rFonts w:ascii="Palatino Linotype" w:eastAsia="Times New Roman" w:hAnsi="Palatino Linotype" w:cs="Times New Roman"/>
          <w:b/>
          <w:snapToGrid w:val="0"/>
          <w:color w:val="000000"/>
          <w:sz w:val="20"/>
          <w:lang w:val="en-US" w:eastAsia="de-DE" w:bidi="en-US"/>
        </w:rPr>
        <w:t>(a)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7"/>
        <w:gridCol w:w="1297"/>
        <w:gridCol w:w="1295"/>
        <w:gridCol w:w="1296"/>
        <w:gridCol w:w="1296"/>
        <w:gridCol w:w="1295"/>
        <w:gridCol w:w="1296"/>
      </w:tblGrid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448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proofErr w:type="spellStart"/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Univariable</w:t>
            </w:r>
            <w:proofErr w:type="spellEnd"/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analysis</w:t>
            </w:r>
          </w:p>
        </w:tc>
        <w:tc>
          <w:tcPr>
            <w:tcW w:w="4486" w:type="dxa"/>
            <w:gridSpan w:val="3"/>
            <w:tcBorders>
              <w:top w:val="single" w:sz="8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Multivariable analysis</w:t>
            </w: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Variable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Hazard ratio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95% CI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Arial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P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Hazard ratio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95% CI</w:t>
            </w:r>
          </w:p>
        </w:tc>
        <w:tc>
          <w:tcPr>
            <w:tcW w:w="14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P</w:t>
            </w: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i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i/>
                <w:snapToGrid w:val="0"/>
                <w:color w:val="000000"/>
                <w:sz w:val="20"/>
                <w:szCs w:val="20"/>
                <w:lang w:val="en-US" w:eastAsia="de-DE" w:bidi="en-US"/>
              </w:rPr>
              <w:t>IGKC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Arial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i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 median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Arial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i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 w:hint="eastAsia"/>
                <w:snapToGrid w:val="0"/>
                <w:color w:val="000000"/>
                <w:sz w:val="20"/>
                <w:szCs w:val="20"/>
                <w:lang w:val="en-US" w:eastAsia="de-DE" w:bidi="en-US"/>
              </w:rPr>
              <w:t>≥ median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0.418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0.198 – 0.882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Arial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Arial"/>
                <w:snapToGrid w:val="0"/>
                <w:color w:val="000000"/>
                <w:sz w:val="20"/>
                <w:szCs w:val="20"/>
                <w:lang w:val="en-US" w:eastAsia="de-DE" w:bidi="en-US"/>
              </w:rPr>
              <w:t>0.022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0.322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0.146 – 0.712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0.005</w:t>
            </w: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Age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Arial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 w:hint="eastAsia"/>
                <w:snapToGrid w:val="0"/>
                <w:color w:val="000000"/>
                <w:sz w:val="20"/>
                <w:szCs w:val="20"/>
                <w:lang w:val="en-US" w:eastAsia="de-DE" w:bidi="en-US"/>
              </w:rPr>
              <w:t>≤ 50 years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nil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Arial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&gt; 50 years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0.427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0.209 – 0.874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Arial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0.020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0.324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0.150 – 0.701</w:t>
            </w:r>
          </w:p>
        </w:tc>
        <w:tc>
          <w:tcPr>
            <w:tcW w:w="14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0.004</w:t>
            </w: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proofErr w:type="spellStart"/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pT</w:t>
            </w:r>
            <w:proofErr w:type="spellEnd"/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stage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pT1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nil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pT2-4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0.839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0.388 – 1.813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0.654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1.469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0.630 – 3.427</w:t>
            </w:r>
          </w:p>
        </w:tc>
        <w:tc>
          <w:tcPr>
            <w:tcW w:w="14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0.373</w:t>
            </w: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proofErr w:type="spellStart"/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pN</w:t>
            </w:r>
            <w:proofErr w:type="spellEnd"/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stage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pN0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nil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pN1-3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2.796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1.076 – 7.262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0.035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3.932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1.321 – 11.705</w:t>
            </w:r>
          </w:p>
        </w:tc>
        <w:tc>
          <w:tcPr>
            <w:tcW w:w="14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0.014</w:t>
            </w: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Grade </w:t>
            </w: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de-DE" w:bidi="en-US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Grade I-II </w:t>
            </w: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de-DE" w:bidi="en-US"/>
              </w:rPr>
              <w:t>2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nil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Grade III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0.642</w:t>
            </w:r>
          </w:p>
        </w:tc>
        <w:tc>
          <w:tcPr>
            <w:tcW w:w="1495" w:type="dxa"/>
            <w:tcBorders>
              <w:top w:val="nil"/>
              <w:bottom w:val="single" w:sz="8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0.286 – 1.442</w:t>
            </w:r>
          </w:p>
        </w:tc>
        <w:tc>
          <w:tcPr>
            <w:tcW w:w="1495" w:type="dxa"/>
            <w:tcBorders>
              <w:top w:val="nil"/>
              <w:bottom w:val="single" w:sz="8" w:space="0" w:color="auto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Arial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0.283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0.735</w:t>
            </w:r>
          </w:p>
        </w:tc>
        <w:tc>
          <w:tcPr>
            <w:tcW w:w="1495" w:type="dxa"/>
            <w:tcBorders>
              <w:top w:val="nil"/>
              <w:bottom w:val="single" w:sz="8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0.319 – 1.693</w:t>
            </w:r>
          </w:p>
        </w:tc>
        <w:tc>
          <w:tcPr>
            <w:tcW w:w="1496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0.470</w:t>
            </w:r>
          </w:p>
        </w:tc>
      </w:tr>
    </w:tbl>
    <w:p w:rsidR="004F4588" w:rsidRPr="004F4588" w:rsidRDefault="004F4588" w:rsidP="004F4588">
      <w:pPr>
        <w:adjustRightInd w:val="0"/>
        <w:snapToGrid w:val="0"/>
        <w:spacing w:before="120" w:after="0" w:line="228" w:lineRule="auto"/>
        <w:jc w:val="both"/>
        <w:rPr>
          <w:rFonts w:ascii="Palatino Linotype" w:eastAsia="Times New Roman" w:hAnsi="Palatino Linotype" w:cs="Times New Roman"/>
          <w:snapToGrid w:val="0"/>
          <w:color w:val="000000"/>
          <w:sz w:val="20"/>
          <w:lang w:val="en-GB" w:eastAsia="de-DE" w:bidi="en-US"/>
        </w:rPr>
      </w:pPr>
      <w:proofErr w:type="gramStart"/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vertAlign w:val="superscript"/>
          <w:lang w:val="en-GB" w:eastAsia="de-DE" w:bidi="en-US"/>
        </w:rPr>
        <w:t>1</w:t>
      </w:r>
      <w:proofErr w:type="gramEnd"/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lang w:val="en-GB" w:eastAsia="de-DE" w:bidi="en-US"/>
        </w:rPr>
        <w:t xml:space="preserve"> n = 129; </w:t>
      </w:r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vertAlign w:val="superscript"/>
          <w:lang w:val="en-GB" w:eastAsia="de-DE" w:bidi="en-US"/>
        </w:rPr>
        <w:t xml:space="preserve">2 </w:t>
      </w:r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lang w:val="en-GB" w:eastAsia="de-DE" w:bidi="en-US"/>
        </w:rPr>
        <w:t xml:space="preserve">grade was dichotomized as I-II vs III since there was only one TNBC patient with a grade I </w:t>
      </w:r>
      <w:proofErr w:type="spellStart"/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lang w:val="en-GB" w:eastAsia="de-DE" w:bidi="en-US"/>
        </w:rPr>
        <w:t>tumor</w:t>
      </w:r>
      <w:proofErr w:type="spellEnd"/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lang w:val="en-GB" w:eastAsia="de-DE" w:bidi="en-US"/>
        </w:rPr>
        <w:t>.</w:t>
      </w:r>
    </w:p>
    <w:p w:rsidR="004F4588" w:rsidRPr="004F4588" w:rsidRDefault="004F4588" w:rsidP="004F4588">
      <w:pPr>
        <w:spacing w:after="0" w:line="240" w:lineRule="auto"/>
        <w:rPr>
          <w:rFonts w:ascii="Palatino Linotype" w:eastAsia="SimSun" w:hAnsi="Palatino Linotype" w:cs="Times New Roman"/>
          <w:bCs/>
          <w:noProof/>
          <w:color w:val="000000"/>
          <w:sz w:val="20"/>
          <w:szCs w:val="20"/>
          <w:lang w:val="en-GB" w:eastAsia="zh-CN"/>
        </w:rPr>
      </w:pPr>
    </w:p>
    <w:p w:rsidR="004F4588" w:rsidRPr="004F4588" w:rsidRDefault="004F4588" w:rsidP="004F4588">
      <w:pPr>
        <w:adjustRightInd w:val="0"/>
        <w:snapToGrid w:val="0"/>
        <w:spacing w:after="120" w:line="228" w:lineRule="auto"/>
        <w:jc w:val="center"/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</w:pPr>
      <w:r w:rsidRPr="004F4588">
        <w:rPr>
          <w:rFonts w:ascii="Palatino Linotype" w:eastAsia="Times New Roman" w:hAnsi="Palatino Linotype" w:cs="Times New Roman"/>
          <w:b/>
          <w:snapToGrid w:val="0"/>
          <w:color w:val="000000"/>
          <w:sz w:val="20"/>
          <w:lang w:val="en-US" w:eastAsia="de-DE" w:bidi="en-US"/>
        </w:rPr>
        <w:t>(b)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7"/>
        <w:gridCol w:w="1297"/>
        <w:gridCol w:w="1295"/>
        <w:gridCol w:w="1296"/>
        <w:gridCol w:w="1296"/>
        <w:gridCol w:w="1295"/>
        <w:gridCol w:w="1296"/>
      </w:tblGrid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448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proofErr w:type="spellStart"/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Univariable</w:t>
            </w:r>
            <w:proofErr w:type="spellEnd"/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analysis</w:t>
            </w:r>
          </w:p>
        </w:tc>
        <w:tc>
          <w:tcPr>
            <w:tcW w:w="4486" w:type="dxa"/>
            <w:gridSpan w:val="3"/>
            <w:tcBorders>
              <w:top w:val="single" w:sz="8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Multivariable analysis</w:t>
            </w: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Variable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Hazard ratio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95% CI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Arial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P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Hazard ratio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95% CI</w:t>
            </w:r>
          </w:p>
        </w:tc>
        <w:tc>
          <w:tcPr>
            <w:tcW w:w="14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P</w:t>
            </w: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i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i/>
                <w:snapToGrid w:val="0"/>
                <w:color w:val="000000"/>
                <w:sz w:val="20"/>
                <w:szCs w:val="20"/>
                <w:lang w:val="en-US" w:eastAsia="de-DE" w:bidi="en-US"/>
              </w:rPr>
              <w:t>IGKC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Arial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i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 75th quantile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Arial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i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 w:hint="eastAsia"/>
                <w:snapToGrid w:val="0"/>
                <w:color w:val="000000"/>
                <w:sz w:val="20"/>
                <w:szCs w:val="20"/>
                <w:lang w:val="en-US" w:eastAsia="de-DE" w:bidi="en-US"/>
              </w:rPr>
              <w:t>≥ 75th quantile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0.172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0.041 – 0.719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Arial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Arial"/>
                <w:snapToGrid w:val="0"/>
                <w:color w:val="000000"/>
                <w:sz w:val="20"/>
                <w:szCs w:val="20"/>
                <w:lang w:val="en-US" w:eastAsia="de-DE" w:bidi="en-US"/>
              </w:rPr>
              <w:t>0.016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0.197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0.045 – 0.852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0.030</w:t>
            </w: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Age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Arial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 w:hint="eastAsia"/>
                <w:snapToGrid w:val="0"/>
                <w:color w:val="000000"/>
                <w:sz w:val="20"/>
                <w:szCs w:val="20"/>
                <w:lang w:val="en-US" w:eastAsia="de-DE" w:bidi="en-US"/>
              </w:rPr>
              <w:t>≤ 50 years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nil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Arial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&gt; 50 years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0.427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0.209 – 0.874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Arial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0.020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0.465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0.216 – 1.003</w:t>
            </w:r>
          </w:p>
        </w:tc>
        <w:tc>
          <w:tcPr>
            <w:tcW w:w="14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0.051</w:t>
            </w: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proofErr w:type="spellStart"/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pT</w:t>
            </w:r>
            <w:proofErr w:type="spellEnd"/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stage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pT1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nil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pT2-4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0.839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0.388 – 1.813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0.654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1.193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0.510 – 2.789</w:t>
            </w:r>
          </w:p>
        </w:tc>
        <w:tc>
          <w:tcPr>
            <w:tcW w:w="14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0.684</w:t>
            </w: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proofErr w:type="spellStart"/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pN</w:t>
            </w:r>
            <w:proofErr w:type="spellEnd"/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stage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pN0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nil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pN1-3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2.796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1.076 – 7.262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0.035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3.527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1.179 – 10.550</w:t>
            </w:r>
          </w:p>
        </w:tc>
        <w:tc>
          <w:tcPr>
            <w:tcW w:w="14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0.024</w:t>
            </w: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Grade </w:t>
            </w: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de-DE" w:bidi="en-US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Grade I-II </w:t>
            </w: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de-DE" w:bidi="en-US"/>
              </w:rPr>
              <w:t>2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nil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Grade III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0.642</w:t>
            </w:r>
          </w:p>
        </w:tc>
        <w:tc>
          <w:tcPr>
            <w:tcW w:w="1495" w:type="dxa"/>
            <w:tcBorders>
              <w:top w:val="nil"/>
              <w:bottom w:val="single" w:sz="8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0.286 – 1.442</w:t>
            </w:r>
          </w:p>
        </w:tc>
        <w:tc>
          <w:tcPr>
            <w:tcW w:w="1495" w:type="dxa"/>
            <w:tcBorders>
              <w:top w:val="nil"/>
              <w:bottom w:val="single" w:sz="8" w:space="0" w:color="auto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Arial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0.283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0.782</w:t>
            </w:r>
          </w:p>
        </w:tc>
        <w:tc>
          <w:tcPr>
            <w:tcW w:w="1495" w:type="dxa"/>
            <w:tcBorders>
              <w:top w:val="nil"/>
              <w:bottom w:val="single" w:sz="8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0.337 – 1.813</w:t>
            </w:r>
          </w:p>
        </w:tc>
        <w:tc>
          <w:tcPr>
            <w:tcW w:w="1496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0.566</w:t>
            </w:r>
          </w:p>
        </w:tc>
      </w:tr>
    </w:tbl>
    <w:p w:rsidR="004F4588" w:rsidRPr="004F4588" w:rsidRDefault="004F4588" w:rsidP="004F4588">
      <w:pPr>
        <w:adjustRightInd w:val="0"/>
        <w:snapToGrid w:val="0"/>
        <w:spacing w:before="120" w:after="0" w:line="228" w:lineRule="auto"/>
        <w:jc w:val="both"/>
        <w:rPr>
          <w:rFonts w:ascii="Palatino Linotype" w:eastAsia="Times New Roman" w:hAnsi="Palatino Linotype" w:cs="Times New Roman"/>
          <w:snapToGrid w:val="0"/>
          <w:color w:val="000000"/>
          <w:sz w:val="20"/>
          <w:lang w:val="en-GB" w:eastAsia="de-DE" w:bidi="en-US"/>
        </w:rPr>
      </w:pPr>
      <w:proofErr w:type="gramStart"/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vertAlign w:val="superscript"/>
          <w:lang w:val="en-GB" w:eastAsia="de-DE" w:bidi="en-US"/>
        </w:rPr>
        <w:t>1</w:t>
      </w:r>
      <w:proofErr w:type="gramEnd"/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lang w:val="en-GB" w:eastAsia="de-DE" w:bidi="en-US"/>
        </w:rPr>
        <w:t xml:space="preserve"> n = 129; </w:t>
      </w:r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vertAlign w:val="superscript"/>
          <w:lang w:val="en-GB" w:eastAsia="de-DE" w:bidi="en-US"/>
        </w:rPr>
        <w:t xml:space="preserve">2 </w:t>
      </w:r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lang w:val="en-GB" w:eastAsia="de-DE" w:bidi="en-US"/>
        </w:rPr>
        <w:t xml:space="preserve">grade was dichotomized as I-II vs III since there was only one TNBC patient with a grade I </w:t>
      </w:r>
      <w:proofErr w:type="spellStart"/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lang w:val="en-GB" w:eastAsia="de-DE" w:bidi="en-US"/>
        </w:rPr>
        <w:t>tumor</w:t>
      </w:r>
      <w:proofErr w:type="spellEnd"/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lang w:val="en-GB" w:eastAsia="de-DE" w:bidi="en-US"/>
        </w:rPr>
        <w:t>.</w:t>
      </w:r>
    </w:p>
    <w:p w:rsidR="004F4588" w:rsidRPr="004F4588" w:rsidRDefault="004F4588" w:rsidP="004F4588">
      <w:pPr>
        <w:spacing w:after="0" w:line="240" w:lineRule="auto"/>
        <w:rPr>
          <w:rFonts w:ascii="Palatino Linotype" w:eastAsia="Times New Roman" w:hAnsi="Palatino Linotype" w:cs="Times New Roman"/>
          <w:b/>
          <w:bCs/>
          <w:snapToGrid w:val="0"/>
          <w:color w:val="000000"/>
          <w:sz w:val="20"/>
          <w:lang w:val="en-US" w:eastAsia="de-DE" w:bidi="en-US"/>
        </w:rPr>
      </w:pPr>
      <w:r w:rsidRPr="004F4588">
        <w:rPr>
          <w:rFonts w:ascii="Palatino Linotype" w:eastAsia="SimSun" w:hAnsi="Palatino Linotype" w:cs="Times New Roman"/>
          <w:bCs/>
          <w:noProof/>
          <w:color w:val="000000"/>
          <w:sz w:val="20"/>
          <w:szCs w:val="20"/>
          <w:lang w:val="en-US" w:eastAsia="zh-CN"/>
        </w:rPr>
        <w:br w:type="page"/>
      </w:r>
    </w:p>
    <w:p w:rsidR="004F4588" w:rsidRPr="004F4588" w:rsidRDefault="004F4588" w:rsidP="004F4588">
      <w:pPr>
        <w:adjustRightInd w:val="0"/>
        <w:snapToGrid w:val="0"/>
        <w:spacing w:after="240" w:line="228" w:lineRule="auto"/>
        <w:jc w:val="both"/>
        <w:rPr>
          <w:rFonts w:ascii="Palatino Linotype" w:eastAsia="Times New Roman" w:hAnsi="Palatino Linotype" w:cs="Times New Roman"/>
          <w:bCs/>
          <w:snapToGrid w:val="0"/>
          <w:color w:val="000000"/>
          <w:sz w:val="20"/>
          <w:szCs w:val="20"/>
          <w:lang w:val="en-US" w:eastAsia="de-DE" w:bidi="en-US"/>
        </w:rPr>
      </w:pPr>
      <w:r w:rsidRPr="004F4588">
        <w:rPr>
          <w:rFonts w:ascii="Palatino Linotype" w:eastAsia="Times New Roman" w:hAnsi="Palatino Linotype" w:cs="Times New Roman"/>
          <w:b/>
          <w:snapToGrid w:val="0"/>
          <w:color w:val="000000"/>
          <w:sz w:val="20"/>
          <w:szCs w:val="20"/>
          <w:lang w:val="en-US" w:eastAsia="de-DE" w:bidi="en-US"/>
        </w:rPr>
        <w:lastRenderedPageBreak/>
        <w:t>Table S4:</w:t>
      </w:r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  <w:t xml:space="preserve"> Cox </w:t>
      </w:r>
      <w:proofErr w:type="spellStart"/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  <w:t>univariable</w:t>
      </w:r>
      <w:proofErr w:type="spellEnd"/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  <w:t xml:space="preserve"> and multivariable analysis for DDFS in patients with luminal breast cancer. </w:t>
      </w:r>
      <w:proofErr w:type="gramStart"/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  <w:t>574</w:t>
      </w:r>
      <w:proofErr w:type="gramEnd"/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  <w:t xml:space="preserve"> patients had data for </w:t>
      </w:r>
      <w:r w:rsidRPr="004F4588">
        <w:rPr>
          <w:rFonts w:ascii="Palatino Linotype" w:eastAsia="Times New Roman" w:hAnsi="Palatino Linotype" w:cs="Times New Roman"/>
          <w:i/>
          <w:snapToGrid w:val="0"/>
          <w:color w:val="000000"/>
          <w:sz w:val="20"/>
          <w:szCs w:val="20"/>
          <w:lang w:val="en-US" w:eastAsia="de-DE" w:bidi="en-US"/>
        </w:rPr>
        <w:t>IGKC</w:t>
      </w:r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  <w:t xml:space="preserve"> and were included in the </w:t>
      </w:r>
      <w:proofErr w:type="spellStart"/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  <w:t>univariable</w:t>
      </w:r>
      <w:proofErr w:type="spellEnd"/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  <w:t xml:space="preserve"> analysis. </w:t>
      </w:r>
      <w:proofErr w:type="gramStart"/>
      <w:r w:rsidRPr="004F4588">
        <w:rPr>
          <w:rFonts w:ascii="Palatino Linotype" w:eastAsia="Times New Roman" w:hAnsi="Palatino Linotype" w:cs="Times New Roman"/>
          <w:bCs/>
          <w:snapToGrid w:val="0"/>
          <w:color w:val="000000"/>
          <w:sz w:val="20"/>
          <w:szCs w:val="20"/>
          <w:lang w:val="en-US" w:eastAsia="de-DE" w:bidi="en-US"/>
        </w:rPr>
        <w:t>540</w:t>
      </w:r>
      <w:proofErr w:type="gramEnd"/>
      <w:r w:rsidRPr="004F4588">
        <w:rPr>
          <w:rFonts w:ascii="Palatino Linotype" w:eastAsia="Times New Roman" w:hAnsi="Palatino Linotype" w:cs="Times New Roman"/>
          <w:bCs/>
          <w:snapToGrid w:val="0"/>
          <w:color w:val="000000"/>
          <w:sz w:val="20"/>
          <w:szCs w:val="20"/>
          <w:lang w:val="en-US" w:eastAsia="de-DE" w:bidi="en-US"/>
        </w:rPr>
        <w:t xml:space="preserve"> patients had complete data for all variables and were included in the multivariable analysis.</w:t>
      </w:r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  <w:t xml:space="preserve"> </w:t>
      </w:r>
      <w:r w:rsidRPr="004F4588">
        <w:rPr>
          <w:rFonts w:ascii="Palatino Linotype" w:eastAsia="Times New Roman" w:hAnsi="Palatino Linotype" w:cs="Times New Roman"/>
          <w:i/>
          <w:snapToGrid w:val="0"/>
          <w:color w:val="000000"/>
          <w:sz w:val="20"/>
          <w:szCs w:val="20"/>
          <w:lang w:val="en-US" w:eastAsia="de-DE" w:bidi="en-US"/>
        </w:rPr>
        <w:t>IGKC</w:t>
      </w:r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  <w:t xml:space="preserve"> expression was included as a continuous variable </w:t>
      </w:r>
      <w:r w:rsidRPr="004F4588">
        <w:rPr>
          <w:rFonts w:ascii="Palatino Linotype" w:eastAsia="Times New Roman" w:hAnsi="Palatino Linotype" w:cs="Times New Roman"/>
          <w:b/>
          <w:snapToGrid w:val="0"/>
          <w:color w:val="000000"/>
          <w:sz w:val="20"/>
          <w:szCs w:val="20"/>
          <w:lang w:val="en-US" w:eastAsia="de-DE" w:bidi="en-US"/>
        </w:rPr>
        <w:t>(a)</w:t>
      </w:r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  <w:t xml:space="preserve"> or the median </w:t>
      </w:r>
      <w:r w:rsidRPr="004F4588">
        <w:rPr>
          <w:rFonts w:ascii="Palatino Linotype" w:eastAsia="Times New Roman" w:hAnsi="Palatino Linotype" w:cs="Times New Roman"/>
          <w:b/>
          <w:snapToGrid w:val="0"/>
          <w:color w:val="000000"/>
          <w:sz w:val="20"/>
          <w:szCs w:val="20"/>
          <w:lang w:val="en-US" w:eastAsia="de-DE" w:bidi="en-US"/>
        </w:rPr>
        <w:t>(b)</w:t>
      </w:r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  <w:t xml:space="preserve"> or top quartile </w:t>
      </w:r>
      <w:r w:rsidRPr="004F4588">
        <w:rPr>
          <w:rFonts w:ascii="Palatino Linotype" w:eastAsia="Times New Roman" w:hAnsi="Palatino Linotype" w:cs="Times New Roman"/>
          <w:b/>
          <w:snapToGrid w:val="0"/>
          <w:color w:val="000000"/>
          <w:sz w:val="20"/>
          <w:szCs w:val="20"/>
          <w:lang w:val="en-US" w:eastAsia="de-DE" w:bidi="en-US"/>
        </w:rPr>
        <w:t xml:space="preserve">(c) </w:t>
      </w:r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  <w:t xml:space="preserve">of </w:t>
      </w:r>
      <w:r w:rsidRPr="004F4588">
        <w:rPr>
          <w:rFonts w:ascii="Palatino Linotype" w:eastAsia="Times New Roman" w:hAnsi="Palatino Linotype" w:cs="Times New Roman"/>
          <w:i/>
          <w:snapToGrid w:val="0"/>
          <w:color w:val="000000"/>
          <w:sz w:val="20"/>
          <w:szCs w:val="20"/>
          <w:lang w:val="en-US" w:eastAsia="de-DE" w:bidi="en-US"/>
        </w:rPr>
        <w:t>IGKC</w:t>
      </w:r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  <w:t xml:space="preserve"> expression </w:t>
      </w:r>
      <w:proofErr w:type="gramStart"/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  <w:t>in patient</w:t>
      </w:r>
      <w:proofErr w:type="gramEnd"/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  <w:t xml:space="preserve"> with luminal breast cancer was used as a cut-off to distinguish between low and high </w:t>
      </w:r>
      <w:r w:rsidRPr="004F4588">
        <w:rPr>
          <w:rFonts w:ascii="Palatino Linotype" w:eastAsia="Times New Roman" w:hAnsi="Palatino Linotype" w:cs="Times New Roman"/>
          <w:i/>
          <w:snapToGrid w:val="0"/>
          <w:color w:val="000000"/>
          <w:sz w:val="20"/>
          <w:szCs w:val="20"/>
          <w:lang w:val="en-US" w:eastAsia="de-DE" w:bidi="en-US"/>
        </w:rPr>
        <w:t>IGKC</w:t>
      </w:r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  <w:t>. CI, confidence interval; IGKC, immunoglobulin kappa C; HER2, human epidermal growth factor receptor 2</w:t>
      </w:r>
      <w:r w:rsidRPr="004F4588">
        <w:rPr>
          <w:rFonts w:ascii="Palatino Linotype" w:eastAsia="Times New Roman" w:hAnsi="Palatino Linotype" w:cs="Times New Roman"/>
          <w:bCs/>
          <w:snapToGrid w:val="0"/>
          <w:color w:val="000000"/>
          <w:sz w:val="20"/>
          <w:szCs w:val="20"/>
          <w:lang w:val="en-US" w:eastAsia="de-DE" w:bidi="en-US"/>
        </w:rPr>
        <w:t xml:space="preserve"> </w:t>
      </w:r>
    </w:p>
    <w:p w:rsidR="004F4588" w:rsidRPr="004F4588" w:rsidRDefault="004F4588" w:rsidP="004F4588">
      <w:pPr>
        <w:adjustRightInd w:val="0"/>
        <w:snapToGrid w:val="0"/>
        <w:spacing w:after="240" w:line="228" w:lineRule="auto"/>
        <w:jc w:val="center"/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</w:pPr>
      <w:r w:rsidRPr="004F4588">
        <w:rPr>
          <w:rFonts w:ascii="Palatino Linotype" w:eastAsia="Times New Roman" w:hAnsi="Palatino Linotype" w:cs="Times New Roman"/>
          <w:b/>
          <w:snapToGrid w:val="0"/>
          <w:color w:val="000000"/>
          <w:sz w:val="20"/>
          <w:lang w:val="en-US" w:eastAsia="de-DE" w:bidi="en-US"/>
        </w:rPr>
        <w:t>(a)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7"/>
        <w:gridCol w:w="1297"/>
        <w:gridCol w:w="1295"/>
        <w:gridCol w:w="1296"/>
        <w:gridCol w:w="1296"/>
        <w:gridCol w:w="1295"/>
        <w:gridCol w:w="1296"/>
      </w:tblGrid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448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proofErr w:type="spellStart"/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Univariable</w:t>
            </w:r>
            <w:proofErr w:type="spellEnd"/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analysis</w:t>
            </w:r>
          </w:p>
        </w:tc>
        <w:tc>
          <w:tcPr>
            <w:tcW w:w="4486" w:type="dxa"/>
            <w:gridSpan w:val="3"/>
            <w:tcBorders>
              <w:top w:val="single" w:sz="8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Multivariable analysis</w:t>
            </w: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Variable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Hazard ratio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95% CI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Arial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P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Hazard ratio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95% CI</w:t>
            </w:r>
          </w:p>
        </w:tc>
        <w:tc>
          <w:tcPr>
            <w:tcW w:w="14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P</w:t>
            </w: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i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i/>
                <w:snapToGrid w:val="0"/>
                <w:color w:val="000000"/>
                <w:sz w:val="20"/>
                <w:szCs w:val="20"/>
                <w:lang w:val="en-US" w:eastAsia="de-DE" w:bidi="en-US"/>
              </w:rPr>
              <w:t>IGKC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0.968</w:t>
            </w:r>
          </w:p>
        </w:tc>
        <w:tc>
          <w:tcPr>
            <w:tcW w:w="1495" w:type="dxa"/>
            <w:tcBorders>
              <w:top w:val="single" w:sz="4" w:space="0" w:color="auto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0.876 – 1.070</w:t>
            </w:r>
          </w:p>
        </w:tc>
        <w:tc>
          <w:tcPr>
            <w:tcW w:w="149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Arial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Arial"/>
                <w:snapToGrid w:val="0"/>
                <w:color w:val="000000"/>
                <w:sz w:val="20"/>
                <w:szCs w:val="20"/>
                <w:lang w:val="en-US" w:eastAsia="de-DE" w:bidi="en-US"/>
              </w:rPr>
              <w:t>0.524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0.960</w:t>
            </w:r>
          </w:p>
        </w:tc>
        <w:tc>
          <w:tcPr>
            <w:tcW w:w="1495" w:type="dxa"/>
            <w:tcBorders>
              <w:top w:val="single" w:sz="4" w:space="0" w:color="auto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0.868 – 1.061</w:t>
            </w:r>
          </w:p>
        </w:tc>
        <w:tc>
          <w:tcPr>
            <w:tcW w:w="149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0.419</w:t>
            </w: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Age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Arial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 w:hint="eastAsia"/>
                <w:snapToGrid w:val="0"/>
                <w:color w:val="000000"/>
                <w:sz w:val="20"/>
                <w:szCs w:val="20"/>
                <w:lang w:val="en-US" w:eastAsia="de-DE" w:bidi="en-US"/>
              </w:rPr>
              <w:t>≤ 50 years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nil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Arial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&gt; 50 years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0.920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0.569 – 1.490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Arial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0.735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1.135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0.685 – 1.880</w:t>
            </w:r>
          </w:p>
        </w:tc>
        <w:tc>
          <w:tcPr>
            <w:tcW w:w="14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0.623</w:t>
            </w: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proofErr w:type="spellStart"/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pT</w:t>
            </w:r>
            <w:proofErr w:type="spellEnd"/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stage </w:t>
            </w: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de-DE" w:bidi="en-US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pT1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nil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pT2-4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2.454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1.454 – 4.142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0.001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2.228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1.285 – 3.865</w:t>
            </w:r>
          </w:p>
        </w:tc>
        <w:tc>
          <w:tcPr>
            <w:tcW w:w="14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0.004</w:t>
            </w: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proofErr w:type="spellStart"/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pN</w:t>
            </w:r>
            <w:proofErr w:type="spellEnd"/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stage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pN0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nil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pN1-3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3.171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0.440 – 22.847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0.252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4.208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0.574 – 30.832</w:t>
            </w:r>
          </w:p>
        </w:tc>
        <w:tc>
          <w:tcPr>
            <w:tcW w:w="14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0.157</w:t>
            </w: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Grade </w:t>
            </w: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de-DE" w:bidi="en-US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Grade I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nil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Grade II-III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3.793</w:t>
            </w:r>
          </w:p>
        </w:tc>
        <w:tc>
          <w:tcPr>
            <w:tcW w:w="1495" w:type="dxa"/>
            <w:tcBorders>
              <w:top w:val="nil"/>
              <w:bottom w:val="single" w:sz="8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1.521 – 9.459</w:t>
            </w:r>
          </w:p>
        </w:tc>
        <w:tc>
          <w:tcPr>
            <w:tcW w:w="1495" w:type="dxa"/>
            <w:tcBorders>
              <w:top w:val="nil"/>
              <w:bottom w:val="single" w:sz="8" w:space="0" w:color="auto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Arial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0.004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3.241</w:t>
            </w:r>
          </w:p>
        </w:tc>
        <w:tc>
          <w:tcPr>
            <w:tcW w:w="1495" w:type="dxa"/>
            <w:tcBorders>
              <w:top w:val="nil"/>
              <w:bottom w:val="single" w:sz="8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1.284 – 8.183</w:t>
            </w:r>
          </w:p>
        </w:tc>
        <w:tc>
          <w:tcPr>
            <w:tcW w:w="1496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0.013</w:t>
            </w:r>
          </w:p>
        </w:tc>
      </w:tr>
    </w:tbl>
    <w:p w:rsidR="004F4588" w:rsidRPr="004F4588" w:rsidRDefault="004F4588" w:rsidP="004F4588">
      <w:pPr>
        <w:adjustRightInd w:val="0"/>
        <w:snapToGrid w:val="0"/>
        <w:spacing w:before="120" w:after="0" w:line="228" w:lineRule="auto"/>
        <w:jc w:val="both"/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GB" w:eastAsia="de-DE" w:bidi="en-US"/>
        </w:rPr>
      </w:pPr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vertAlign w:val="superscript"/>
          <w:lang w:val="en-US" w:eastAsia="de-DE" w:bidi="en-US"/>
        </w:rPr>
        <w:t xml:space="preserve">1 </w:t>
      </w:r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  <w:t xml:space="preserve">n = 573, </w:t>
      </w:r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vertAlign w:val="superscript"/>
          <w:lang w:val="en-US" w:eastAsia="de-DE" w:bidi="en-US"/>
        </w:rPr>
        <w:t>2</w:t>
      </w:r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  <w:t xml:space="preserve"> n = 541</w:t>
      </w:r>
    </w:p>
    <w:p w:rsidR="004F4588" w:rsidRPr="004F4588" w:rsidRDefault="004F4588" w:rsidP="004F4588">
      <w:pPr>
        <w:adjustRightInd w:val="0"/>
        <w:snapToGrid w:val="0"/>
        <w:spacing w:after="240" w:line="228" w:lineRule="auto"/>
        <w:jc w:val="center"/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</w:pPr>
      <w:r w:rsidRPr="004F4588">
        <w:rPr>
          <w:rFonts w:ascii="Palatino Linotype" w:eastAsia="Times New Roman" w:hAnsi="Palatino Linotype" w:cs="Times New Roman"/>
          <w:b/>
          <w:snapToGrid w:val="0"/>
          <w:color w:val="000000"/>
          <w:sz w:val="20"/>
          <w:lang w:val="en-US" w:eastAsia="de-DE" w:bidi="en-US"/>
        </w:rPr>
        <w:t>(b)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7"/>
        <w:gridCol w:w="1297"/>
        <w:gridCol w:w="1295"/>
        <w:gridCol w:w="1296"/>
        <w:gridCol w:w="1296"/>
        <w:gridCol w:w="1295"/>
        <w:gridCol w:w="1296"/>
      </w:tblGrid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448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proofErr w:type="spellStart"/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Univariable</w:t>
            </w:r>
            <w:proofErr w:type="spellEnd"/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analysis</w:t>
            </w:r>
          </w:p>
        </w:tc>
        <w:tc>
          <w:tcPr>
            <w:tcW w:w="4486" w:type="dxa"/>
            <w:gridSpan w:val="3"/>
            <w:tcBorders>
              <w:top w:val="single" w:sz="8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Multivariable analysis</w:t>
            </w: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Variable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Hazard ratio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95% CI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Arial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P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Hazard ratio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95% CI</w:t>
            </w:r>
          </w:p>
        </w:tc>
        <w:tc>
          <w:tcPr>
            <w:tcW w:w="14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P</w:t>
            </w: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i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i/>
                <w:snapToGrid w:val="0"/>
                <w:color w:val="000000"/>
                <w:sz w:val="20"/>
                <w:szCs w:val="20"/>
                <w:lang w:val="en-US" w:eastAsia="de-DE" w:bidi="en-US"/>
              </w:rPr>
              <w:t>IGKC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Arial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i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 median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Arial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i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 w:hint="eastAsia"/>
                <w:snapToGrid w:val="0"/>
                <w:color w:val="000000"/>
                <w:sz w:val="20"/>
                <w:szCs w:val="20"/>
                <w:lang w:val="en-US" w:eastAsia="de-DE" w:bidi="en-US"/>
              </w:rPr>
              <w:t>≥ median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0.619-1.614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Arial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0.999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0.970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0.592 – 1.592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0.906</w:t>
            </w: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Age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Arial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 w:hint="eastAsia"/>
                <w:snapToGrid w:val="0"/>
                <w:color w:val="000000"/>
                <w:sz w:val="20"/>
                <w:szCs w:val="20"/>
                <w:lang w:val="en-US" w:eastAsia="de-DE" w:bidi="en-US"/>
              </w:rPr>
              <w:t>≤ 50 years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nil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Arial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&gt; 50 years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0.920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0.569 – 1.490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Arial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0.735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1.137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0.686 – 1.884</w:t>
            </w:r>
          </w:p>
        </w:tc>
        <w:tc>
          <w:tcPr>
            <w:tcW w:w="14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0.618</w:t>
            </w: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proofErr w:type="spellStart"/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pT</w:t>
            </w:r>
            <w:proofErr w:type="spellEnd"/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stage </w:t>
            </w: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de-DE" w:bidi="en-US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pT1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nil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pT2-4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2.454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1.454 – 4.142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0.001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2.246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1.296 – 3.895</w:t>
            </w:r>
          </w:p>
        </w:tc>
        <w:tc>
          <w:tcPr>
            <w:tcW w:w="14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0.004</w:t>
            </w: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proofErr w:type="spellStart"/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pN</w:t>
            </w:r>
            <w:proofErr w:type="spellEnd"/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stage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pN0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nil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pN1-3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3.171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0.440 – 22.847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0.252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4.257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0.581 – 31.182</w:t>
            </w:r>
          </w:p>
        </w:tc>
        <w:tc>
          <w:tcPr>
            <w:tcW w:w="14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0.154</w:t>
            </w: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Grade </w:t>
            </w: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de-DE" w:bidi="en-US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Grade I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nil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Grade II-III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3.793</w:t>
            </w:r>
          </w:p>
        </w:tc>
        <w:tc>
          <w:tcPr>
            <w:tcW w:w="1495" w:type="dxa"/>
            <w:tcBorders>
              <w:top w:val="nil"/>
              <w:bottom w:val="single" w:sz="8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1.521 – 9.459</w:t>
            </w:r>
          </w:p>
        </w:tc>
        <w:tc>
          <w:tcPr>
            <w:tcW w:w="1495" w:type="dxa"/>
            <w:tcBorders>
              <w:top w:val="nil"/>
              <w:bottom w:val="single" w:sz="8" w:space="0" w:color="auto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Arial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0.004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3.234</w:t>
            </w:r>
          </w:p>
        </w:tc>
        <w:tc>
          <w:tcPr>
            <w:tcW w:w="1495" w:type="dxa"/>
            <w:tcBorders>
              <w:top w:val="nil"/>
              <w:bottom w:val="single" w:sz="8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1.280 – 8.169</w:t>
            </w:r>
          </w:p>
        </w:tc>
        <w:tc>
          <w:tcPr>
            <w:tcW w:w="1496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0.013</w:t>
            </w:r>
          </w:p>
        </w:tc>
      </w:tr>
    </w:tbl>
    <w:p w:rsidR="004F4588" w:rsidRPr="004F4588" w:rsidRDefault="004F4588" w:rsidP="004F4588">
      <w:pPr>
        <w:adjustRightInd w:val="0"/>
        <w:snapToGrid w:val="0"/>
        <w:spacing w:before="120" w:after="0" w:line="228" w:lineRule="auto"/>
        <w:jc w:val="both"/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GB" w:eastAsia="de-DE" w:bidi="en-US"/>
        </w:rPr>
      </w:pPr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vertAlign w:val="superscript"/>
          <w:lang w:val="en-US" w:eastAsia="de-DE" w:bidi="en-US"/>
        </w:rPr>
        <w:t xml:space="preserve">1 </w:t>
      </w:r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  <w:t xml:space="preserve">n = 573, </w:t>
      </w:r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vertAlign w:val="superscript"/>
          <w:lang w:val="en-US" w:eastAsia="de-DE" w:bidi="en-US"/>
        </w:rPr>
        <w:t>2</w:t>
      </w:r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  <w:t xml:space="preserve"> n = 541</w:t>
      </w:r>
    </w:p>
    <w:p w:rsidR="004F4588" w:rsidRPr="004F4588" w:rsidRDefault="004F4588" w:rsidP="004F4588">
      <w:pPr>
        <w:adjustRightInd w:val="0"/>
        <w:snapToGrid w:val="0"/>
        <w:spacing w:after="240" w:line="228" w:lineRule="auto"/>
        <w:jc w:val="right"/>
        <w:rPr>
          <w:rFonts w:ascii="Palatino Linotype" w:eastAsia="Times New Roman" w:hAnsi="Palatino Linotype" w:cs="Times New Roman"/>
          <w:bCs/>
          <w:snapToGrid w:val="0"/>
          <w:color w:val="000000"/>
          <w:sz w:val="20"/>
          <w:lang w:val="en-US" w:eastAsia="de-DE" w:bidi="en-US"/>
        </w:rPr>
      </w:pPr>
    </w:p>
    <w:p w:rsidR="004F4588" w:rsidRPr="004F4588" w:rsidRDefault="004F4588" w:rsidP="004F4588">
      <w:pPr>
        <w:adjustRightInd w:val="0"/>
        <w:snapToGrid w:val="0"/>
        <w:spacing w:after="240" w:line="228" w:lineRule="auto"/>
        <w:jc w:val="center"/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</w:pPr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lang w:val="en-US" w:eastAsia="de-DE" w:bidi="en-US"/>
        </w:rPr>
        <w:br w:type="page"/>
      </w:r>
      <w:r w:rsidRPr="004F4588">
        <w:rPr>
          <w:rFonts w:ascii="Palatino Linotype" w:eastAsia="Times New Roman" w:hAnsi="Palatino Linotype" w:cs="Times New Roman"/>
          <w:b/>
          <w:snapToGrid w:val="0"/>
          <w:color w:val="000000"/>
          <w:sz w:val="20"/>
          <w:lang w:val="en-US" w:eastAsia="de-DE" w:bidi="en-US"/>
        </w:rPr>
        <w:lastRenderedPageBreak/>
        <w:t>(c)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7"/>
        <w:gridCol w:w="1297"/>
        <w:gridCol w:w="1295"/>
        <w:gridCol w:w="1296"/>
        <w:gridCol w:w="1296"/>
        <w:gridCol w:w="1295"/>
        <w:gridCol w:w="1296"/>
      </w:tblGrid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448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proofErr w:type="spellStart"/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Univariable</w:t>
            </w:r>
            <w:proofErr w:type="spellEnd"/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analysis</w:t>
            </w:r>
          </w:p>
        </w:tc>
        <w:tc>
          <w:tcPr>
            <w:tcW w:w="4486" w:type="dxa"/>
            <w:gridSpan w:val="3"/>
            <w:tcBorders>
              <w:top w:val="single" w:sz="8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Multivariable analysis</w:t>
            </w: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Variable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Hazard ratio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95% CI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Arial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P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Hazard ratio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95% CI</w:t>
            </w:r>
          </w:p>
        </w:tc>
        <w:tc>
          <w:tcPr>
            <w:tcW w:w="14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P</w:t>
            </w: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i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i/>
                <w:snapToGrid w:val="0"/>
                <w:color w:val="000000"/>
                <w:sz w:val="20"/>
                <w:szCs w:val="20"/>
                <w:lang w:val="en-US" w:eastAsia="de-DE" w:bidi="en-US"/>
              </w:rPr>
              <w:t>IGKC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Arial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i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 75th quantile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Arial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i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 w:hint="eastAsia"/>
                <w:snapToGrid w:val="0"/>
                <w:color w:val="000000"/>
                <w:sz w:val="20"/>
                <w:szCs w:val="20"/>
                <w:lang w:val="en-US" w:eastAsia="de-DE" w:bidi="en-US"/>
              </w:rPr>
              <w:t>≥ 75th quantile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0.634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0.339 – 1.184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Arial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Arial"/>
                <w:snapToGrid w:val="0"/>
                <w:color w:val="000000"/>
                <w:sz w:val="20"/>
                <w:szCs w:val="20"/>
                <w:lang w:val="en-US" w:eastAsia="de-DE" w:bidi="en-US"/>
              </w:rPr>
              <w:t>0.153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0.578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0.301 – 1.109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0.099</w:t>
            </w: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Age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Arial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 w:hint="eastAsia"/>
                <w:snapToGrid w:val="0"/>
                <w:color w:val="000000"/>
                <w:sz w:val="20"/>
                <w:szCs w:val="20"/>
                <w:lang w:val="en-US" w:eastAsia="de-DE" w:bidi="en-US"/>
              </w:rPr>
              <w:t>≤ 50 years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nil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Arial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&gt; 50 years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0.920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0.569 – 1.490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Arial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0.735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1.138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0.687 – 1.884</w:t>
            </w:r>
          </w:p>
        </w:tc>
        <w:tc>
          <w:tcPr>
            <w:tcW w:w="14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0.615</w:t>
            </w: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proofErr w:type="spellStart"/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pT</w:t>
            </w:r>
            <w:proofErr w:type="spellEnd"/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stage </w:t>
            </w: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de-DE" w:bidi="en-US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pT1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nil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pT2-4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2.454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1.454 – 4.142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0.001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2.249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1.298 – 3.895</w:t>
            </w:r>
          </w:p>
        </w:tc>
        <w:tc>
          <w:tcPr>
            <w:tcW w:w="14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0.004</w:t>
            </w: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proofErr w:type="spellStart"/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pN</w:t>
            </w:r>
            <w:proofErr w:type="spellEnd"/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stage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pN0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nil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pN1-3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3.171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0.440 – 22.847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0.252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4.309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0.589 – 31.538</w:t>
            </w:r>
          </w:p>
        </w:tc>
        <w:tc>
          <w:tcPr>
            <w:tcW w:w="14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0.150</w:t>
            </w: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Grade </w:t>
            </w: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de-DE" w:bidi="en-US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Grade I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nil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tabs>
                <w:tab w:val="left" w:pos="580"/>
                <w:tab w:val="center" w:pos="745"/>
              </w:tabs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Grade II-III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3.793</w:t>
            </w:r>
          </w:p>
        </w:tc>
        <w:tc>
          <w:tcPr>
            <w:tcW w:w="1495" w:type="dxa"/>
            <w:tcBorders>
              <w:top w:val="nil"/>
              <w:bottom w:val="single" w:sz="8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1.521 – 9.459</w:t>
            </w:r>
          </w:p>
        </w:tc>
        <w:tc>
          <w:tcPr>
            <w:tcW w:w="1495" w:type="dxa"/>
            <w:tcBorders>
              <w:top w:val="nil"/>
              <w:bottom w:val="single" w:sz="8" w:space="0" w:color="auto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Arial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0.004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3.305</w:t>
            </w:r>
          </w:p>
        </w:tc>
        <w:tc>
          <w:tcPr>
            <w:tcW w:w="1495" w:type="dxa"/>
            <w:tcBorders>
              <w:top w:val="nil"/>
              <w:bottom w:val="single" w:sz="8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1.308 – 8.349</w:t>
            </w:r>
          </w:p>
        </w:tc>
        <w:tc>
          <w:tcPr>
            <w:tcW w:w="1496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0.011</w:t>
            </w:r>
          </w:p>
        </w:tc>
      </w:tr>
    </w:tbl>
    <w:p w:rsidR="004F4588" w:rsidRPr="004F4588" w:rsidRDefault="004F4588" w:rsidP="004F4588">
      <w:pPr>
        <w:adjustRightInd w:val="0"/>
        <w:snapToGrid w:val="0"/>
        <w:spacing w:before="120" w:after="0" w:line="228" w:lineRule="auto"/>
        <w:jc w:val="both"/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GB" w:eastAsia="de-DE" w:bidi="en-US"/>
        </w:rPr>
      </w:pPr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vertAlign w:val="superscript"/>
          <w:lang w:val="en-US" w:eastAsia="de-DE" w:bidi="en-US"/>
        </w:rPr>
        <w:t xml:space="preserve">1 </w:t>
      </w:r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  <w:t xml:space="preserve">n = 573, </w:t>
      </w:r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vertAlign w:val="superscript"/>
          <w:lang w:val="en-US" w:eastAsia="de-DE" w:bidi="en-US"/>
        </w:rPr>
        <w:t>2</w:t>
      </w:r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  <w:t xml:space="preserve"> n = 541</w:t>
      </w:r>
    </w:p>
    <w:p w:rsidR="004F4588" w:rsidRPr="004F4588" w:rsidRDefault="004F4588" w:rsidP="004F4588">
      <w:pPr>
        <w:spacing w:after="0" w:line="240" w:lineRule="auto"/>
        <w:rPr>
          <w:rFonts w:ascii="Palatino Linotype" w:eastAsia="Times New Roman" w:hAnsi="Palatino Linotype" w:cs="Times New Roman"/>
          <w:b/>
          <w:bCs/>
          <w:snapToGrid w:val="0"/>
          <w:color w:val="000000"/>
          <w:sz w:val="20"/>
          <w:lang w:val="en-US" w:eastAsia="de-DE" w:bidi="en-US"/>
        </w:rPr>
      </w:pPr>
      <w:r w:rsidRPr="004F4588">
        <w:rPr>
          <w:rFonts w:ascii="Palatino Linotype" w:eastAsia="SimSun" w:hAnsi="Palatino Linotype" w:cs="Times New Roman"/>
          <w:bCs/>
          <w:noProof/>
          <w:color w:val="000000"/>
          <w:sz w:val="20"/>
          <w:szCs w:val="20"/>
          <w:lang w:val="en-US" w:eastAsia="zh-CN"/>
        </w:rPr>
        <w:br w:type="page"/>
      </w:r>
    </w:p>
    <w:p w:rsidR="004F4588" w:rsidRPr="004F4588" w:rsidRDefault="004F4588" w:rsidP="004F4588">
      <w:pPr>
        <w:adjustRightInd w:val="0"/>
        <w:snapToGrid w:val="0"/>
        <w:spacing w:after="240" w:line="228" w:lineRule="auto"/>
        <w:jc w:val="both"/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</w:pPr>
      <w:r w:rsidRPr="004F4588">
        <w:rPr>
          <w:rFonts w:ascii="Palatino Linotype" w:eastAsia="Times New Roman" w:hAnsi="Palatino Linotype" w:cs="Times New Roman"/>
          <w:b/>
          <w:snapToGrid w:val="0"/>
          <w:color w:val="000000"/>
          <w:sz w:val="20"/>
          <w:lang w:val="en-US" w:eastAsia="de-DE" w:bidi="en-US"/>
        </w:rPr>
        <w:lastRenderedPageBreak/>
        <w:t>Table S5:</w:t>
      </w:r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lang w:val="en-US" w:eastAsia="de-DE" w:bidi="en-US"/>
        </w:rPr>
        <w:t xml:space="preserve"> Cox </w:t>
      </w:r>
      <w:proofErr w:type="spellStart"/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lang w:val="en-US" w:eastAsia="de-DE" w:bidi="en-US"/>
        </w:rPr>
        <w:t>univariable</w:t>
      </w:r>
      <w:proofErr w:type="spellEnd"/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lang w:val="en-US" w:eastAsia="de-DE" w:bidi="en-US"/>
        </w:rPr>
        <w:t xml:space="preserve"> and multivariable analysis for DDFS in patients with HER2-positive breast cancer. </w:t>
      </w:r>
      <w:proofErr w:type="gramStart"/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  <w:t>203</w:t>
      </w:r>
      <w:proofErr w:type="gramEnd"/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  <w:t xml:space="preserve"> patients had data for </w:t>
      </w:r>
      <w:r w:rsidRPr="004F4588">
        <w:rPr>
          <w:rFonts w:ascii="Palatino Linotype" w:eastAsia="Times New Roman" w:hAnsi="Palatino Linotype" w:cs="Times New Roman"/>
          <w:i/>
          <w:snapToGrid w:val="0"/>
          <w:color w:val="000000"/>
          <w:sz w:val="20"/>
          <w:szCs w:val="20"/>
          <w:lang w:val="en-US" w:eastAsia="de-DE" w:bidi="en-US"/>
        </w:rPr>
        <w:t>IGKC</w:t>
      </w:r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  <w:t xml:space="preserve"> and were included in the </w:t>
      </w:r>
      <w:proofErr w:type="spellStart"/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  <w:t>univariable</w:t>
      </w:r>
      <w:proofErr w:type="spellEnd"/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  <w:t xml:space="preserve"> analysis. </w:t>
      </w:r>
      <w:proofErr w:type="gramStart"/>
      <w:r w:rsidRPr="004F4588">
        <w:rPr>
          <w:rFonts w:ascii="Palatino Linotype" w:eastAsia="Times New Roman" w:hAnsi="Palatino Linotype" w:cs="Times New Roman"/>
          <w:bCs/>
          <w:snapToGrid w:val="0"/>
          <w:color w:val="000000"/>
          <w:sz w:val="20"/>
          <w:szCs w:val="20"/>
          <w:lang w:val="en-US" w:eastAsia="de-DE" w:bidi="en-US"/>
        </w:rPr>
        <w:t>199</w:t>
      </w:r>
      <w:proofErr w:type="gramEnd"/>
      <w:r w:rsidRPr="004F4588">
        <w:rPr>
          <w:rFonts w:ascii="Palatino Linotype" w:eastAsia="Times New Roman" w:hAnsi="Palatino Linotype" w:cs="Times New Roman"/>
          <w:bCs/>
          <w:snapToGrid w:val="0"/>
          <w:color w:val="000000"/>
          <w:sz w:val="20"/>
          <w:szCs w:val="20"/>
          <w:lang w:val="en-US" w:eastAsia="de-DE" w:bidi="en-US"/>
        </w:rPr>
        <w:t xml:space="preserve"> patients had complete data for all variables and were included in the multivariable analysis.</w:t>
      </w:r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  <w:t xml:space="preserve"> </w:t>
      </w:r>
      <w:r w:rsidRPr="004F4588">
        <w:rPr>
          <w:rFonts w:ascii="Palatino Linotype" w:eastAsia="Times New Roman" w:hAnsi="Palatino Linotype" w:cs="Times New Roman"/>
          <w:i/>
          <w:snapToGrid w:val="0"/>
          <w:color w:val="000000"/>
          <w:sz w:val="20"/>
          <w:szCs w:val="20"/>
          <w:lang w:val="en-US" w:eastAsia="de-DE" w:bidi="en-US"/>
        </w:rPr>
        <w:t>IGKC</w:t>
      </w:r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  <w:t xml:space="preserve"> expression was included as a continuous variable </w:t>
      </w:r>
      <w:r w:rsidRPr="004F4588">
        <w:rPr>
          <w:rFonts w:ascii="Palatino Linotype" w:eastAsia="Times New Roman" w:hAnsi="Palatino Linotype" w:cs="Times New Roman"/>
          <w:b/>
          <w:snapToGrid w:val="0"/>
          <w:color w:val="000000"/>
          <w:sz w:val="20"/>
          <w:szCs w:val="20"/>
          <w:lang w:val="en-US" w:eastAsia="de-DE" w:bidi="en-US"/>
        </w:rPr>
        <w:t>(a)</w:t>
      </w:r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  <w:t xml:space="preserve"> or the median </w:t>
      </w:r>
      <w:r w:rsidRPr="004F4588">
        <w:rPr>
          <w:rFonts w:ascii="Palatino Linotype" w:eastAsia="Times New Roman" w:hAnsi="Palatino Linotype" w:cs="Times New Roman"/>
          <w:b/>
          <w:snapToGrid w:val="0"/>
          <w:color w:val="000000"/>
          <w:sz w:val="20"/>
          <w:szCs w:val="20"/>
          <w:lang w:val="en-US" w:eastAsia="de-DE" w:bidi="en-US"/>
        </w:rPr>
        <w:t>(b)</w:t>
      </w:r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  <w:t xml:space="preserve"> or top quartile </w:t>
      </w:r>
      <w:r w:rsidRPr="004F4588">
        <w:rPr>
          <w:rFonts w:ascii="Palatino Linotype" w:eastAsia="Times New Roman" w:hAnsi="Palatino Linotype" w:cs="Times New Roman"/>
          <w:b/>
          <w:snapToGrid w:val="0"/>
          <w:color w:val="000000"/>
          <w:sz w:val="20"/>
          <w:szCs w:val="20"/>
          <w:lang w:val="en-US" w:eastAsia="de-DE" w:bidi="en-US"/>
        </w:rPr>
        <w:t>(c)</w:t>
      </w:r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  <w:t xml:space="preserve"> of </w:t>
      </w:r>
      <w:r w:rsidRPr="004F4588">
        <w:rPr>
          <w:rFonts w:ascii="Palatino Linotype" w:eastAsia="Times New Roman" w:hAnsi="Palatino Linotype" w:cs="Times New Roman"/>
          <w:i/>
          <w:snapToGrid w:val="0"/>
          <w:color w:val="000000"/>
          <w:sz w:val="20"/>
          <w:szCs w:val="20"/>
          <w:lang w:val="en-US" w:eastAsia="de-DE" w:bidi="en-US"/>
        </w:rPr>
        <w:t>IGKC</w:t>
      </w:r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  <w:t xml:space="preserve"> expression in </w:t>
      </w:r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lang w:val="en-US" w:eastAsia="de-DE" w:bidi="en-US"/>
        </w:rPr>
        <w:t xml:space="preserve">HER2-positive </w:t>
      </w:r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  <w:t xml:space="preserve">patients </w:t>
      </w:r>
      <w:proofErr w:type="gramStart"/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  <w:t>was used</w:t>
      </w:r>
      <w:proofErr w:type="gramEnd"/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  <w:t xml:space="preserve"> as a cut-off to distinguish between low and high </w:t>
      </w:r>
      <w:r w:rsidRPr="004F4588">
        <w:rPr>
          <w:rFonts w:ascii="Palatino Linotype" w:eastAsia="Times New Roman" w:hAnsi="Palatino Linotype" w:cs="Times New Roman"/>
          <w:i/>
          <w:snapToGrid w:val="0"/>
          <w:color w:val="000000"/>
          <w:sz w:val="20"/>
          <w:szCs w:val="20"/>
          <w:lang w:val="en-US" w:eastAsia="de-DE" w:bidi="en-US"/>
        </w:rPr>
        <w:t>IGKC</w:t>
      </w:r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  <w:t>. CI, confidence interval; IGKC, immunoglobulin kappa C; HER2, human epidermal growth factor receptor 2</w:t>
      </w:r>
    </w:p>
    <w:p w:rsidR="004F4588" w:rsidRPr="004F4588" w:rsidRDefault="004F4588" w:rsidP="004F4588">
      <w:pPr>
        <w:adjustRightInd w:val="0"/>
        <w:snapToGrid w:val="0"/>
        <w:spacing w:after="240" w:line="228" w:lineRule="auto"/>
        <w:jc w:val="center"/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</w:pPr>
      <w:r w:rsidRPr="004F4588">
        <w:rPr>
          <w:rFonts w:ascii="Palatino Linotype" w:eastAsia="Times New Roman" w:hAnsi="Palatino Linotype" w:cs="Times New Roman"/>
          <w:bCs/>
          <w:snapToGrid w:val="0"/>
          <w:color w:val="000000"/>
          <w:sz w:val="20"/>
          <w:szCs w:val="20"/>
          <w:lang w:val="en-US" w:eastAsia="de-DE" w:bidi="en-US"/>
        </w:rPr>
        <w:t xml:space="preserve"> </w:t>
      </w:r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lang w:val="en-US" w:eastAsia="de-DE" w:bidi="en-US"/>
        </w:rPr>
        <w:t xml:space="preserve"> </w:t>
      </w:r>
      <w:r w:rsidRPr="004F4588">
        <w:rPr>
          <w:rFonts w:ascii="Palatino Linotype" w:eastAsia="Times New Roman" w:hAnsi="Palatino Linotype" w:cs="Times New Roman"/>
          <w:b/>
          <w:snapToGrid w:val="0"/>
          <w:color w:val="000000"/>
          <w:sz w:val="20"/>
          <w:lang w:val="en-US" w:eastAsia="de-DE" w:bidi="en-US"/>
        </w:rPr>
        <w:t>(a)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7"/>
        <w:gridCol w:w="1297"/>
        <w:gridCol w:w="1295"/>
        <w:gridCol w:w="1296"/>
        <w:gridCol w:w="1296"/>
        <w:gridCol w:w="1295"/>
        <w:gridCol w:w="1296"/>
      </w:tblGrid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448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proofErr w:type="spellStart"/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Univariable</w:t>
            </w:r>
            <w:proofErr w:type="spellEnd"/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analysis</w:t>
            </w:r>
          </w:p>
        </w:tc>
        <w:tc>
          <w:tcPr>
            <w:tcW w:w="4486" w:type="dxa"/>
            <w:gridSpan w:val="3"/>
            <w:tcBorders>
              <w:top w:val="single" w:sz="8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Multivariable analysis</w:t>
            </w: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Variable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Hazard ratio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95% CI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Arial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P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Hazard ratio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95% CI</w:t>
            </w:r>
          </w:p>
        </w:tc>
        <w:tc>
          <w:tcPr>
            <w:tcW w:w="14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P</w:t>
            </w: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i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i/>
                <w:snapToGrid w:val="0"/>
                <w:color w:val="000000"/>
                <w:sz w:val="20"/>
                <w:szCs w:val="20"/>
                <w:lang w:val="en-US" w:eastAsia="de-DE" w:bidi="en-US"/>
              </w:rPr>
              <w:t>IGKC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0.944</w:t>
            </w:r>
          </w:p>
        </w:tc>
        <w:tc>
          <w:tcPr>
            <w:tcW w:w="1495" w:type="dxa"/>
            <w:tcBorders>
              <w:top w:val="single" w:sz="4" w:space="0" w:color="auto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0.837 – 1.064</w:t>
            </w:r>
          </w:p>
        </w:tc>
        <w:tc>
          <w:tcPr>
            <w:tcW w:w="149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Arial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Arial"/>
                <w:snapToGrid w:val="0"/>
                <w:color w:val="000000"/>
                <w:sz w:val="20"/>
                <w:szCs w:val="20"/>
                <w:lang w:val="en-US" w:eastAsia="de-DE" w:bidi="en-US"/>
              </w:rPr>
              <w:t>0.343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0.933</w:t>
            </w:r>
          </w:p>
        </w:tc>
        <w:tc>
          <w:tcPr>
            <w:tcW w:w="1495" w:type="dxa"/>
            <w:tcBorders>
              <w:top w:val="single" w:sz="4" w:space="0" w:color="auto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0.826 – 1.055</w:t>
            </w:r>
          </w:p>
        </w:tc>
        <w:tc>
          <w:tcPr>
            <w:tcW w:w="149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0.271</w:t>
            </w: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Age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Arial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 w:hint="eastAsia"/>
                <w:snapToGrid w:val="0"/>
                <w:color w:val="000000"/>
                <w:sz w:val="20"/>
                <w:szCs w:val="20"/>
                <w:lang w:val="en-US" w:eastAsia="de-DE" w:bidi="en-US"/>
              </w:rPr>
              <w:t>≤ 50 years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nil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Arial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&gt; 50 years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1.159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0.650 – 2.067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Arial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0.616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1.219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0.675 – 2.201</w:t>
            </w:r>
          </w:p>
        </w:tc>
        <w:tc>
          <w:tcPr>
            <w:tcW w:w="14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0.512</w:t>
            </w: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proofErr w:type="spellStart"/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pT</w:t>
            </w:r>
            <w:proofErr w:type="spellEnd"/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stage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pT1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nil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pT2-4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1.053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0.576 – 1.926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0.867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1.272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0.688 – 2.351</w:t>
            </w:r>
          </w:p>
        </w:tc>
        <w:tc>
          <w:tcPr>
            <w:tcW w:w="14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0.442</w:t>
            </w: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proofErr w:type="spellStart"/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pN</w:t>
            </w:r>
            <w:proofErr w:type="spellEnd"/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stage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pN0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nil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pN1-3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4.322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1.048 – 17.820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0.043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4.863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1.155 – 20.479</w:t>
            </w:r>
          </w:p>
        </w:tc>
        <w:tc>
          <w:tcPr>
            <w:tcW w:w="14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0.031</w:t>
            </w: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Grade </w:t>
            </w: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de-DE" w:bidi="en-US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Grade I-II </w:t>
            </w: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de-DE" w:bidi="en-US"/>
              </w:rPr>
              <w:t>2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nil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Grade III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0.817</w:t>
            </w:r>
          </w:p>
        </w:tc>
        <w:tc>
          <w:tcPr>
            <w:tcW w:w="1495" w:type="dxa"/>
            <w:tcBorders>
              <w:top w:val="nil"/>
              <w:bottom w:val="single" w:sz="8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0.452 – 1.477</w:t>
            </w:r>
          </w:p>
        </w:tc>
        <w:tc>
          <w:tcPr>
            <w:tcW w:w="1495" w:type="dxa"/>
            <w:tcBorders>
              <w:top w:val="nil"/>
              <w:bottom w:val="single" w:sz="8" w:space="0" w:color="auto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Arial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0.504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0.910</w:t>
            </w:r>
          </w:p>
        </w:tc>
        <w:tc>
          <w:tcPr>
            <w:tcW w:w="1495" w:type="dxa"/>
            <w:tcBorders>
              <w:top w:val="nil"/>
              <w:bottom w:val="single" w:sz="8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0.501 – 1.653</w:t>
            </w:r>
          </w:p>
        </w:tc>
        <w:tc>
          <w:tcPr>
            <w:tcW w:w="1496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0.757</w:t>
            </w:r>
          </w:p>
        </w:tc>
      </w:tr>
    </w:tbl>
    <w:p w:rsidR="004F4588" w:rsidRPr="004F4588" w:rsidRDefault="004F4588" w:rsidP="004F4588">
      <w:pPr>
        <w:adjustRightInd w:val="0"/>
        <w:snapToGrid w:val="0"/>
        <w:spacing w:before="120" w:after="0" w:line="228" w:lineRule="auto"/>
        <w:jc w:val="both"/>
        <w:rPr>
          <w:rFonts w:ascii="Palatino Linotype" w:eastAsia="Times New Roman" w:hAnsi="Palatino Linotype" w:cs="Times New Roman"/>
          <w:snapToGrid w:val="0"/>
          <w:color w:val="000000"/>
          <w:sz w:val="20"/>
          <w:lang w:val="en-GB" w:eastAsia="de-DE" w:bidi="en-US"/>
        </w:rPr>
      </w:pPr>
      <w:proofErr w:type="gramStart"/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vertAlign w:val="superscript"/>
          <w:lang w:val="en-GB" w:eastAsia="de-DE" w:bidi="en-US"/>
        </w:rPr>
        <w:t>1</w:t>
      </w:r>
      <w:proofErr w:type="gramEnd"/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lang w:val="en-GB" w:eastAsia="de-DE" w:bidi="en-US"/>
        </w:rPr>
        <w:t xml:space="preserve"> n = 199; </w:t>
      </w:r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vertAlign w:val="superscript"/>
          <w:lang w:val="en-GB" w:eastAsia="de-DE" w:bidi="en-US"/>
        </w:rPr>
        <w:t xml:space="preserve">2 </w:t>
      </w:r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lang w:val="en-GB" w:eastAsia="de-DE" w:bidi="en-US"/>
        </w:rPr>
        <w:t xml:space="preserve">grade was dichotomized as I-II vs III since there was only five HER2-positive patients with a grade I </w:t>
      </w:r>
      <w:proofErr w:type="spellStart"/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lang w:val="en-GB" w:eastAsia="de-DE" w:bidi="en-US"/>
        </w:rPr>
        <w:t>tumor</w:t>
      </w:r>
      <w:proofErr w:type="spellEnd"/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lang w:val="en-GB" w:eastAsia="de-DE" w:bidi="en-US"/>
        </w:rPr>
        <w:t>.</w:t>
      </w:r>
    </w:p>
    <w:p w:rsidR="004F4588" w:rsidRPr="004F4588" w:rsidRDefault="004F4588" w:rsidP="004F4588">
      <w:pPr>
        <w:adjustRightInd w:val="0"/>
        <w:snapToGrid w:val="0"/>
        <w:spacing w:before="120" w:after="0" w:line="228" w:lineRule="auto"/>
        <w:jc w:val="both"/>
        <w:rPr>
          <w:rFonts w:ascii="Palatino Linotype" w:eastAsia="Times New Roman" w:hAnsi="Palatino Linotype" w:cs="Times New Roman"/>
          <w:snapToGrid w:val="0"/>
          <w:color w:val="000000"/>
          <w:sz w:val="20"/>
          <w:lang w:val="en-GB" w:eastAsia="de-DE" w:bidi="en-US"/>
        </w:rPr>
      </w:pPr>
    </w:p>
    <w:p w:rsidR="004F4588" w:rsidRPr="004F4588" w:rsidRDefault="004F4588" w:rsidP="004F4588">
      <w:pPr>
        <w:adjustRightInd w:val="0"/>
        <w:snapToGrid w:val="0"/>
        <w:spacing w:after="240" w:line="228" w:lineRule="auto"/>
        <w:jc w:val="center"/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</w:pPr>
      <w:r w:rsidRPr="004F4588">
        <w:rPr>
          <w:rFonts w:ascii="Palatino Linotype" w:eastAsia="Times New Roman" w:hAnsi="Palatino Linotype" w:cs="Times New Roman"/>
          <w:b/>
          <w:snapToGrid w:val="0"/>
          <w:color w:val="000000"/>
          <w:sz w:val="20"/>
          <w:lang w:val="en-US" w:eastAsia="de-DE" w:bidi="en-US"/>
        </w:rPr>
        <w:t>(b)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7"/>
        <w:gridCol w:w="1297"/>
        <w:gridCol w:w="1295"/>
        <w:gridCol w:w="1296"/>
        <w:gridCol w:w="1296"/>
        <w:gridCol w:w="1295"/>
        <w:gridCol w:w="1296"/>
      </w:tblGrid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448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proofErr w:type="spellStart"/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Univariable</w:t>
            </w:r>
            <w:proofErr w:type="spellEnd"/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analysis</w:t>
            </w:r>
          </w:p>
        </w:tc>
        <w:tc>
          <w:tcPr>
            <w:tcW w:w="4486" w:type="dxa"/>
            <w:gridSpan w:val="3"/>
            <w:tcBorders>
              <w:top w:val="single" w:sz="8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Multivariable analysis</w:t>
            </w: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Variable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Hazard ratio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95% CI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Arial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P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Hazard ratio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95% CI</w:t>
            </w:r>
          </w:p>
        </w:tc>
        <w:tc>
          <w:tcPr>
            <w:tcW w:w="14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P</w:t>
            </w: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i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i/>
                <w:snapToGrid w:val="0"/>
                <w:color w:val="000000"/>
                <w:sz w:val="20"/>
                <w:szCs w:val="20"/>
                <w:lang w:val="en-US" w:eastAsia="de-DE" w:bidi="en-US"/>
              </w:rPr>
              <w:t>IGKC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Arial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i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 median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Arial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i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 w:hint="eastAsia"/>
                <w:snapToGrid w:val="0"/>
                <w:color w:val="000000"/>
                <w:sz w:val="20"/>
                <w:szCs w:val="20"/>
                <w:lang w:val="en-US" w:eastAsia="de-DE" w:bidi="en-US"/>
              </w:rPr>
              <w:t>≥ median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0.688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0.386-1.226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Arial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0.204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0.730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0.406 – 1.315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0.295</w:t>
            </w: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Age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Arial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 w:hint="eastAsia"/>
                <w:snapToGrid w:val="0"/>
                <w:color w:val="000000"/>
                <w:sz w:val="20"/>
                <w:szCs w:val="20"/>
                <w:lang w:val="en-US" w:eastAsia="de-DE" w:bidi="en-US"/>
              </w:rPr>
              <w:t>≤ 50 years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nil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Arial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&gt; 50 years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1.159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0.650 – 2.067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Arial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0.616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1.230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0.680 – 2.225</w:t>
            </w:r>
          </w:p>
        </w:tc>
        <w:tc>
          <w:tcPr>
            <w:tcW w:w="14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0.494</w:t>
            </w: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proofErr w:type="spellStart"/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pT</w:t>
            </w:r>
            <w:proofErr w:type="spellEnd"/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stage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pT1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nil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pT2-4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1.053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0.576 – 1.926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0.867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1.269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0.687 – 2.344</w:t>
            </w:r>
          </w:p>
        </w:tc>
        <w:tc>
          <w:tcPr>
            <w:tcW w:w="14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0.447</w:t>
            </w: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proofErr w:type="spellStart"/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pN</w:t>
            </w:r>
            <w:proofErr w:type="spellEnd"/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stage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pN0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nil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pN1-3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4.322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1.048 – 17.820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0.043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4.584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1.091 – 19.258</w:t>
            </w:r>
          </w:p>
        </w:tc>
        <w:tc>
          <w:tcPr>
            <w:tcW w:w="14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0.038</w:t>
            </w: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Grade </w:t>
            </w: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de-DE" w:bidi="en-US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Grade I-II </w:t>
            </w: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de-DE" w:bidi="en-US"/>
              </w:rPr>
              <w:t>2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nil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Grade III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0.817</w:t>
            </w:r>
          </w:p>
        </w:tc>
        <w:tc>
          <w:tcPr>
            <w:tcW w:w="1495" w:type="dxa"/>
            <w:tcBorders>
              <w:top w:val="nil"/>
              <w:bottom w:val="single" w:sz="8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0.452 – 1.477</w:t>
            </w:r>
          </w:p>
        </w:tc>
        <w:tc>
          <w:tcPr>
            <w:tcW w:w="1495" w:type="dxa"/>
            <w:tcBorders>
              <w:top w:val="nil"/>
              <w:bottom w:val="single" w:sz="8" w:space="0" w:color="auto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Arial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0.504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0.930</w:t>
            </w:r>
          </w:p>
        </w:tc>
        <w:tc>
          <w:tcPr>
            <w:tcW w:w="1495" w:type="dxa"/>
            <w:tcBorders>
              <w:top w:val="nil"/>
              <w:bottom w:val="single" w:sz="8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0.510 – 1.696</w:t>
            </w:r>
          </w:p>
        </w:tc>
        <w:tc>
          <w:tcPr>
            <w:tcW w:w="1496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0.813</w:t>
            </w:r>
          </w:p>
        </w:tc>
      </w:tr>
    </w:tbl>
    <w:p w:rsidR="004F4588" w:rsidRPr="004F4588" w:rsidRDefault="004F4588" w:rsidP="004F4588">
      <w:pPr>
        <w:adjustRightInd w:val="0"/>
        <w:snapToGrid w:val="0"/>
        <w:spacing w:before="120" w:after="0" w:line="228" w:lineRule="auto"/>
        <w:jc w:val="both"/>
        <w:rPr>
          <w:rFonts w:ascii="Palatino Linotype" w:eastAsia="Times New Roman" w:hAnsi="Palatino Linotype" w:cs="Times New Roman"/>
          <w:snapToGrid w:val="0"/>
          <w:color w:val="000000"/>
          <w:sz w:val="20"/>
          <w:lang w:val="en-GB" w:eastAsia="de-DE" w:bidi="en-US"/>
        </w:rPr>
      </w:pPr>
      <w:proofErr w:type="gramStart"/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vertAlign w:val="superscript"/>
          <w:lang w:val="en-GB" w:eastAsia="de-DE" w:bidi="en-US"/>
        </w:rPr>
        <w:t>1</w:t>
      </w:r>
      <w:proofErr w:type="gramEnd"/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lang w:val="en-GB" w:eastAsia="de-DE" w:bidi="en-US"/>
        </w:rPr>
        <w:t xml:space="preserve"> n = 199; </w:t>
      </w:r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vertAlign w:val="superscript"/>
          <w:lang w:val="en-GB" w:eastAsia="de-DE" w:bidi="en-US"/>
        </w:rPr>
        <w:t xml:space="preserve">2 </w:t>
      </w:r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lang w:val="en-GB" w:eastAsia="de-DE" w:bidi="en-US"/>
        </w:rPr>
        <w:t xml:space="preserve">grade was dichotomized as I-II vs III since there was only five HER2-positive patients with a grade I </w:t>
      </w:r>
      <w:proofErr w:type="spellStart"/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lang w:val="en-GB" w:eastAsia="de-DE" w:bidi="en-US"/>
        </w:rPr>
        <w:t>tumor</w:t>
      </w:r>
      <w:proofErr w:type="spellEnd"/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lang w:val="en-GB" w:eastAsia="de-DE" w:bidi="en-US"/>
        </w:rPr>
        <w:t>.</w:t>
      </w:r>
    </w:p>
    <w:p w:rsidR="004F4588" w:rsidRPr="004F4588" w:rsidRDefault="004F4588" w:rsidP="004F4588">
      <w:pPr>
        <w:adjustRightInd w:val="0"/>
        <w:snapToGrid w:val="0"/>
        <w:spacing w:after="0" w:line="228" w:lineRule="auto"/>
        <w:jc w:val="both"/>
        <w:rPr>
          <w:rFonts w:ascii="Palatino Linotype" w:eastAsia="Times New Roman" w:hAnsi="Palatino Linotype" w:cs="Times New Roman"/>
          <w:bCs/>
          <w:snapToGrid w:val="0"/>
          <w:color w:val="000000"/>
          <w:sz w:val="20"/>
          <w:lang w:val="en-GB" w:eastAsia="de-DE" w:bidi="en-US"/>
        </w:rPr>
      </w:pPr>
    </w:p>
    <w:p w:rsidR="004F4588" w:rsidRPr="004F4588" w:rsidRDefault="004F4588" w:rsidP="004F4588">
      <w:pPr>
        <w:adjustRightInd w:val="0"/>
        <w:snapToGrid w:val="0"/>
        <w:spacing w:after="0" w:line="228" w:lineRule="auto"/>
        <w:jc w:val="both"/>
        <w:rPr>
          <w:rFonts w:ascii="Palatino Linotype" w:eastAsia="Times New Roman" w:hAnsi="Palatino Linotype" w:cs="Times New Roman"/>
          <w:bCs/>
          <w:snapToGrid w:val="0"/>
          <w:color w:val="000000"/>
          <w:sz w:val="20"/>
          <w:lang w:val="en-GB" w:eastAsia="de-DE" w:bidi="en-US"/>
        </w:rPr>
      </w:pPr>
    </w:p>
    <w:p w:rsidR="004F4588" w:rsidRPr="004F4588" w:rsidRDefault="004F4588" w:rsidP="004F4588">
      <w:pPr>
        <w:adjustRightInd w:val="0"/>
        <w:snapToGrid w:val="0"/>
        <w:spacing w:after="0" w:line="228" w:lineRule="auto"/>
        <w:jc w:val="both"/>
        <w:rPr>
          <w:rFonts w:ascii="Palatino Linotype" w:eastAsia="Times New Roman" w:hAnsi="Palatino Linotype" w:cs="Times New Roman"/>
          <w:bCs/>
          <w:snapToGrid w:val="0"/>
          <w:color w:val="000000"/>
          <w:sz w:val="20"/>
          <w:lang w:val="en-GB" w:eastAsia="de-DE" w:bidi="en-US"/>
        </w:rPr>
      </w:pPr>
    </w:p>
    <w:p w:rsidR="004F4588" w:rsidRPr="004F4588" w:rsidRDefault="004F4588" w:rsidP="004F4588">
      <w:pPr>
        <w:adjustRightInd w:val="0"/>
        <w:snapToGrid w:val="0"/>
        <w:spacing w:after="0" w:line="228" w:lineRule="auto"/>
        <w:jc w:val="both"/>
        <w:rPr>
          <w:rFonts w:ascii="Palatino Linotype" w:eastAsia="Times New Roman" w:hAnsi="Palatino Linotype" w:cs="Times New Roman"/>
          <w:bCs/>
          <w:snapToGrid w:val="0"/>
          <w:color w:val="000000"/>
          <w:sz w:val="20"/>
          <w:lang w:val="en-GB" w:eastAsia="de-DE" w:bidi="en-US"/>
        </w:rPr>
      </w:pPr>
    </w:p>
    <w:p w:rsidR="004F4588" w:rsidRPr="004F4588" w:rsidRDefault="004F4588" w:rsidP="004F4588">
      <w:pPr>
        <w:adjustRightInd w:val="0"/>
        <w:snapToGrid w:val="0"/>
        <w:spacing w:after="240" w:line="228" w:lineRule="auto"/>
        <w:jc w:val="center"/>
        <w:rPr>
          <w:rFonts w:ascii="Palatino Linotype" w:eastAsia="Times New Roman" w:hAnsi="Palatino Linotype" w:cs="Times New Roman"/>
          <w:b/>
          <w:snapToGrid w:val="0"/>
          <w:color w:val="000000"/>
          <w:sz w:val="20"/>
          <w:lang w:val="en-US" w:eastAsia="de-DE" w:bidi="en-US"/>
        </w:rPr>
      </w:pPr>
      <w:r w:rsidRPr="004F4588">
        <w:rPr>
          <w:rFonts w:ascii="Palatino Linotype" w:eastAsia="Times New Roman" w:hAnsi="Palatino Linotype" w:cs="Times New Roman"/>
          <w:b/>
          <w:snapToGrid w:val="0"/>
          <w:color w:val="000000"/>
          <w:sz w:val="20"/>
          <w:lang w:val="en-US" w:eastAsia="de-DE" w:bidi="en-US"/>
        </w:rPr>
        <w:lastRenderedPageBreak/>
        <w:t>(c)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7"/>
        <w:gridCol w:w="1297"/>
        <w:gridCol w:w="1295"/>
        <w:gridCol w:w="1296"/>
        <w:gridCol w:w="1296"/>
        <w:gridCol w:w="1295"/>
        <w:gridCol w:w="1296"/>
      </w:tblGrid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448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proofErr w:type="spellStart"/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Univariable</w:t>
            </w:r>
            <w:proofErr w:type="spellEnd"/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analysis</w:t>
            </w:r>
          </w:p>
        </w:tc>
        <w:tc>
          <w:tcPr>
            <w:tcW w:w="4486" w:type="dxa"/>
            <w:gridSpan w:val="3"/>
            <w:tcBorders>
              <w:top w:val="single" w:sz="8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Multivariable analysis</w:t>
            </w: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Variable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Hazard ratio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95% CI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Arial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P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Hazard ratio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95% CI</w:t>
            </w:r>
          </w:p>
        </w:tc>
        <w:tc>
          <w:tcPr>
            <w:tcW w:w="14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val="en-US" w:eastAsia="de-DE" w:bidi="en-US"/>
              </w:rPr>
              <w:t>P</w:t>
            </w: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i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i/>
                <w:snapToGrid w:val="0"/>
                <w:color w:val="000000"/>
                <w:sz w:val="20"/>
                <w:szCs w:val="20"/>
                <w:lang w:val="en-US" w:eastAsia="de-DE" w:bidi="en-US"/>
              </w:rPr>
              <w:t>IGKC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Arial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i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 75th quantile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Arial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i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 w:hint="eastAsia"/>
                <w:snapToGrid w:val="0"/>
                <w:color w:val="000000"/>
                <w:sz w:val="20"/>
                <w:szCs w:val="20"/>
                <w:lang w:val="en-US" w:eastAsia="de-DE" w:bidi="en-US"/>
              </w:rPr>
              <w:t>≥ 75th quantile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0.949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0.527 – 1.709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Arial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Arial"/>
                <w:snapToGrid w:val="0"/>
                <w:color w:val="000000"/>
                <w:sz w:val="20"/>
                <w:szCs w:val="20"/>
                <w:lang w:val="en-US" w:eastAsia="de-DE" w:bidi="en-US"/>
              </w:rPr>
              <w:t>0.862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0.910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0.500 – 1.656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0.757</w:t>
            </w: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Age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Arial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 w:hint="eastAsia"/>
                <w:snapToGrid w:val="0"/>
                <w:color w:val="000000"/>
                <w:sz w:val="20"/>
                <w:szCs w:val="20"/>
                <w:lang w:val="en-US" w:eastAsia="de-DE" w:bidi="en-US"/>
              </w:rPr>
              <w:t>≤ 50 years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nil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Arial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&gt; 50 years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1.159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0.650 – 2.067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Arial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0.616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1.208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0.669 – 2.183</w:t>
            </w:r>
          </w:p>
        </w:tc>
        <w:tc>
          <w:tcPr>
            <w:tcW w:w="14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0.531</w:t>
            </w: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proofErr w:type="spellStart"/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pT</w:t>
            </w:r>
            <w:proofErr w:type="spellEnd"/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stage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pT1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nil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pT2-4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1.053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0.576 – 1.926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0.867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1.264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0.684 – 2.336</w:t>
            </w:r>
          </w:p>
        </w:tc>
        <w:tc>
          <w:tcPr>
            <w:tcW w:w="14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0.455</w:t>
            </w: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proofErr w:type="spellStart"/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pN</w:t>
            </w:r>
            <w:proofErr w:type="spellEnd"/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stage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pN0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nil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pN1-3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4.322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1.048 – 17.820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0.043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4.718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1.118 – 19.907</w:t>
            </w:r>
          </w:p>
        </w:tc>
        <w:tc>
          <w:tcPr>
            <w:tcW w:w="14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0.035</w:t>
            </w: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Grade </w:t>
            </w: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de-DE" w:bidi="en-US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Grade I-II </w:t>
            </w: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de-DE" w:bidi="en-US"/>
              </w:rPr>
              <w:t>2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5" w:type="dxa"/>
            <w:tcBorders>
              <w:top w:val="nil"/>
              <w:bottom w:val="nil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1.000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</w:p>
        </w:tc>
      </w:tr>
      <w:tr w:rsidR="004F4588" w:rsidRPr="004F4588" w:rsidTr="00C6536B">
        <w:trPr>
          <w:trHeight w:val="270"/>
          <w:jc w:val="center"/>
        </w:trPr>
        <w:tc>
          <w:tcPr>
            <w:tcW w:w="1495" w:type="dxa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Grade III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0.817</w:t>
            </w:r>
          </w:p>
        </w:tc>
        <w:tc>
          <w:tcPr>
            <w:tcW w:w="1495" w:type="dxa"/>
            <w:tcBorders>
              <w:top w:val="nil"/>
              <w:bottom w:val="single" w:sz="8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0.452 – 1.477</w:t>
            </w:r>
          </w:p>
        </w:tc>
        <w:tc>
          <w:tcPr>
            <w:tcW w:w="1495" w:type="dxa"/>
            <w:tcBorders>
              <w:top w:val="nil"/>
              <w:bottom w:val="single" w:sz="8" w:space="0" w:color="auto"/>
              <w:right w:val="single" w:sz="4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Arial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0.504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0.909</w:t>
            </w:r>
          </w:p>
        </w:tc>
        <w:tc>
          <w:tcPr>
            <w:tcW w:w="1495" w:type="dxa"/>
            <w:tcBorders>
              <w:top w:val="nil"/>
              <w:bottom w:val="single" w:sz="8" w:space="0" w:color="auto"/>
            </w:tcBorders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0.499 – 1.655</w:t>
            </w:r>
          </w:p>
        </w:tc>
        <w:tc>
          <w:tcPr>
            <w:tcW w:w="1496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:rsidR="004F4588" w:rsidRPr="004F4588" w:rsidRDefault="004F4588" w:rsidP="004F4588">
            <w:pPr>
              <w:adjustRightInd w:val="0"/>
              <w:snapToGrid w:val="0"/>
              <w:spacing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4F458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0.754</w:t>
            </w:r>
          </w:p>
        </w:tc>
      </w:tr>
    </w:tbl>
    <w:p w:rsidR="004F4588" w:rsidRPr="004F4588" w:rsidRDefault="004F4588" w:rsidP="004F4588">
      <w:pPr>
        <w:adjustRightInd w:val="0"/>
        <w:snapToGrid w:val="0"/>
        <w:spacing w:before="120" w:after="0" w:line="228" w:lineRule="auto"/>
        <w:jc w:val="both"/>
        <w:rPr>
          <w:rFonts w:ascii="Palatino Linotype" w:eastAsia="Times New Roman" w:hAnsi="Palatino Linotype" w:cs="Times New Roman"/>
          <w:snapToGrid w:val="0"/>
          <w:color w:val="000000"/>
          <w:sz w:val="20"/>
          <w:lang w:val="en-GB" w:eastAsia="de-DE" w:bidi="en-US"/>
        </w:rPr>
      </w:pPr>
      <w:proofErr w:type="gramStart"/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vertAlign w:val="superscript"/>
          <w:lang w:val="en-GB" w:eastAsia="de-DE" w:bidi="en-US"/>
        </w:rPr>
        <w:t>1</w:t>
      </w:r>
      <w:proofErr w:type="gramEnd"/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lang w:val="en-GB" w:eastAsia="de-DE" w:bidi="en-US"/>
        </w:rPr>
        <w:t xml:space="preserve"> n = 199; </w:t>
      </w:r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vertAlign w:val="superscript"/>
          <w:lang w:val="en-GB" w:eastAsia="de-DE" w:bidi="en-US"/>
        </w:rPr>
        <w:t xml:space="preserve">2 </w:t>
      </w:r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lang w:val="en-GB" w:eastAsia="de-DE" w:bidi="en-US"/>
        </w:rPr>
        <w:t xml:space="preserve">grade was dichotomized as I-II vs III since there was only five HER2-positive patients with a grade I </w:t>
      </w:r>
      <w:proofErr w:type="spellStart"/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lang w:val="en-GB" w:eastAsia="de-DE" w:bidi="en-US"/>
        </w:rPr>
        <w:t>tumor</w:t>
      </w:r>
      <w:proofErr w:type="spellEnd"/>
      <w:r w:rsidRPr="004F4588">
        <w:rPr>
          <w:rFonts w:ascii="Palatino Linotype" w:eastAsia="Times New Roman" w:hAnsi="Palatino Linotype" w:cs="Times New Roman"/>
          <w:snapToGrid w:val="0"/>
          <w:color w:val="000000"/>
          <w:sz w:val="20"/>
          <w:lang w:val="en-GB" w:eastAsia="de-DE" w:bidi="en-US"/>
        </w:rPr>
        <w:t>.</w:t>
      </w:r>
    </w:p>
    <w:p w:rsidR="004F4588" w:rsidRPr="004F4588" w:rsidRDefault="004F4588" w:rsidP="004F4588">
      <w:pPr>
        <w:spacing w:after="0" w:line="240" w:lineRule="auto"/>
        <w:rPr>
          <w:rFonts w:ascii="Palatino Linotype" w:eastAsia="Times New Roman" w:hAnsi="Palatino Linotype" w:cs="Times New Roman"/>
          <w:b/>
          <w:bCs/>
          <w:snapToGrid w:val="0"/>
          <w:color w:val="000000"/>
          <w:sz w:val="20"/>
          <w:lang w:val="en-US" w:eastAsia="de-DE" w:bidi="en-US"/>
        </w:rPr>
      </w:pPr>
      <w:r w:rsidRPr="004F4588">
        <w:rPr>
          <w:rFonts w:ascii="Palatino Linotype" w:eastAsia="SimSun" w:hAnsi="Palatino Linotype" w:cs="Times New Roman"/>
          <w:bCs/>
          <w:noProof/>
          <w:color w:val="000000"/>
          <w:sz w:val="20"/>
          <w:szCs w:val="20"/>
          <w:lang w:val="en-US" w:eastAsia="zh-CN"/>
        </w:rPr>
        <w:br w:type="page"/>
      </w:r>
    </w:p>
    <w:p w:rsidR="00592B8C" w:rsidRDefault="00592B8C">
      <w:bookmarkStart w:id="0" w:name="_GoBack"/>
      <w:bookmarkEnd w:id="0"/>
    </w:p>
    <w:sectPr w:rsidR="00592B8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altName w:val="Microsoft Sans Serif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A0F88"/>
    <w:multiLevelType w:val="hybridMultilevel"/>
    <w:tmpl w:val="C77C711C"/>
    <w:lvl w:ilvl="0" w:tplc="5286504C">
      <w:start w:val="169"/>
      <w:numFmt w:val="bullet"/>
      <w:lvlText w:val=""/>
      <w:lvlJc w:val="left"/>
      <w:pPr>
        <w:ind w:left="580" w:hanging="360"/>
      </w:pPr>
      <w:rPr>
        <w:rFonts w:ascii="Symbol" w:eastAsia="Times New Roman" w:hAnsi="Symbol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" w15:restartNumberingAfterBreak="0">
    <w:nsid w:val="18B468F5"/>
    <w:multiLevelType w:val="hybridMultilevel"/>
    <w:tmpl w:val="F7E250A8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pStyle w:val="MDPI38bullet"/>
      <w:lvlText w:val=""/>
      <w:lvlJc w:val="left"/>
      <w:pPr>
        <w:ind w:left="2977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8" w15:restartNumberingAfterBreak="0">
    <w:nsid w:val="56CF7C60"/>
    <w:multiLevelType w:val="hybridMultilevel"/>
    <w:tmpl w:val="BB52EB1E"/>
    <w:lvl w:ilvl="0" w:tplc="08086F0C">
      <w:start w:val="1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D5736"/>
    <w:multiLevelType w:val="hybridMultilevel"/>
    <w:tmpl w:val="E3640C5C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eastAsia"/>
      </w:r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588"/>
    <w:rsid w:val="002308C2"/>
    <w:rsid w:val="004F4588"/>
    <w:rsid w:val="00567029"/>
    <w:rsid w:val="00592B8C"/>
    <w:rsid w:val="009336DE"/>
    <w:rsid w:val="00D0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30469-48A7-4C46-B3AA-9711A936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F4588"/>
    <w:pPr>
      <w:keepNext/>
      <w:keepLines/>
      <w:spacing w:before="240" w:after="0" w:line="260" w:lineRule="atLeast"/>
      <w:jc w:val="both"/>
      <w:outlineLvl w:val="0"/>
    </w:pPr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en-US" w:eastAsia="zh-CN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F4588"/>
    <w:pPr>
      <w:keepNext/>
      <w:keepLines/>
      <w:spacing w:before="40" w:after="0" w:line="260" w:lineRule="atLeast"/>
      <w:jc w:val="both"/>
      <w:outlineLvl w:val="1"/>
    </w:pPr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val="en-US" w:eastAsia="zh-CN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F4588"/>
    <w:pPr>
      <w:keepNext/>
      <w:keepLines/>
      <w:spacing w:before="40" w:after="0" w:line="260" w:lineRule="atLeast"/>
      <w:jc w:val="both"/>
      <w:outlineLvl w:val="2"/>
    </w:pPr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  <w:lang w:val="en-US" w:eastAsia="zh-CN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F4588"/>
    <w:pPr>
      <w:keepNext/>
      <w:keepLines/>
      <w:spacing w:before="40" w:after="0" w:line="260" w:lineRule="atLeast"/>
      <w:jc w:val="both"/>
      <w:outlineLvl w:val="3"/>
    </w:pPr>
    <w:rPr>
      <w:rFonts w:asciiTheme="majorHAnsi" w:eastAsiaTheme="majorEastAsia" w:hAnsiTheme="majorHAnsi" w:cstheme="majorBidi"/>
      <w:i/>
      <w:iCs/>
      <w:noProof/>
      <w:color w:val="2E74B5" w:themeColor="accent1" w:themeShade="BF"/>
      <w:sz w:val="20"/>
      <w:szCs w:val="20"/>
      <w:lang w:val="en-US" w:eastAsia="zh-CN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F4588"/>
    <w:pPr>
      <w:keepNext/>
      <w:keepLines/>
      <w:spacing w:before="40" w:after="0" w:line="260" w:lineRule="atLeast"/>
      <w:jc w:val="both"/>
      <w:outlineLvl w:val="4"/>
    </w:pPr>
    <w:rPr>
      <w:rFonts w:asciiTheme="majorHAnsi" w:eastAsiaTheme="majorEastAsia" w:hAnsiTheme="majorHAnsi" w:cstheme="majorBidi"/>
      <w:noProof/>
      <w:color w:val="2E74B5" w:themeColor="accent1" w:themeShade="BF"/>
      <w:sz w:val="20"/>
      <w:szCs w:val="20"/>
      <w:lang w:val="en-US" w:eastAsia="zh-CN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F4588"/>
    <w:pPr>
      <w:keepNext/>
      <w:keepLines/>
      <w:spacing w:before="40" w:after="0" w:line="260" w:lineRule="atLeast"/>
      <w:jc w:val="both"/>
      <w:outlineLvl w:val="5"/>
    </w:pPr>
    <w:rPr>
      <w:rFonts w:asciiTheme="majorHAnsi" w:eastAsiaTheme="majorEastAsia" w:hAnsiTheme="majorHAnsi" w:cstheme="majorBidi"/>
      <w:noProof/>
      <w:color w:val="1F4D78" w:themeColor="accent1" w:themeShade="7F"/>
      <w:sz w:val="20"/>
      <w:szCs w:val="20"/>
      <w:lang w:val="en-US" w:eastAsia="zh-CN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F4588"/>
    <w:pPr>
      <w:keepNext/>
      <w:keepLines/>
      <w:spacing w:before="40" w:after="0" w:line="260" w:lineRule="atLeast"/>
      <w:jc w:val="both"/>
      <w:outlineLvl w:val="6"/>
    </w:pPr>
    <w:rPr>
      <w:rFonts w:asciiTheme="majorHAnsi" w:eastAsiaTheme="majorEastAsia" w:hAnsiTheme="majorHAnsi" w:cstheme="majorBidi"/>
      <w:i/>
      <w:iCs/>
      <w:noProof/>
      <w:color w:val="1F4D78" w:themeColor="accent1" w:themeShade="7F"/>
      <w:sz w:val="20"/>
      <w:szCs w:val="20"/>
      <w:lang w:val="en-US" w:eastAsia="zh-CN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F4588"/>
    <w:pPr>
      <w:keepNext/>
      <w:keepLines/>
      <w:spacing w:before="40" w:after="0" w:line="260" w:lineRule="atLeast"/>
      <w:jc w:val="both"/>
      <w:outlineLvl w:val="7"/>
    </w:pPr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  <w:lang w:val="en-US" w:eastAsia="zh-CN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F4588"/>
    <w:pPr>
      <w:keepNext/>
      <w:keepLines/>
      <w:spacing w:before="40" w:after="0" w:line="260" w:lineRule="atLeast"/>
      <w:jc w:val="both"/>
      <w:outlineLvl w:val="8"/>
    </w:pPr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  <w:lang w:val="en-US"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F4588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en-US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F4588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val="en-US" w:eastAsia="zh-CN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F4588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  <w:lang w:val="en-US" w:eastAsia="zh-CN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4588"/>
    <w:rPr>
      <w:rFonts w:asciiTheme="majorHAnsi" w:eastAsiaTheme="majorEastAsia" w:hAnsiTheme="majorHAnsi" w:cstheme="majorBidi"/>
      <w:i/>
      <w:iCs/>
      <w:noProof/>
      <w:color w:val="2E74B5" w:themeColor="accent1" w:themeShade="BF"/>
      <w:sz w:val="20"/>
      <w:szCs w:val="20"/>
      <w:lang w:val="en-US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4588"/>
    <w:rPr>
      <w:rFonts w:asciiTheme="majorHAnsi" w:eastAsiaTheme="majorEastAsia" w:hAnsiTheme="majorHAnsi" w:cstheme="majorBidi"/>
      <w:noProof/>
      <w:color w:val="2E74B5" w:themeColor="accent1" w:themeShade="BF"/>
      <w:sz w:val="20"/>
      <w:szCs w:val="20"/>
      <w:lang w:val="en-US" w:eastAsia="zh-CN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F4588"/>
    <w:rPr>
      <w:rFonts w:asciiTheme="majorHAnsi" w:eastAsiaTheme="majorEastAsia" w:hAnsiTheme="majorHAnsi" w:cstheme="majorBidi"/>
      <w:noProof/>
      <w:color w:val="1F4D78" w:themeColor="accent1" w:themeShade="7F"/>
      <w:sz w:val="20"/>
      <w:szCs w:val="20"/>
      <w:lang w:val="en-US" w:eastAsia="zh-CN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F4588"/>
    <w:rPr>
      <w:rFonts w:asciiTheme="majorHAnsi" w:eastAsiaTheme="majorEastAsia" w:hAnsiTheme="majorHAnsi" w:cstheme="majorBidi"/>
      <w:i/>
      <w:iCs/>
      <w:noProof/>
      <w:color w:val="1F4D78" w:themeColor="accent1" w:themeShade="7F"/>
      <w:sz w:val="20"/>
      <w:szCs w:val="20"/>
      <w:lang w:val="en-US" w:eastAsia="zh-CN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F4588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  <w:lang w:val="en-US" w:eastAsia="zh-CN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F4588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  <w:lang w:val="en-US" w:eastAsia="zh-CN"/>
    </w:rPr>
  </w:style>
  <w:style w:type="numbering" w:customStyle="1" w:styleId="KeineListe1">
    <w:name w:val="Keine Liste1"/>
    <w:next w:val="KeineListe"/>
    <w:uiPriority w:val="99"/>
    <w:semiHidden/>
    <w:unhideWhenUsed/>
    <w:rsid w:val="004F4588"/>
  </w:style>
  <w:style w:type="paragraph" w:customStyle="1" w:styleId="MDPI11articletype">
    <w:name w:val="MDPI_1.1_article_type"/>
    <w:next w:val="Standard"/>
    <w:qFormat/>
    <w:rsid w:val="004F4588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color w:val="000000"/>
      <w:sz w:val="20"/>
      <w:lang w:val="en-US" w:eastAsia="de-DE" w:bidi="en-US"/>
    </w:rPr>
  </w:style>
  <w:style w:type="paragraph" w:customStyle="1" w:styleId="MDPI12title">
    <w:name w:val="MDPI_1.2_title"/>
    <w:next w:val="Standard"/>
    <w:qFormat/>
    <w:rsid w:val="004F4588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PI13authornames">
    <w:name w:val="MDPI_1.3_authornames"/>
    <w:next w:val="Standard"/>
    <w:qFormat/>
    <w:rsid w:val="004F4588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14history">
    <w:name w:val="MDPI_1.4_history"/>
    <w:basedOn w:val="Standard"/>
    <w:next w:val="Standard"/>
    <w:qFormat/>
    <w:rsid w:val="004F4588"/>
    <w:pPr>
      <w:adjustRightInd w:val="0"/>
      <w:snapToGrid w:val="0"/>
      <w:spacing w:after="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szCs w:val="20"/>
      <w:lang w:val="en-US" w:eastAsia="de-DE" w:bidi="en-US"/>
    </w:rPr>
  </w:style>
  <w:style w:type="paragraph" w:customStyle="1" w:styleId="MDPI16affiliation">
    <w:name w:val="MDPI_1.6_affiliation"/>
    <w:qFormat/>
    <w:rsid w:val="004F4588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  <w:style w:type="paragraph" w:customStyle="1" w:styleId="MDPI17abstract">
    <w:name w:val="MDPI_1.7_abstract"/>
    <w:next w:val="Standard"/>
    <w:qFormat/>
    <w:rsid w:val="004F4588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color w:val="000000"/>
      <w:sz w:val="18"/>
      <w:lang w:val="en-US" w:eastAsia="de-DE" w:bidi="en-US"/>
    </w:rPr>
  </w:style>
  <w:style w:type="paragraph" w:customStyle="1" w:styleId="MDPI18keywords">
    <w:name w:val="MDPI_1.8_keywords"/>
    <w:next w:val="Standard"/>
    <w:qFormat/>
    <w:rsid w:val="004F4588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lang w:val="en-US" w:eastAsia="de-DE" w:bidi="en-US"/>
    </w:rPr>
  </w:style>
  <w:style w:type="paragraph" w:customStyle="1" w:styleId="MDPI19line">
    <w:name w:val="MDPI_1.9_line"/>
    <w:qFormat/>
    <w:rsid w:val="004F4588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 w:val="20"/>
      <w:szCs w:val="24"/>
      <w:lang w:val="en-US" w:eastAsia="de-DE" w:bidi="en-US"/>
    </w:rPr>
  </w:style>
  <w:style w:type="table" w:customStyle="1" w:styleId="Mdeck5tablebodythreelines">
    <w:name w:val="M_deck_5_table_body_three_lines"/>
    <w:basedOn w:val="NormaleTabelle"/>
    <w:uiPriority w:val="99"/>
    <w:rsid w:val="004F4588"/>
    <w:pPr>
      <w:adjustRightInd w:val="0"/>
      <w:snapToGrid w:val="0"/>
      <w:spacing w:after="0" w:line="300" w:lineRule="exact"/>
      <w:jc w:val="center"/>
    </w:pPr>
    <w:rPr>
      <w:rFonts w:ascii="Times New Roman" w:eastAsia="SimSun" w:hAnsi="Times New Roman" w:cs="Times New Roman"/>
      <w:sz w:val="20"/>
      <w:szCs w:val="20"/>
      <w:lang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lenraster">
    <w:name w:val="Table Grid"/>
    <w:basedOn w:val="NormaleTabelle"/>
    <w:uiPriority w:val="59"/>
    <w:rsid w:val="004F4588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rsid w:val="004F4588"/>
    <w:pPr>
      <w:tabs>
        <w:tab w:val="center" w:pos="4153"/>
        <w:tab w:val="right" w:pos="8306"/>
      </w:tabs>
      <w:snapToGrid w:val="0"/>
      <w:spacing w:after="0" w:line="24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18"/>
      <w:lang w:val="en-US" w:eastAsia="zh-CN"/>
    </w:rPr>
  </w:style>
  <w:style w:type="character" w:customStyle="1" w:styleId="FuzeileZchn">
    <w:name w:val="Fußzeile Zchn"/>
    <w:basedOn w:val="Absatz-Standardschriftart"/>
    <w:link w:val="Fuzeile"/>
    <w:uiPriority w:val="99"/>
    <w:rsid w:val="004F4588"/>
    <w:rPr>
      <w:rFonts w:ascii="Palatino Linotype" w:eastAsia="SimSun" w:hAnsi="Palatino Linotype" w:cs="Times New Roman"/>
      <w:noProof/>
      <w:color w:val="000000"/>
      <w:sz w:val="20"/>
      <w:szCs w:val="18"/>
      <w:lang w:val="en-US" w:eastAsia="zh-CN"/>
    </w:rPr>
  </w:style>
  <w:style w:type="paragraph" w:styleId="Kopfzeile">
    <w:name w:val="header"/>
    <w:basedOn w:val="Standard"/>
    <w:link w:val="KopfzeileZchn"/>
    <w:uiPriority w:val="99"/>
    <w:rsid w:val="004F45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tLeast"/>
      <w:jc w:val="center"/>
    </w:pPr>
    <w:rPr>
      <w:rFonts w:ascii="Palatino Linotype" w:eastAsia="SimSun" w:hAnsi="Palatino Linotype" w:cs="Times New Roman"/>
      <w:noProof/>
      <w:color w:val="000000"/>
      <w:sz w:val="20"/>
      <w:szCs w:val="18"/>
      <w:lang w:val="en-US"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rsid w:val="004F4588"/>
    <w:rPr>
      <w:rFonts w:ascii="Palatino Linotype" w:eastAsia="SimSun" w:hAnsi="Palatino Linotype" w:cs="Times New Roman"/>
      <w:noProof/>
      <w:color w:val="000000"/>
      <w:sz w:val="20"/>
      <w:szCs w:val="18"/>
      <w:lang w:val="en-US" w:eastAsia="zh-CN"/>
    </w:rPr>
  </w:style>
  <w:style w:type="paragraph" w:customStyle="1" w:styleId="MDPIheaderjournallogo">
    <w:name w:val="MDPI_header_journal_logo"/>
    <w:qFormat/>
    <w:rsid w:val="004F4588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color w:val="000000"/>
      <w:sz w:val="24"/>
      <w:lang w:val="en-US" w:eastAsia="de-CH"/>
    </w:rPr>
  </w:style>
  <w:style w:type="paragraph" w:customStyle="1" w:styleId="MDPI32textnoindent">
    <w:name w:val="MDPI_3.2_text_no_indent"/>
    <w:basedOn w:val="MDPI31text"/>
    <w:qFormat/>
    <w:rsid w:val="004F4588"/>
    <w:pPr>
      <w:ind w:firstLine="0"/>
    </w:pPr>
  </w:style>
  <w:style w:type="paragraph" w:customStyle="1" w:styleId="MDPI31text">
    <w:name w:val="MDPI_3.1_text"/>
    <w:qFormat/>
    <w:rsid w:val="004F4588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33textspaceafter">
    <w:name w:val="MDPI_3.3_text_space_after"/>
    <w:qFormat/>
    <w:rsid w:val="004F4588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34textspacebefore">
    <w:name w:val="MDPI_3.4_text_space_before"/>
    <w:qFormat/>
    <w:rsid w:val="004F4588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35textbeforelist">
    <w:name w:val="MDPI_3.5_text_before_list"/>
    <w:qFormat/>
    <w:rsid w:val="004F4588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36textafterlist">
    <w:name w:val="MDPI_3.6_text_after_list"/>
    <w:qFormat/>
    <w:rsid w:val="004F4588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37itemize">
    <w:name w:val="MDPI_3.7_itemize"/>
    <w:qFormat/>
    <w:rsid w:val="004F4588"/>
    <w:pPr>
      <w:numPr>
        <w:numId w:val="5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sz w:val="20"/>
      <w:lang w:val="en-US" w:eastAsia="de-DE" w:bidi="en-US"/>
    </w:rPr>
  </w:style>
  <w:style w:type="paragraph" w:customStyle="1" w:styleId="MDPI38bullet">
    <w:name w:val="MDPI_3.8_bullet"/>
    <w:qFormat/>
    <w:rsid w:val="004F4588"/>
    <w:pPr>
      <w:numPr>
        <w:numId w:val="6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sz w:val="20"/>
      <w:lang w:val="en-US" w:eastAsia="de-DE" w:bidi="en-US"/>
    </w:rPr>
  </w:style>
  <w:style w:type="paragraph" w:customStyle="1" w:styleId="MDPI39equation">
    <w:name w:val="MDPI_3.9_equation"/>
    <w:qFormat/>
    <w:rsid w:val="004F4588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3aequationnumber">
    <w:name w:val="MDPI_3.a_equation_number"/>
    <w:qFormat/>
    <w:rsid w:val="004F4588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41tablecaption">
    <w:name w:val="MDPI_4.1_table_caption"/>
    <w:qFormat/>
    <w:rsid w:val="004F4588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  <w:style w:type="paragraph" w:customStyle="1" w:styleId="MDPI42tablebody">
    <w:name w:val="MDPI_4.2_table_body"/>
    <w:qFormat/>
    <w:rsid w:val="004F4588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paragraph" w:customStyle="1" w:styleId="MDPI43tablefooter">
    <w:name w:val="MDPI_4.3_table_footer"/>
    <w:next w:val="MDPI31text"/>
    <w:qFormat/>
    <w:rsid w:val="004F4588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  <w:style w:type="paragraph" w:customStyle="1" w:styleId="MDPI51figurecaption">
    <w:name w:val="MDPI_5.1_figure_caption"/>
    <w:qFormat/>
    <w:rsid w:val="004F4588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customStyle="1" w:styleId="MDPI52figure">
    <w:name w:val="MDPI_5.2_figure"/>
    <w:qFormat/>
    <w:rsid w:val="004F4588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paragraph" w:customStyle="1" w:styleId="MDPI81theorem">
    <w:name w:val="MDPI_8.1_theorem"/>
    <w:qFormat/>
    <w:rsid w:val="004F4588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color w:val="000000"/>
      <w:sz w:val="20"/>
      <w:lang w:val="en-US" w:eastAsia="de-DE" w:bidi="en-US"/>
    </w:rPr>
  </w:style>
  <w:style w:type="paragraph" w:customStyle="1" w:styleId="MDPI82proof">
    <w:name w:val="MDPI_8.2_proof"/>
    <w:qFormat/>
    <w:rsid w:val="004F4588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footerfirstpage">
    <w:name w:val="MDPI_footer_firstpage"/>
    <w:qFormat/>
    <w:rsid w:val="004F4588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color w:val="000000"/>
      <w:sz w:val="16"/>
      <w:szCs w:val="20"/>
      <w:lang w:val="en-US" w:eastAsia="de-DE"/>
    </w:rPr>
  </w:style>
  <w:style w:type="paragraph" w:customStyle="1" w:styleId="MDPI23heading3">
    <w:name w:val="MDPI_2.3_heading3"/>
    <w:qFormat/>
    <w:rsid w:val="004F4588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21heading1">
    <w:name w:val="MDPI_2.1_heading1"/>
    <w:qFormat/>
    <w:rsid w:val="004F4588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sz w:val="20"/>
      <w:lang w:val="en-US" w:eastAsia="de-DE" w:bidi="en-US"/>
    </w:rPr>
  </w:style>
  <w:style w:type="paragraph" w:customStyle="1" w:styleId="MDPI22heading2">
    <w:name w:val="MDPI_2.2_heading2"/>
    <w:qFormat/>
    <w:rsid w:val="004F4588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sz w:val="20"/>
      <w:lang w:val="en-US" w:eastAsia="de-DE" w:bidi="en-US"/>
    </w:rPr>
  </w:style>
  <w:style w:type="paragraph" w:customStyle="1" w:styleId="MDPI71References">
    <w:name w:val="MDPI_7.1_References"/>
    <w:qFormat/>
    <w:rsid w:val="004F4588"/>
    <w:pPr>
      <w:numPr>
        <w:numId w:val="11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styleId="Sprechblasentext">
    <w:name w:val="Balloon Text"/>
    <w:basedOn w:val="Standard"/>
    <w:link w:val="SprechblasentextZchn"/>
    <w:uiPriority w:val="99"/>
    <w:rsid w:val="004F4588"/>
    <w:pPr>
      <w:spacing w:after="0" w:line="260" w:lineRule="atLeast"/>
      <w:jc w:val="both"/>
    </w:pPr>
    <w:rPr>
      <w:rFonts w:ascii="Palatino Linotype" w:eastAsia="SimSun" w:hAnsi="Palatino Linotype" w:cs="Tahoma"/>
      <w:noProof/>
      <w:color w:val="000000"/>
      <w:sz w:val="20"/>
      <w:szCs w:val="18"/>
      <w:lang w:val="en-US" w:eastAsia="zh-CN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4F4588"/>
    <w:rPr>
      <w:rFonts w:ascii="Palatino Linotype" w:eastAsia="SimSun" w:hAnsi="Palatino Linotype" w:cs="Tahoma"/>
      <w:noProof/>
      <w:color w:val="000000"/>
      <w:sz w:val="20"/>
      <w:szCs w:val="18"/>
      <w:lang w:val="en-US" w:eastAsia="zh-CN"/>
    </w:rPr>
  </w:style>
  <w:style w:type="character" w:styleId="Zeilennummer">
    <w:name w:val="line number"/>
    <w:uiPriority w:val="99"/>
    <w:rsid w:val="004F4588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NormaleTabelle"/>
    <w:uiPriority w:val="99"/>
    <w:rsid w:val="004F4588"/>
    <w:pPr>
      <w:adjustRightInd w:val="0"/>
      <w:snapToGrid w:val="0"/>
      <w:spacing w:after="0" w:line="240" w:lineRule="auto"/>
      <w:jc w:val="center"/>
    </w:pPr>
    <w:rPr>
      <w:rFonts w:ascii="Palatino Linotype" w:eastAsia="SimSun" w:hAnsi="Palatino Linotype" w:cs="Times New Roman"/>
      <w:color w:val="000000"/>
      <w:sz w:val="20"/>
      <w:szCs w:val="20"/>
      <w:lang w:eastAsia="de-DE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Calibri" w:hAnsi="Calibri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rsid w:val="004F4588"/>
    <w:rPr>
      <w:color w:val="0000FF"/>
      <w:u w:val="single"/>
    </w:rPr>
  </w:style>
  <w:style w:type="character" w:customStyle="1" w:styleId="Ratkaisematonmaininta1">
    <w:name w:val="Ratkaisematon maininta1"/>
    <w:uiPriority w:val="99"/>
    <w:semiHidden/>
    <w:unhideWhenUsed/>
    <w:rsid w:val="004F4588"/>
    <w:rPr>
      <w:color w:val="605E5C"/>
      <w:shd w:val="clear" w:color="auto" w:fill="E1DFDD"/>
    </w:rPr>
  </w:style>
  <w:style w:type="table" w:customStyle="1" w:styleId="Yksinkertainentaulukko41">
    <w:name w:val="Yksinkertainen taulukko 41"/>
    <w:basedOn w:val="NormaleTabelle"/>
    <w:uiPriority w:val="44"/>
    <w:rsid w:val="004F4588"/>
    <w:pPr>
      <w:spacing w:after="0" w:line="240" w:lineRule="auto"/>
    </w:pPr>
    <w:rPr>
      <w:rFonts w:ascii="Calibri" w:eastAsia="SimSun" w:hAnsi="Calibri" w:cs="Times New Roman"/>
      <w:sz w:val="20"/>
      <w:szCs w:val="20"/>
      <w:lang w:eastAsia="de-D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61Citation">
    <w:name w:val="MDPI_6.1_Citation"/>
    <w:qFormat/>
    <w:rsid w:val="004F4588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sz w:val="14"/>
      <w:lang w:val="en-US" w:eastAsia="zh-CN"/>
    </w:rPr>
  </w:style>
  <w:style w:type="paragraph" w:customStyle="1" w:styleId="MDPI62BackMatter">
    <w:name w:val="MDPI_6.2_BackMatter"/>
    <w:qFormat/>
    <w:rsid w:val="004F4588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val="en-US" w:bidi="en-US"/>
    </w:rPr>
  </w:style>
  <w:style w:type="paragraph" w:customStyle="1" w:styleId="MDPI63Notes">
    <w:name w:val="MDPI_6.3_Notes"/>
    <w:qFormat/>
    <w:rsid w:val="004F4588"/>
    <w:pPr>
      <w:adjustRightInd w:val="0"/>
      <w:snapToGrid w:val="0"/>
      <w:spacing w:after="120" w:line="240" w:lineRule="atLeast"/>
      <w:ind w:right="113"/>
    </w:pPr>
    <w:rPr>
      <w:rFonts w:ascii="Palatino Linotype" w:eastAsia="SimSun" w:hAnsi="Palatino Linotype" w:cs="Times New Roman"/>
      <w:snapToGrid w:val="0"/>
      <w:color w:val="000000"/>
      <w:sz w:val="14"/>
      <w:szCs w:val="20"/>
      <w:lang w:val="en-US" w:bidi="en-US"/>
    </w:rPr>
  </w:style>
  <w:style w:type="paragraph" w:customStyle="1" w:styleId="MDPI15academiceditor">
    <w:name w:val="MDPI_1.5_academic_editor"/>
    <w:qFormat/>
    <w:rsid w:val="004F4588"/>
    <w:pPr>
      <w:adjustRightInd w:val="0"/>
      <w:snapToGrid w:val="0"/>
      <w:spacing w:before="240" w:after="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lang w:val="en-US" w:eastAsia="de-DE" w:bidi="en-US"/>
    </w:rPr>
  </w:style>
  <w:style w:type="paragraph" w:customStyle="1" w:styleId="MDPI19classification">
    <w:name w:val="MDPI_1.9_classification"/>
    <w:qFormat/>
    <w:rsid w:val="004F4588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411onetablecaption">
    <w:name w:val="MDPI_4.1.1_one_table_caption"/>
    <w:qFormat/>
    <w:rsid w:val="004F4588"/>
    <w:pPr>
      <w:adjustRightInd w:val="0"/>
      <w:snapToGrid w:val="0"/>
      <w:spacing w:before="240" w:after="120" w:line="260" w:lineRule="atLeast"/>
      <w:jc w:val="center"/>
    </w:pPr>
    <w:rPr>
      <w:rFonts w:ascii="Palatino Linotype" w:eastAsia="SimSun" w:hAnsi="Palatino Linotype" w:cs="Cordia New"/>
      <w:noProof/>
      <w:color w:val="000000"/>
      <w:sz w:val="18"/>
      <w:lang w:val="en-US" w:eastAsia="zh-CN" w:bidi="en-US"/>
    </w:rPr>
  </w:style>
  <w:style w:type="paragraph" w:customStyle="1" w:styleId="MDPI511onefigurecaption">
    <w:name w:val="MDPI_5.1.1_one_figure_caption"/>
    <w:qFormat/>
    <w:rsid w:val="004F4588"/>
    <w:pPr>
      <w:adjustRightInd w:val="0"/>
      <w:snapToGrid w:val="0"/>
      <w:spacing w:before="240" w:after="120" w:line="260" w:lineRule="atLeast"/>
      <w:jc w:val="center"/>
    </w:pPr>
    <w:rPr>
      <w:rFonts w:ascii="Palatino Linotype" w:eastAsia="SimSun" w:hAnsi="Palatino Linotype" w:cs="Times New Roman"/>
      <w:noProof/>
      <w:color w:val="000000"/>
      <w:sz w:val="18"/>
      <w:szCs w:val="20"/>
      <w:lang w:val="en-US" w:eastAsia="zh-CN" w:bidi="en-US"/>
    </w:rPr>
  </w:style>
  <w:style w:type="paragraph" w:customStyle="1" w:styleId="MDPI72Copyright">
    <w:name w:val="MDPI_7.2_Copyright"/>
    <w:qFormat/>
    <w:rsid w:val="004F4588"/>
    <w:pPr>
      <w:adjustRightInd w:val="0"/>
      <w:snapToGrid w:val="0"/>
      <w:spacing w:before="240" w:after="0" w:line="240" w:lineRule="atLeast"/>
      <w:ind w:right="113"/>
    </w:pPr>
    <w:rPr>
      <w:rFonts w:ascii="Palatino Linotype" w:eastAsia="Times New Roman" w:hAnsi="Palatino Linotype" w:cs="Times New Roman"/>
      <w:noProof/>
      <w:snapToGrid w:val="0"/>
      <w:color w:val="000000"/>
      <w:spacing w:val="-2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4F4588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color w:val="000000"/>
      <w:sz w:val="20"/>
      <w:szCs w:val="20"/>
      <w:lang w:val="en-US" w:eastAsia="de-CH"/>
    </w:rPr>
  </w:style>
  <w:style w:type="paragraph" w:customStyle="1" w:styleId="MDPIequationFram">
    <w:name w:val="MDPI_equationFram"/>
    <w:qFormat/>
    <w:rsid w:val="004F4588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footer">
    <w:name w:val="MDPI_footer"/>
    <w:qFormat/>
    <w:rsid w:val="004F4588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color w:val="000000"/>
      <w:sz w:val="20"/>
      <w:szCs w:val="20"/>
      <w:lang w:val="en-US" w:eastAsia="de-DE"/>
    </w:rPr>
  </w:style>
  <w:style w:type="paragraph" w:customStyle="1" w:styleId="MDPIheader">
    <w:name w:val="MDPI_header"/>
    <w:qFormat/>
    <w:rsid w:val="004F4588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color w:val="000000"/>
      <w:sz w:val="16"/>
      <w:szCs w:val="20"/>
      <w:lang w:val="en-US" w:eastAsia="de-DE"/>
    </w:rPr>
  </w:style>
  <w:style w:type="paragraph" w:customStyle="1" w:styleId="MDPIheadercitation">
    <w:name w:val="MDPI_header_citation"/>
    <w:rsid w:val="004F4588"/>
    <w:pPr>
      <w:spacing w:after="240" w:line="240" w:lineRule="auto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val="en-US" w:eastAsia="de-DE" w:bidi="en-US"/>
    </w:rPr>
  </w:style>
  <w:style w:type="paragraph" w:customStyle="1" w:styleId="MDPIheadermdpilogo">
    <w:name w:val="MDPI_header_mdpi_logo"/>
    <w:qFormat/>
    <w:rsid w:val="004F4588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color w:val="000000"/>
      <w:sz w:val="24"/>
      <w:lang w:val="en-US" w:eastAsia="de-CH"/>
    </w:rPr>
  </w:style>
  <w:style w:type="table" w:customStyle="1" w:styleId="MDPITable">
    <w:name w:val="MDPI_Table"/>
    <w:basedOn w:val="NormaleTabelle"/>
    <w:uiPriority w:val="99"/>
    <w:rsid w:val="004F4588"/>
    <w:pPr>
      <w:spacing w:after="0" w:line="240" w:lineRule="auto"/>
    </w:pPr>
    <w:rPr>
      <w:rFonts w:ascii="Palatino Linotype" w:eastAsia="SimSun" w:hAnsi="Palatino Linotype" w:cs="Times New Roman"/>
      <w:color w:val="000000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4F4588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color w:val="000000"/>
      <w:lang w:val="en-US" w:eastAsia="de-DE" w:bidi="en-US"/>
    </w:rPr>
  </w:style>
  <w:style w:type="paragraph" w:customStyle="1" w:styleId="MDPItitle">
    <w:name w:val="MDPI_title"/>
    <w:qFormat/>
    <w:rsid w:val="004F4588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character" w:customStyle="1" w:styleId="apple-converted-space">
    <w:name w:val="apple-converted-space"/>
    <w:rsid w:val="004F4588"/>
  </w:style>
  <w:style w:type="paragraph" w:styleId="Literaturverzeichnis">
    <w:name w:val="Bibliography"/>
    <w:basedOn w:val="Standard"/>
    <w:next w:val="Standard"/>
    <w:uiPriority w:val="37"/>
    <w:semiHidden/>
    <w:unhideWhenUsed/>
    <w:rsid w:val="004F4588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paragraph" w:styleId="Textkrper">
    <w:name w:val="Body Text"/>
    <w:link w:val="TextkrperZchn"/>
    <w:rsid w:val="004F4588"/>
    <w:pPr>
      <w:spacing w:after="120" w:line="340" w:lineRule="atLeast"/>
      <w:jc w:val="both"/>
    </w:pPr>
    <w:rPr>
      <w:rFonts w:ascii="Palatino Linotype" w:eastAsia="SimSun" w:hAnsi="Palatino Linotype" w:cs="Times New Roman"/>
      <w:color w:val="000000"/>
      <w:sz w:val="24"/>
      <w:szCs w:val="20"/>
      <w:lang w:val="en-US" w:eastAsia="de-DE"/>
    </w:rPr>
  </w:style>
  <w:style w:type="character" w:customStyle="1" w:styleId="TextkrperZchn">
    <w:name w:val="Textkörper Zchn"/>
    <w:basedOn w:val="Absatz-Standardschriftart"/>
    <w:link w:val="Textkrper"/>
    <w:rsid w:val="004F4588"/>
    <w:rPr>
      <w:rFonts w:ascii="Palatino Linotype" w:eastAsia="SimSun" w:hAnsi="Palatino Linotype" w:cs="Times New Roman"/>
      <w:color w:val="000000"/>
      <w:sz w:val="24"/>
      <w:szCs w:val="20"/>
      <w:lang w:val="en-US" w:eastAsia="de-DE"/>
    </w:rPr>
  </w:style>
  <w:style w:type="character" w:styleId="Kommentarzeichen">
    <w:name w:val="annotation reference"/>
    <w:rsid w:val="004F4588"/>
    <w:rPr>
      <w:sz w:val="21"/>
      <w:szCs w:val="21"/>
    </w:rPr>
  </w:style>
  <w:style w:type="paragraph" w:styleId="Kommentartext">
    <w:name w:val="annotation text"/>
    <w:basedOn w:val="Standard"/>
    <w:link w:val="KommentartextZchn"/>
    <w:rsid w:val="004F4588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customStyle="1" w:styleId="KommentartextZchn">
    <w:name w:val="Kommentartext Zchn"/>
    <w:basedOn w:val="Absatz-Standardschriftart"/>
    <w:link w:val="Kommentartext"/>
    <w:rsid w:val="004F4588"/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paragraph" w:styleId="Kommentarthema">
    <w:name w:val="annotation subject"/>
    <w:basedOn w:val="Kommentartext"/>
    <w:next w:val="Kommentartext"/>
    <w:link w:val="KommentarthemaZchn"/>
    <w:rsid w:val="004F458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4F4588"/>
    <w:rPr>
      <w:rFonts w:ascii="Palatino Linotype" w:eastAsia="SimSun" w:hAnsi="Palatino Linotype" w:cs="Times New Roman"/>
      <w:b/>
      <w:bCs/>
      <w:noProof/>
      <w:color w:val="000000"/>
      <w:sz w:val="20"/>
      <w:szCs w:val="20"/>
      <w:lang w:val="en-US" w:eastAsia="zh-CN"/>
    </w:rPr>
  </w:style>
  <w:style w:type="character" w:styleId="Endnotenzeichen">
    <w:name w:val="endnote reference"/>
    <w:rsid w:val="004F4588"/>
    <w:rPr>
      <w:vertAlign w:val="superscript"/>
    </w:rPr>
  </w:style>
  <w:style w:type="paragraph" w:styleId="Endnotentext">
    <w:name w:val="endnote text"/>
    <w:basedOn w:val="Standard"/>
    <w:link w:val="EndnotentextZchn"/>
    <w:semiHidden/>
    <w:unhideWhenUsed/>
    <w:rsid w:val="004F4588"/>
    <w:pPr>
      <w:spacing w:after="0" w:line="240" w:lineRule="auto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customStyle="1" w:styleId="EndnotentextZchn">
    <w:name w:val="Endnotentext Zchn"/>
    <w:basedOn w:val="Absatz-Standardschriftart"/>
    <w:link w:val="Endnotentext"/>
    <w:semiHidden/>
    <w:rsid w:val="004F4588"/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styleId="BesuchterLink">
    <w:name w:val="FollowedHyperlink"/>
    <w:rsid w:val="004F4588"/>
    <w:rPr>
      <w:color w:val="954F72"/>
      <w:u w:val="single"/>
    </w:rPr>
  </w:style>
  <w:style w:type="paragraph" w:styleId="Funotentext">
    <w:name w:val="footnote text"/>
    <w:basedOn w:val="Standard"/>
    <w:link w:val="FunotentextZchn"/>
    <w:semiHidden/>
    <w:unhideWhenUsed/>
    <w:rsid w:val="004F4588"/>
    <w:pPr>
      <w:spacing w:after="0" w:line="240" w:lineRule="auto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customStyle="1" w:styleId="FunotentextZchn">
    <w:name w:val="Fußnotentext Zchn"/>
    <w:basedOn w:val="Absatz-Standardschriftart"/>
    <w:link w:val="Funotentext"/>
    <w:semiHidden/>
    <w:rsid w:val="004F4588"/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paragraph" w:styleId="StandardWeb">
    <w:name w:val="Normal (Web)"/>
    <w:basedOn w:val="Standard"/>
    <w:uiPriority w:val="99"/>
    <w:rsid w:val="004F4588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4"/>
      <w:lang w:val="en-US" w:eastAsia="zh-CN"/>
    </w:rPr>
  </w:style>
  <w:style w:type="paragraph" w:customStyle="1" w:styleId="MsoFootnoteText0">
    <w:name w:val="MsoFootnoteText"/>
    <w:basedOn w:val="StandardWeb"/>
    <w:qFormat/>
    <w:rsid w:val="004F4588"/>
    <w:rPr>
      <w:rFonts w:ascii="Times New Roman" w:hAnsi="Times New Roman"/>
    </w:rPr>
  </w:style>
  <w:style w:type="character" w:styleId="Seitenzahl">
    <w:name w:val="page number"/>
    <w:rsid w:val="004F4588"/>
  </w:style>
  <w:style w:type="character" w:styleId="Platzhaltertext">
    <w:name w:val="Placeholder Text"/>
    <w:uiPriority w:val="99"/>
    <w:semiHidden/>
    <w:rsid w:val="004F4588"/>
    <w:rPr>
      <w:color w:val="808080"/>
    </w:rPr>
  </w:style>
  <w:style w:type="paragraph" w:customStyle="1" w:styleId="CitaviBibliographyEntry">
    <w:name w:val="Citavi Bibliography Entry"/>
    <w:basedOn w:val="Standard"/>
    <w:link w:val="CitaviBibliographyEntryZchn"/>
    <w:uiPriority w:val="99"/>
    <w:rsid w:val="004F4588"/>
    <w:pPr>
      <w:tabs>
        <w:tab w:val="left" w:pos="454"/>
      </w:tabs>
      <w:spacing w:after="0" w:line="276" w:lineRule="auto"/>
      <w:ind w:left="454" w:hanging="454"/>
    </w:pPr>
    <w:rPr>
      <w:rFonts w:ascii="Calibri" w:eastAsia="Calibri" w:hAnsi="Calibri" w:cs="Times New Roman"/>
      <w:lang w:val="de-CH"/>
    </w:rPr>
  </w:style>
  <w:style w:type="character" w:customStyle="1" w:styleId="CitaviBibliographyEntryZchn">
    <w:name w:val="Citavi Bibliography Entry Zchn"/>
    <w:basedOn w:val="Absatz-Standardschriftart"/>
    <w:link w:val="CitaviBibliographyEntry"/>
    <w:uiPriority w:val="99"/>
    <w:rsid w:val="004F4588"/>
    <w:rPr>
      <w:rFonts w:ascii="Calibri" w:eastAsia="Calibri" w:hAnsi="Calibri" w:cs="Times New Roman"/>
      <w:lang w:val="de-CH"/>
    </w:rPr>
  </w:style>
  <w:style w:type="paragraph" w:customStyle="1" w:styleId="CitaviBibliographyHeading">
    <w:name w:val="Citavi Bibliography Heading"/>
    <w:basedOn w:val="berschrift1"/>
    <w:link w:val="CitaviBibliographyHeadingZchn"/>
    <w:uiPriority w:val="99"/>
    <w:rsid w:val="004F4588"/>
    <w:pPr>
      <w:spacing w:line="276" w:lineRule="auto"/>
      <w:jc w:val="left"/>
    </w:pPr>
    <w:rPr>
      <w:noProof w:val="0"/>
      <w:lang w:val="de-CH" w:eastAsia="en-US"/>
    </w:rPr>
  </w:style>
  <w:style w:type="character" w:customStyle="1" w:styleId="CitaviBibliographyHeadingZchn">
    <w:name w:val="Citavi Bibliography Heading Zchn"/>
    <w:basedOn w:val="Absatz-Standardschriftart"/>
    <w:link w:val="CitaviBibliographyHeading"/>
    <w:uiPriority w:val="99"/>
    <w:rsid w:val="004F458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CH"/>
    </w:rPr>
  </w:style>
  <w:style w:type="paragraph" w:styleId="berarbeitung">
    <w:name w:val="Revision"/>
    <w:hidden/>
    <w:uiPriority w:val="99"/>
    <w:semiHidden/>
    <w:rsid w:val="004F4588"/>
    <w:pPr>
      <w:spacing w:after="0" w:line="240" w:lineRule="auto"/>
    </w:pPr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paragraph" w:customStyle="1" w:styleId="CitaviChapterBibliographyHeading">
    <w:name w:val="Citavi Chapter Bibliography Heading"/>
    <w:basedOn w:val="berschrift2"/>
    <w:link w:val="CitaviChapterBibliographyHeadingZchn"/>
    <w:uiPriority w:val="99"/>
    <w:rsid w:val="004F4588"/>
    <w:pPr>
      <w:jc w:val="left"/>
    </w:pPr>
  </w:style>
  <w:style w:type="character" w:customStyle="1" w:styleId="CitaviChapterBibliographyHeadingZchn">
    <w:name w:val="Citavi Chapter Bibliography Heading Zchn"/>
    <w:basedOn w:val="KommentartextZchn"/>
    <w:link w:val="CitaviChapterBibliographyHeading"/>
    <w:uiPriority w:val="99"/>
    <w:rsid w:val="004F4588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val="en-US" w:eastAsia="zh-CN"/>
    </w:rPr>
  </w:style>
  <w:style w:type="paragraph" w:customStyle="1" w:styleId="CitaviBibliographySubheading1">
    <w:name w:val="Citavi Bibliography Subheading 1"/>
    <w:basedOn w:val="berschrift2"/>
    <w:link w:val="CitaviBibliographySubheading1Zchn"/>
    <w:uiPriority w:val="99"/>
    <w:rsid w:val="004F4588"/>
    <w:pPr>
      <w:jc w:val="left"/>
      <w:outlineLvl w:val="9"/>
    </w:pPr>
  </w:style>
  <w:style w:type="character" w:customStyle="1" w:styleId="CitaviBibliographySubheading1Zchn">
    <w:name w:val="Citavi Bibliography Subheading 1 Zchn"/>
    <w:basedOn w:val="KommentartextZchn"/>
    <w:link w:val="CitaviBibliographySubheading1"/>
    <w:uiPriority w:val="99"/>
    <w:rsid w:val="004F4588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val="en-US" w:eastAsia="zh-CN"/>
    </w:rPr>
  </w:style>
  <w:style w:type="paragraph" w:customStyle="1" w:styleId="CitaviBibliographySubheading2">
    <w:name w:val="Citavi Bibliography Subheading 2"/>
    <w:basedOn w:val="berschrift3"/>
    <w:link w:val="CitaviBibliographySubheading2Zchn"/>
    <w:uiPriority w:val="99"/>
    <w:rsid w:val="004F4588"/>
    <w:pPr>
      <w:jc w:val="left"/>
      <w:outlineLvl w:val="9"/>
    </w:pPr>
  </w:style>
  <w:style w:type="character" w:customStyle="1" w:styleId="CitaviBibliographySubheading2Zchn">
    <w:name w:val="Citavi Bibliography Subheading 2 Zchn"/>
    <w:basedOn w:val="KommentartextZchn"/>
    <w:link w:val="CitaviBibliographySubheading2"/>
    <w:uiPriority w:val="99"/>
    <w:rsid w:val="004F4588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  <w:lang w:val="en-US" w:eastAsia="zh-CN"/>
    </w:rPr>
  </w:style>
  <w:style w:type="paragraph" w:customStyle="1" w:styleId="CitaviBibliographySubheading3">
    <w:name w:val="Citavi Bibliography Subheading 3"/>
    <w:basedOn w:val="berschrift4"/>
    <w:link w:val="CitaviBibliographySubheading3Zchn"/>
    <w:uiPriority w:val="99"/>
    <w:rsid w:val="004F4588"/>
    <w:pPr>
      <w:jc w:val="left"/>
      <w:outlineLvl w:val="9"/>
    </w:pPr>
  </w:style>
  <w:style w:type="character" w:customStyle="1" w:styleId="CitaviBibliographySubheading3Zchn">
    <w:name w:val="Citavi Bibliography Subheading 3 Zchn"/>
    <w:basedOn w:val="KommentartextZchn"/>
    <w:link w:val="CitaviBibliographySubheading3"/>
    <w:uiPriority w:val="99"/>
    <w:rsid w:val="004F4588"/>
    <w:rPr>
      <w:rFonts w:asciiTheme="majorHAnsi" w:eastAsiaTheme="majorEastAsia" w:hAnsiTheme="majorHAnsi" w:cstheme="majorBidi"/>
      <w:i/>
      <w:iCs/>
      <w:noProof/>
      <w:color w:val="2E74B5" w:themeColor="accent1" w:themeShade="BF"/>
      <w:sz w:val="20"/>
      <w:szCs w:val="20"/>
      <w:lang w:val="en-US" w:eastAsia="zh-CN"/>
    </w:rPr>
  </w:style>
  <w:style w:type="paragraph" w:customStyle="1" w:styleId="CitaviBibliographySubheading4">
    <w:name w:val="Citavi Bibliography Subheading 4"/>
    <w:basedOn w:val="berschrift5"/>
    <w:link w:val="CitaviBibliographySubheading4Zchn"/>
    <w:uiPriority w:val="99"/>
    <w:rsid w:val="004F4588"/>
    <w:pPr>
      <w:jc w:val="left"/>
      <w:outlineLvl w:val="9"/>
    </w:pPr>
  </w:style>
  <w:style w:type="character" w:customStyle="1" w:styleId="CitaviBibliographySubheading4Zchn">
    <w:name w:val="Citavi Bibliography Subheading 4 Zchn"/>
    <w:basedOn w:val="KommentartextZchn"/>
    <w:link w:val="CitaviBibliographySubheading4"/>
    <w:uiPriority w:val="99"/>
    <w:rsid w:val="004F4588"/>
    <w:rPr>
      <w:rFonts w:asciiTheme="majorHAnsi" w:eastAsiaTheme="majorEastAsia" w:hAnsiTheme="majorHAnsi" w:cstheme="majorBidi"/>
      <w:noProof/>
      <w:color w:val="2E74B5" w:themeColor="accent1" w:themeShade="BF"/>
      <w:sz w:val="20"/>
      <w:szCs w:val="20"/>
      <w:lang w:val="en-US" w:eastAsia="zh-CN"/>
    </w:rPr>
  </w:style>
  <w:style w:type="paragraph" w:customStyle="1" w:styleId="CitaviBibliographySubheading5">
    <w:name w:val="Citavi Bibliography Subheading 5"/>
    <w:basedOn w:val="berschrift6"/>
    <w:link w:val="CitaviBibliographySubheading5Zchn"/>
    <w:uiPriority w:val="99"/>
    <w:rsid w:val="004F4588"/>
    <w:pPr>
      <w:jc w:val="left"/>
      <w:outlineLvl w:val="9"/>
    </w:pPr>
  </w:style>
  <w:style w:type="character" w:customStyle="1" w:styleId="CitaviBibliographySubheading5Zchn">
    <w:name w:val="Citavi Bibliography Subheading 5 Zchn"/>
    <w:basedOn w:val="KommentartextZchn"/>
    <w:link w:val="CitaviBibliographySubheading5"/>
    <w:uiPriority w:val="99"/>
    <w:rsid w:val="004F4588"/>
    <w:rPr>
      <w:rFonts w:asciiTheme="majorHAnsi" w:eastAsiaTheme="majorEastAsia" w:hAnsiTheme="majorHAnsi" w:cstheme="majorBidi"/>
      <w:noProof/>
      <w:color w:val="1F4D78" w:themeColor="accent1" w:themeShade="7F"/>
      <w:sz w:val="20"/>
      <w:szCs w:val="20"/>
      <w:lang w:val="en-US" w:eastAsia="zh-CN"/>
    </w:rPr>
  </w:style>
  <w:style w:type="paragraph" w:customStyle="1" w:styleId="CitaviBibliographySubheading6">
    <w:name w:val="Citavi Bibliography Subheading 6"/>
    <w:basedOn w:val="berschrift7"/>
    <w:link w:val="CitaviBibliographySubheading6Zchn"/>
    <w:uiPriority w:val="99"/>
    <w:rsid w:val="004F4588"/>
    <w:pPr>
      <w:jc w:val="left"/>
      <w:outlineLvl w:val="9"/>
    </w:pPr>
  </w:style>
  <w:style w:type="character" w:customStyle="1" w:styleId="CitaviBibliographySubheading6Zchn">
    <w:name w:val="Citavi Bibliography Subheading 6 Zchn"/>
    <w:basedOn w:val="KommentartextZchn"/>
    <w:link w:val="CitaviBibliographySubheading6"/>
    <w:uiPriority w:val="99"/>
    <w:rsid w:val="004F4588"/>
    <w:rPr>
      <w:rFonts w:asciiTheme="majorHAnsi" w:eastAsiaTheme="majorEastAsia" w:hAnsiTheme="majorHAnsi" w:cstheme="majorBidi"/>
      <w:i/>
      <w:iCs/>
      <w:noProof/>
      <w:color w:val="1F4D78" w:themeColor="accent1" w:themeShade="7F"/>
      <w:sz w:val="20"/>
      <w:szCs w:val="20"/>
      <w:lang w:val="en-US" w:eastAsia="zh-CN"/>
    </w:rPr>
  </w:style>
  <w:style w:type="paragraph" w:customStyle="1" w:styleId="CitaviBibliographySubheading7">
    <w:name w:val="Citavi Bibliography Subheading 7"/>
    <w:basedOn w:val="berschrift8"/>
    <w:link w:val="CitaviBibliographySubheading7Zchn"/>
    <w:uiPriority w:val="99"/>
    <w:rsid w:val="004F4588"/>
    <w:pPr>
      <w:jc w:val="left"/>
      <w:outlineLvl w:val="9"/>
    </w:pPr>
  </w:style>
  <w:style w:type="character" w:customStyle="1" w:styleId="CitaviBibliographySubheading7Zchn">
    <w:name w:val="Citavi Bibliography Subheading 7 Zchn"/>
    <w:basedOn w:val="KommentartextZchn"/>
    <w:link w:val="CitaviBibliographySubheading7"/>
    <w:uiPriority w:val="99"/>
    <w:rsid w:val="004F4588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  <w:lang w:val="en-US" w:eastAsia="zh-CN"/>
    </w:rPr>
  </w:style>
  <w:style w:type="paragraph" w:customStyle="1" w:styleId="CitaviBibliographySubheading8">
    <w:name w:val="Citavi Bibliography Subheading 8"/>
    <w:basedOn w:val="berschrift9"/>
    <w:link w:val="CitaviBibliographySubheading8Zchn"/>
    <w:uiPriority w:val="99"/>
    <w:rsid w:val="004F4588"/>
    <w:pPr>
      <w:jc w:val="left"/>
      <w:outlineLvl w:val="9"/>
    </w:pPr>
  </w:style>
  <w:style w:type="character" w:customStyle="1" w:styleId="CitaviBibliographySubheading8Zchn">
    <w:name w:val="Citavi Bibliography Subheading 8 Zchn"/>
    <w:basedOn w:val="KommentartextZchn"/>
    <w:link w:val="CitaviBibliographySubheading8"/>
    <w:uiPriority w:val="99"/>
    <w:rsid w:val="004F4588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1339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Universitätsmedizin Mainz</Company>
  <LinksUpToDate>false</LinksUpToDate>
  <CharactersWithSpaces>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Schmidt, Marcus</dc:creator>
  <cp:keywords/>
  <dc:description/>
  <cp:lastModifiedBy>Schmidt, Marcus</cp:lastModifiedBy>
  <cp:revision>1</cp:revision>
  <dcterms:created xsi:type="dcterms:W3CDTF">2021-05-29T12:57:00Z</dcterms:created>
  <dcterms:modified xsi:type="dcterms:W3CDTF">2021-05-29T13:00:00Z</dcterms:modified>
</cp:coreProperties>
</file>