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BCD0C" w14:textId="77777777" w:rsidR="007A5558" w:rsidRPr="00E96DDE" w:rsidRDefault="007A5558" w:rsidP="007A5558">
      <w:pPr>
        <w:rPr>
          <w:lang w:val="en-US"/>
        </w:rPr>
      </w:pPr>
    </w:p>
    <w:p w14:paraId="7ECFF5C3" w14:textId="77777777" w:rsidR="007C5F42" w:rsidRDefault="007C5F42" w:rsidP="007C5F42">
      <w:pPr>
        <w:rPr>
          <w:lang w:val="en-US"/>
        </w:rPr>
      </w:pPr>
      <w:bookmarkStart w:id="0" w:name="_Hlk79950539"/>
      <w:r w:rsidRPr="00145CF5">
        <w:rPr>
          <w:b/>
          <w:bCs/>
          <w:sz w:val="26"/>
          <w:szCs w:val="26"/>
          <w:lang w:val="en-US"/>
        </w:rPr>
        <w:t>Clinical relevance of elevated soluble ST2, HSP27 and 20S proteasome in patients with COVID-19</w:t>
      </w:r>
    </w:p>
    <w:p w14:paraId="0B14303B" w14:textId="77777777" w:rsidR="007C5F42" w:rsidRPr="00F46892" w:rsidRDefault="007C5F42" w:rsidP="007C5F42">
      <w:pPr>
        <w:rPr>
          <w:lang w:val="en-US"/>
        </w:rPr>
      </w:pPr>
      <w:r w:rsidRPr="00F46892">
        <w:rPr>
          <w:lang w:val="en-US"/>
        </w:rPr>
        <w:t>Ralph Wendt</w:t>
      </w:r>
      <w:r w:rsidRPr="00E76B3A">
        <w:rPr>
          <w:vertAlign w:val="superscript"/>
          <w:lang w:val="en-US"/>
        </w:rPr>
        <w:t>1</w:t>
      </w:r>
      <w:r w:rsidRPr="00F46892">
        <w:rPr>
          <w:lang w:val="en-US"/>
        </w:rPr>
        <w:t xml:space="preserve"> *, Marie-T</w:t>
      </w:r>
      <w:r w:rsidRPr="00E76B3A">
        <w:rPr>
          <w:lang w:val="en-US"/>
        </w:rPr>
        <w:t>he</w:t>
      </w:r>
      <w:r w:rsidRPr="00F46892">
        <w:rPr>
          <w:lang w:val="en-US"/>
        </w:rPr>
        <w:t>rese Lingitz</w:t>
      </w:r>
      <w:r w:rsidRPr="00E76B3A">
        <w:rPr>
          <w:vertAlign w:val="superscript"/>
          <w:lang w:val="en-US"/>
        </w:rPr>
        <w:t>2</w:t>
      </w:r>
      <w:r w:rsidRPr="00F46892">
        <w:rPr>
          <w:vertAlign w:val="superscript"/>
          <w:lang w:val="en-US"/>
        </w:rPr>
        <w:t>,3</w:t>
      </w:r>
      <w:r w:rsidRPr="00F46892">
        <w:rPr>
          <w:lang w:val="en-US"/>
        </w:rPr>
        <w:t>*</w:t>
      </w:r>
      <w:r>
        <w:rPr>
          <w:lang w:val="en-US"/>
        </w:rPr>
        <w:t xml:space="preserve">, </w:t>
      </w:r>
      <w:r w:rsidRPr="00F46892">
        <w:rPr>
          <w:lang w:val="en-US"/>
        </w:rPr>
        <w:t>Maria Laggner</w:t>
      </w:r>
      <w:r w:rsidRPr="00032125">
        <w:rPr>
          <w:vertAlign w:val="superscript"/>
          <w:lang w:val="en-US"/>
        </w:rPr>
        <w:t>2</w:t>
      </w:r>
      <w:r w:rsidRPr="00F46892">
        <w:rPr>
          <w:lang w:val="en-US"/>
        </w:rPr>
        <w:t>, Michael Mildner</w:t>
      </w:r>
      <w:r w:rsidRPr="00032125">
        <w:rPr>
          <w:vertAlign w:val="superscript"/>
          <w:lang w:val="en-US"/>
        </w:rPr>
        <w:t>2</w:t>
      </w:r>
      <w:r>
        <w:rPr>
          <w:vertAlign w:val="superscript"/>
          <w:lang w:val="en-US"/>
        </w:rPr>
        <w:t>,4</w:t>
      </w:r>
      <w:r w:rsidRPr="00F46892">
        <w:rPr>
          <w:lang w:val="en-US"/>
        </w:rPr>
        <w:t xml:space="preserve"> </w:t>
      </w:r>
      <w:r>
        <w:rPr>
          <w:lang w:val="en-US"/>
        </w:rPr>
        <w:t xml:space="preserve">Denise </w:t>
      </w:r>
      <w:r w:rsidRPr="00EE7372">
        <w:rPr>
          <w:lang w:val="en-US"/>
        </w:rPr>
        <w:t>Traxler</w:t>
      </w:r>
      <w:r>
        <w:rPr>
          <w:vertAlign w:val="superscript"/>
          <w:lang w:val="en-US"/>
        </w:rPr>
        <w:t>2,5</w:t>
      </w:r>
      <w:r>
        <w:rPr>
          <w:lang w:val="en-US"/>
        </w:rPr>
        <w:t xml:space="preserve">, </w:t>
      </w:r>
      <w:r w:rsidRPr="00EE7372">
        <w:rPr>
          <w:lang w:val="en-US"/>
        </w:rPr>
        <w:t>Alexandra</w:t>
      </w:r>
      <w:r>
        <w:rPr>
          <w:lang w:val="en-US"/>
        </w:rPr>
        <w:t xml:space="preserve"> Graf</w:t>
      </w:r>
      <w:r>
        <w:rPr>
          <w:vertAlign w:val="superscript"/>
          <w:lang w:val="en-US"/>
        </w:rPr>
        <w:t>6</w:t>
      </w:r>
      <w:r>
        <w:rPr>
          <w:lang w:val="en-US"/>
        </w:rPr>
        <w:t xml:space="preserve">, </w:t>
      </w:r>
      <w:proofErr w:type="spellStart"/>
      <w:r>
        <w:rPr>
          <w:lang w:val="en-US"/>
        </w:rPr>
        <w:t>Pavla</w:t>
      </w:r>
      <w:proofErr w:type="spellEnd"/>
      <w:r>
        <w:rPr>
          <w:lang w:val="en-US"/>
        </w:rPr>
        <w:t xml:space="preserve"> Krotka</w:t>
      </w:r>
      <w:r>
        <w:rPr>
          <w:vertAlign w:val="superscript"/>
          <w:lang w:val="en-US"/>
        </w:rPr>
        <w:t>6</w:t>
      </w:r>
      <w:r>
        <w:rPr>
          <w:lang w:val="en-US"/>
        </w:rPr>
        <w:t xml:space="preserve">, </w:t>
      </w:r>
      <w:r w:rsidRPr="004B1219">
        <w:rPr>
          <w:lang w:val="en-US"/>
        </w:rPr>
        <w:t>Bernhar</w:t>
      </w:r>
      <w:r>
        <w:rPr>
          <w:lang w:val="en-US"/>
        </w:rPr>
        <w:t>d Moser</w:t>
      </w:r>
      <w:proofErr w:type="gramStart"/>
      <w:r w:rsidRPr="004B1219">
        <w:rPr>
          <w:vertAlign w:val="superscript"/>
          <w:lang w:val="en-US"/>
        </w:rPr>
        <w:t>2</w:t>
      </w:r>
      <w:r>
        <w:rPr>
          <w:vertAlign w:val="superscript"/>
          <w:lang w:val="en-US"/>
        </w:rPr>
        <w:t>,7,</w:t>
      </w:r>
      <w:r>
        <w:rPr>
          <w:lang w:val="en-US"/>
        </w:rPr>
        <w:t>,</w:t>
      </w:r>
      <w:proofErr w:type="gramEnd"/>
      <w:r>
        <w:rPr>
          <w:lang w:val="en-US"/>
        </w:rPr>
        <w:t xml:space="preserve"> Konrad Hoetzenecker</w:t>
      </w:r>
      <w:r>
        <w:rPr>
          <w:vertAlign w:val="superscript"/>
          <w:lang w:val="en-US"/>
        </w:rPr>
        <w:t>7</w:t>
      </w:r>
      <w:r>
        <w:rPr>
          <w:lang w:val="en-US"/>
        </w:rPr>
        <w:t>,</w:t>
      </w:r>
      <w:r w:rsidRPr="00AA21E9">
        <w:rPr>
          <w:lang w:val="en-US"/>
        </w:rPr>
        <w:t xml:space="preserve"> </w:t>
      </w:r>
      <w:r w:rsidRPr="00F46892">
        <w:rPr>
          <w:lang w:val="en-US"/>
        </w:rPr>
        <w:t>Sven</w:t>
      </w:r>
      <w:r w:rsidRPr="00032125">
        <w:rPr>
          <w:lang w:val="en-US"/>
        </w:rPr>
        <w:t xml:space="preserve"> Kalbitz</w:t>
      </w:r>
      <w:r w:rsidRPr="00032125">
        <w:rPr>
          <w:vertAlign w:val="superscript"/>
          <w:lang w:val="en-US"/>
        </w:rPr>
        <w:t>1</w:t>
      </w:r>
      <w:r w:rsidRPr="00032125">
        <w:rPr>
          <w:lang w:val="en-US"/>
        </w:rPr>
        <w:t>, Christoph Lübbert</w:t>
      </w:r>
      <w:r w:rsidRPr="00032125">
        <w:rPr>
          <w:vertAlign w:val="superscript"/>
          <w:lang w:val="en-US"/>
        </w:rPr>
        <w:t>1</w:t>
      </w:r>
      <w:r w:rsidRPr="00F46892">
        <w:rPr>
          <w:vertAlign w:val="superscript"/>
          <w:lang w:val="en-US"/>
        </w:rPr>
        <w:t>,</w:t>
      </w:r>
      <w:r>
        <w:rPr>
          <w:vertAlign w:val="superscript"/>
          <w:lang w:val="en-US"/>
        </w:rPr>
        <w:t>8</w:t>
      </w:r>
      <w:r w:rsidRPr="00032125">
        <w:rPr>
          <w:lang w:val="en-US"/>
        </w:rPr>
        <w:t>, Jo</w:t>
      </w:r>
      <w:r w:rsidRPr="00F46892">
        <w:rPr>
          <w:lang w:val="en-US"/>
        </w:rPr>
        <w:t>achim Beige</w:t>
      </w:r>
      <w:r w:rsidRPr="00032125">
        <w:rPr>
          <w:vertAlign w:val="superscript"/>
          <w:lang w:val="en-US"/>
        </w:rPr>
        <w:t>1</w:t>
      </w:r>
      <w:r w:rsidRPr="00F46892">
        <w:rPr>
          <w:vertAlign w:val="superscript"/>
          <w:lang w:val="en-US"/>
        </w:rPr>
        <w:t>,</w:t>
      </w:r>
      <w:r>
        <w:rPr>
          <w:vertAlign w:val="superscript"/>
          <w:lang w:val="en-US"/>
        </w:rPr>
        <w:t>9</w:t>
      </w:r>
      <w:r w:rsidRPr="00F46892">
        <w:rPr>
          <w:lang w:val="en-US"/>
        </w:rPr>
        <w:t>,</w:t>
      </w:r>
      <w:r w:rsidRPr="00EE7372">
        <w:rPr>
          <w:lang w:val="en-US"/>
        </w:rPr>
        <w:t xml:space="preserve"> </w:t>
      </w:r>
      <w:r w:rsidRPr="0096787B">
        <w:rPr>
          <w:lang w:val="en-US"/>
        </w:rPr>
        <w:t xml:space="preserve">Hendrik </w:t>
      </w:r>
      <w:r w:rsidRPr="00F46892">
        <w:rPr>
          <w:lang w:val="en-US"/>
        </w:rPr>
        <w:t>Jan Ankersmit</w:t>
      </w:r>
      <w:r w:rsidRPr="00E76B3A">
        <w:rPr>
          <w:vertAlign w:val="superscript"/>
          <w:lang w:val="en-US"/>
        </w:rPr>
        <w:t>2</w:t>
      </w:r>
      <w:r w:rsidRPr="00F46892">
        <w:rPr>
          <w:vertAlign w:val="superscript"/>
          <w:lang w:val="en-US"/>
        </w:rPr>
        <w:t>,</w:t>
      </w:r>
      <w:r>
        <w:rPr>
          <w:vertAlign w:val="superscript"/>
          <w:lang w:val="en-US"/>
        </w:rPr>
        <w:t>7</w:t>
      </w:r>
    </w:p>
    <w:p w14:paraId="208AFA9D" w14:textId="77777777" w:rsidR="007C5F42" w:rsidRPr="00E96DDE" w:rsidRDefault="007C5F42" w:rsidP="007C5F42">
      <w:pPr>
        <w:rPr>
          <w:lang w:val="en-US"/>
        </w:rPr>
      </w:pPr>
      <w:r w:rsidRPr="00E96DDE">
        <w:rPr>
          <w:lang w:val="en-US"/>
        </w:rPr>
        <w:t>*</w:t>
      </w:r>
      <w:r>
        <w:rPr>
          <w:lang w:val="en-US"/>
        </w:rPr>
        <w:t xml:space="preserve"> </w:t>
      </w:r>
      <w:proofErr w:type="gramStart"/>
      <w:r>
        <w:rPr>
          <w:lang w:val="en-US"/>
        </w:rPr>
        <w:t>c</w:t>
      </w:r>
      <w:r w:rsidRPr="00E96DDE">
        <w:rPr>
          <w:lang w:val="en-US"/>
        </w:rPr>
        <w:t>ontributed</w:t>
      </w:r>
      <w:proofErr w:type="gramEnd"/>
      <w:r w:rsidRPr="00E96DDE">
        <w:rPr>
          <w:lang w:val="en-US"/>
        </w:rPr>
        <w:t xml:space="preserve"> equally</w:t>
      </w:r>
    </w:p>
    <w:p w14:paraId="0EBD0ED6" w14:textId="77777777" w:rsidR="007C5F42" w:rsidRDefault="007C5F42" w:rsidP="007C5F42">
      <w:pPr>
        <w:rPr>
          <w:lang w:val="en-US"/>
        </w:rPr>
      </w:pPr>
      <w:r w:rsidRPr="00FF7138">
        <w:rPr>
          <w:lang w:val="en-US"/>
        </w:rPr>
        <w:t xml:space="preserve">1 </w:t>
      </w:r>
      <w:r w:rsidRPr="00AA6309">
        <w:rPr>
          <w:lang w:val="en-US"/>
        </w:rPr>
        <w:t>Department of Infectious Diseases, Tropical Medicine, Nephrology and</w:t>
      </w:r>
      <w:r>
        <w:rPr>
          <w:lang w:val="en-US"/>
        </w:rPr>
        <w:t xml:space="preserve"> </w:t>
      </w:r>
      <w:r w:rsidRPr="00AA6309">
        <w:rPr>
          <w:lang w:val="en-US"/>
        </w:rPr>
        <w:t xml:space="preserve">Rheumatology, St. Georg Hospital, </w:t>
      </w:r>
      <w:proofErr w:type="spellStart"/>
      <w:r w:rsidRPr="00AA6309">
        <w:rPr>
          <w:lang w:val="en-US"/>
        </w:rPr>
        <w:t>Delitzscher</w:t>
      </w:r>
      <w:proofErr w:type="spellEnd"/>
      <w:r w:rsidRPr="00AA6309">
        <w:rPr>
          <w:lang w:val="en-US"/>
        </w:rPr>
        <w:t xml:space="preserve"> Str. 141, D-04129 Leipzig,</w:t>
      </w:r>
      <w:r>
        <w:rPr>
          <w:lang w:val="en-US"/>
        </w:rPr>
        <w:t xml:space="preserve"> </w:t>
      </w:r>
      <w:r w:rsidRPr="00AA6309">
        <w:rPr>
          <w:lang w:val="en-US"/>
        </w:rPr>
        <w:t>Germany</w:t>
      </w:r>
    </w:p>
    <w:p w14:paraId="05EEEB42" w14:textId="77777777" w:rsidR="007C5F42" w:rsidRDefault="007C5F42" w:rsidP="007C5F42">
      <w:pPr>
        <w:rPr>
          <w:lang w:val="en-US"/>
        </w:rPr>
      </w:pPr>
      <w:r>
        <w:rPr>
          <w:lang w:val="en-US"/>
        </w:rPr>
        <w:t xml:space="preserve">2 </w:t>
      </w:r>
      <w:r w:rsidRPr="00D84A2C">
        <w:rPr>
          <w:lang w:val="en-US"/>
        </w:rPr>
        <w:t xml:space="preserve">Laboratory for Cardiac and Thoracic Diagnosis, Department of Surgery, Regeneration and Applied Immunology, Medical University of Vienna, Research Laboratories Vienna General Hospital, </w:t>
      </w:r>
      <w:proofErr w:type="spellStart"/>
      <w:r w:rsidRPr="00D84A2C">
        <w:rPr>
          <w:lang w:val="en-US"/>
        </w:rPr>
        <w:t>Waehringer</w:t>
      </w:r>
      <w:proofErr w:type="spellEnd"/>
      <w:r w:rsidRPr="00D84A2C">
        <w:rPr>
          <w:lang w:val="en-US"/>
        </w:rPr>
        <w:t xml:space="preserve"> </w:t>
      </w:r>
      <w:proofErr w:type="spellStart"/>
      <w:r w:rsidRPr="00D84A2C">
        <w:rPr>
          <w:lang w:val="en-US"/>
        </w:rPr>
        <w:t>Guertel</w:t>
      </w:r>
      <w:proofErr w:type="spellEnd"/>
      <w:r w:rsidRPr="00D84A2C">
        <w:rPr>
          <w:lang w:val="en-US"/>
        </w:rPr>
        <w:t xml:space="preserve"> 18-20, 1090 Vienna, Austria</w:t>
      </w:r>
    </w:p>
    <w:p w14:paraId="39C3E957" w14:textId="77777777" w:rsidR="007C5F42" w:rsidRDefault="007C5F42" w:rsidP="007C5F42">
      <w:pPr>
        <w:rPr>
          <w:lang w:val="en-US"/>
        </w:rPr>
      </w:pPr>
      <w:r>
        <w:rPr>
          <w:lang w:val="en-US"/>
        </w:rPr>
        <w:t xml:space="preserve">3 </w:t>
      </w:r>
      <w:r w:rsidRPr="00B131AB">
        <w:rPr>
          <w:lang w:val="en-US"/>
        </w:rPr>
        <w:t xml:space="preserve">Department of </w:t>
      </w:r>
      <w:proofErr w:type="spellStart"/>
      <w:r w:rsidRPr="00B131AB">
        <w:rPr>
          <w:lang w:val="en-US"/>
        </w:rPr>
        <w:t>Anaesthesia</w:t>
      </w:r>
      <w:proofErr w:type="spellEnd"/>
      <w:r w:rsidRPr="00B131AB">
        <w:rPr>
          <w:lang w:val="en-US"/>
        </w:rPr>
        <w:t>, Intensive Care Medicine and Pain Medicine</w:t>
      </w:r>
      <w:r>
        <w:rPr>
          <w:lang w:val="en-US"/>
        </w:rPr>
        <w:t xml:space="preserve">, Medical University of Vienna, </w:t>
      </w:r>
      <w:proofErr w:type="spellStart"/>
      <w:r>
        <w:rPr>
          <w:lang w:val="en-US"/>
        </w:rPr>
        <w:t>Waehringer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Guertel</w:t>
      </w:r>
      <w:proofErr w:type="spellEnd"/>
      <w:r>
        <w:rPr>
          <w:lang w:val="en-US"/>
        </w:rPr>
        <w:t xml:space="preserve"> 18-20, 1090 Vienna, Austria</w:t>
      </w:r>
    </w:p>
    <w:p w14:paraId="2BDB8872" w14:textId="77777777" w:rsidR="007C5F42" w:rsidRDefault="007C5F42" w:rsidP="007C5F42">
      <w:pPr>
        <w:rPr>
          <w:lang w:val="en-US"/>
        </w:rPr>
      </w:pPr>
      <w:r>
        <w:rPr>
          <w:lang w:val="en-US"/>
        </w:rPr>
        <w:t xml:space="preserve">4 Department of Dermatology, Medical University of Vienna, </w:t>
      </w:r>
      <w:bookmarkStart w:id="1" w:name="_Hlk79673386"/>
      <w:proofErr w:type="spellStart"/>
      <w:r>
        <w:rPr>
          <w:lang w:val="en-US"/>
        </w:rPr>
        <w:t>Waehringer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Guertel</w:t>
      </w:r>
      <w:proofErr w:type="spellEnd"/>
      <w:r>
        <w:rPr>
          <w:lang w:val="en-US"/>
        </w:rPr>
        <w:t xml:space="preserve"> 18-20, 1090 Vienna, Austria</w:t>
      </w:r>
    </w:p>
    <w:bookmarkEnd w:id="1"/>
    <w:p w14:paraId="200E4F17" w14:textId="77777777" w:rsidR="007C5F42" w:rsidRPr="00AA21E9" w:rsidRDefault="007C5F42" w:rsidP="007C5F42">
      <w:pPr>
        <w:rPr>
          <w:lang w:val="en-US"/>
        </w:rPr>
      </w:pPr>
      <w:r>
        <w:rPr>
          <w:lang w:val="en-US"/>
        </w:rPr>
        <w:t xml:space="preserve">5 </w:t>
      </w:r>
      <w:r w:rsidRPr="00AA21E9">
        <w:rPr>
          <w:lang w:val="en-US"/>
        </w:rPr>
        <w:t xml:space="preserve">Division of Cardiology, Department of Internal Medicine II, Medical University of Vienna, </w:t>
      </w:r>
      <w:proofErr w:type="spellStart"/>
      <w:r w:rsidRPr="00AA21E9">
        <w:rPr>
          <w:lang w:val="en-US"/>
        </w:rPr>
        <w:t>Waehringer</w:t>
      </w:r>
      <w:proofErr w:type="spellEnd"/>
      <w:r w:rsidRPr="00AA21E9">
        <w:rPr>
          <w:lang w:val="en-US"/>
        </w:rPr>
        <w:t xml:space="preserve"> </w:t>
      </w:r>
      <w:proofErr w:type="spellStart"/>
      <w:r w:rsidRPr="00AA21E9">
        <w:rPr>
          <w:lang w:val="en-US"/>
        </w:rPr>
        <w:t>Guertel</w:t>
      </w:r>
      <w:proofErr w:type="spellEnd"/>
      <w:r w:rsidRPr="00AA21E9">
        <w:rPr>
          <w:lang w:val="en-US"/>
        </w:rPr>
        <w:t xml:space="preserve"> 18-20, 1090 Vienna, Austria</w:t>
      </w:r>
    </w:p>
    <w:p w14:paraId="5FFCD861" w14:textId="77777777" w:rsidR="007C5F42" w:rsidRDefault="007C5F42" w:rsidP="007C5F42">
      <w:pPr>
        <w:rPr>
          <w:lang w:val="en-US"/>
        </w:rPr>
      </w:pPr>
      <w:r>
        <w:rPr>
          <w:lang w:val="en-US"/>
        </w:rPr>
        <w:t xml:space="preserve">6 </w:t>
      </w:r>
      <w:r w:rsidRPr="00F46892">
        <w:rPr>
          <w:lang w:val="en-US"/>
        </w:rPr>
        <w:t>Center for Medical Statistics, Informatics and Intelligent Systems, Medical University of Vienna,</w:t>
      </w:r>
      <w:r w:rsidRPr="00145CF5">
        <w:rPr>
          <w:lang w:val="en-US"/>
        </w:rPr>
        <w:t xml:space="preserve"> </w:t>
      </w:r>
      <w:proofErr w:type="spellStart"/>
      <w:r w:rsidRPr="00B77A63">
        <w:rPr>
          <w:lang w:val="en-US"/>
        </w:rPr>
        <w:t>Spitalg</w:t>
      </w:r>
      <w:proofErr w:type="spellEnd"/>
      <w:r>
        <w:rPr>
          <w:lang w:val="en-US"/>
        </w:rPr>
        <w:t>.</w:t>
      </w:r>
      <w:r w:rsidRPr="00B77A63">
        <w:rPr>
          <w:lang w:val="en-US"/>
        </w:rPr>
        <w:t xml:space="preserve"> 23, 1090 Vienna</w:t>
      </w:r>
      <w:r>
        <w:rPr>
          <w:lang w:val="en-US"/>
        </w:rPr>
        <w:t xml:space="preserve">, </w:t>
      </w:r>
      <w:r w:rsidRPr="00F46892">
        <w:rPr>
          <w:lang w:val="en-US"/>
        </w:rPr>
        <w:t>Austria</w:t>
      </w:r>
    </w:p>
    <w:p w14:paraId="0205F5D5" w14:textId="77777777" w:rsidR="007C5F42" w:rsidRDefault="007C5F42" w:rsidP="007C5F42">
      <w:pPr>
        <w:rPr>
          <w:lang w:val="en-US"/>
        </w:rPr>
      </w:pPr>
      <w:r>
        <w:rPr>
          <w:lang w:val="en-US"/>
        </w:rPr>
        <w:t xml:space="preserve">7 </w:t>
      </w:r>
      <w:r w:rsidRPr="00B131AB">
        <w:rPr>
          <w:lang w:val="en-US"/>
        </w:rPr>
        <w:t>Division of Thoracic Surgery, Department of Surgery, Medical</w:t>
      </w:r>
      <w:r>
        <w:rPr>
          <w:lang w:val="en-US"/>
        </w:rPr>
        <w:t xml:space="preserve"> </w:t>
      </w:r>
      <w:r w:rsidRPr="00B131AB">
        <w:rPr>
          <w:lang w:val="en-US"/>
        </w:rPr>
        <w:t>University of Vienna,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Waehringer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Guertel</w:t>
      </w:r>
      <w:proofErr w:type="spellEnd"/>
      <w:r>
        <w:rPr>
          <w:lang w:val="en-US"/>
        </w:rPr>
        <w:t xml:space="preserve"> 18-20, 1090 Vienna, Austria</w:t>
      </w:r>
    </w:p>
    <w:p w14:paraId="39B491C5" w14:textId="77777777" w:rsidR="007C5F42" w:rsidRPr="00E96DDE" w:rsidRDefault="007C5F42" w:rsidP="007C5F42">
      <w:pPr>
        <w:rPr>
          <w:lang w:val="en-US"/>
        </w:rPr>
      </w:pPr>
      <w:r>
        <w:rPr>
          <w:lang w:val="en-US"/>
        </w:rPr>
        <w:t xml:space="preserve">8 </w:t>
      </w:r>
      <w:r w:rsidRPr="00AA6309">
        <w:rPr>
          <w:lang w:val="en-US"/>
        </w:rPr>
        <w:t>Division of Infectious Diseases and Tropical Medicine, Department of</w:t>
      </w:r>
      <w:r>
        <w:rPr>
          <w:lang w:val="en-US"/>
        </w:rPr>
        <w:t xml:space="preserve"> </w:t>
      </w:r>
      <w:r w:rsidRPr="00AA6309">
        <w:rPr>
          <w:lang w:val="en-US"/>
        </w:rPr>
        <w:t xml:space="preserve">Medicine II, Leipzig University Medical Center, </w:t>
      </w:r>
      <w:proofErr w:type="spellStart"/>
      <w:r w:rsidRPr="00AA6309">
        <w:rPr>
          <w:lang w:val="en-US"/>
        </w:rPr>
        <w:t>Liebigstr</w:t>
      </w:r>
      <w:proofErr w:type="spellEnd"/>
      <w:r w:rsidRPr="00AA6309">
        <w:rPr>
          <w:lang w:val="en-US"/>
        </w:rPr>
        <w:t>. 20, D-04103</w:t>
      </w:r>
      <w:r>
        <w:rPr>
          <w:lang w:val="en-US"/>
        </w:rPr>
        <w:t xml:space="preserve"> </w:t>
      </w:r>
      <w:r w:rsidRPr="00AA6309">
        <w:rPr>
          <w:lang w:val="en-US"/>
        </w:rPr>
        <w:t>Leipzig, Germany</w:t>
      </w:r>
    </w:p>
    <w:p w14:paraId="5F48FE8B" w14:textId="77777777" w:rsidR="007C5F42" w:rsidRDefault="007C5F42" w:rsidP="007C5F42">
      <w:pPr>
        <w:rPr>
          <w:lang w:val="en-US"/>
        </w:rPr>
      </w:pPr>
      <w:r>
        <w:rPr>
          <w:lang w:val="en-US"/>
        </w:rPr>
        <w:t>9</w:t>
      </w:r>
      <w:r w:rsidRPr="00E76B3A">
        <w:rPr>
          <w:lang w:val="en-US"/>
        </w:rPr>
        <w:t xml:space="preserve"> </w:t>
      </w:r>
      <w:r w:rsidRPr="004352C9">
        <w:rPr>
          <w:lang w:val="en-US"/>
        </w:rPr>
        <w:t>Martin-Luther-University Halle-Wittenberg, Halle</w:t>
      </w:r>
      <w:r w:rsidRPr="00E76B3A">
        <w:rPr>
          <w:lang w:val="en-US"/>
        </w:rPr>
        <w:t>/</w:t>
      </w:r>
      <w:r w:rsidRPr="004352C9">
        <w:rPr>
          <w:lang w:val="en-US"/>
        </w:rPr>
        <w:t>Saale, Germany</w:t>
      </w:r>
    </w:p>
    <w:p w14:paraId="0E5A1262" w14:textId="77777777" w:rsidR="007C5F42" w:rsidRPr="00E76B3A" w:rsidRDefault="007C5F42" w:rsidP="007C5F42">
      <w:pPr>
        <w:rPr>
          <w:lang w:val="en-US"/>
        </w:rPr>
      </w:pPr>
      <w:r w:rsidRPr="00E76B3A">
        <w:rPr>
          <w:lang w:val="en-US"/>
        </w:rPr>
        <w:t xml:space="preserve">Corresponding author: </w:t>
      </w:r>
    </w:p>
    <w:p w14:paraId="3080050E" w14:textId="77777777" w:rsidR="007C5F42" w:rsidRPr="00C84D9F" w:rsidRDefault="007C5F42" w:rsidP="007C5F42">
      <w:pPr>
        <w:rPr>
          <w:lang w:val="en-US"/>
        </w:rPr>
      </w:pPr>
      <w:r w:rsidRPr="00C84D9F">
        <w:rPr>
          <w:lang w:val="en-US"/>
        </w:rPr>
        <w:t xml:space="preserve">HJ </w:t>
      </w:r>
      <w:proofErr w:type="spellStart"/>
      <w:r w:rsidRPr="00C84D9F">
        <w:rPr>
          <w:lang w:val="en-US"/>
        </w:rPr>
        <w:t>Ankersmit</w:t>
      </w:r>
      <w:proofErr w:type="spellEnd"/>
    </w:p>
    <w:p w14:paraId="3A4EC08E" w14:textId="77777777" w:rsidR="007C5F42" w:rsidRDefault="007C5F42" w:rsidP="007C5F42">
      <w:pPr>
        <w:rPr>
          <w:lang w:val="en-US"/>
        </w:rPr>
      </w:pPr>
      <w:r>
        <w:rPr>
          <w:lang w:val="en-US"/>
        </w:rPr>
        <w:t xml:space="preserve">Department of Thoracic Surgery, </w:t>
      </w:r>
      <w:r w:rsidRPr="00E60276">
        <w:rPr>
          <w:lang w:val="en-US"/>
        </w:rPr>
        <w:t>Medical U</w:t>
      </w:r>
      <w:r>
        <w:rPr>
          <w:lang w:val="en-US"/>
        </w:rPr>
        <w:t>niversity of Vienna</w:t>
      </w:r>
    </w:p>
    <w:p w14:paraId="7A3DD296" w14:textId="77777777" w:rsidR="007C5F42" w:rsidRDefault="007C5F42" w:rsidP="007C5F42">
      <w:pPr>
        <w:rPr>
          <w:lang w:val="en-US"/>
        </w:rPr>
      </w:pPr>
      <w:proofErr w:type="spellStart"/>
      <w:r>
        <w:rPr>
          <w:lang w:val="en-US"/>
        </w:rPr>
        <w:t>Waehringer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Guertel</w:t>
      </w:r>
      <w:proofErr w:type="spellEnd"/>
      <w:r>
        <w:rPr>
          <w:lang w:val="en-US"/>
        </w:rPr>
        <w:t xml:space="preserve"> 18-20</w:t>
      </w:r>
    </w:p>
    <w:p w14:paraId="30C4BDE1" w14:textId="77777777" w:rsidR="007C5F42" w:rsidRPr="00E60276" w:rsidRDefault="007C5F42" w:rsidP="007C5F42">
      <w:pPr>
        <w:rPr>
          <w:lang w:val="en-US"/>
        </w:rPr>
      </w:pPr>
      <w:r>
        <w:rPr>
          <w:lang w:val="en-US"/>
        </w:rPr>
        <w:t>1090 Vienna, Austria</w:t>
      </w:r>
    </w:p>
    <w:p w14:paraId="06B51E1C" w14:textId="77777777" w:rsidR="007C5F42" w:rsidRDefault="007C5F42" w:rsidP="007C5F42">
      <w:pPr>
        <w:rPr>
          <w:lang w:val="en-US"/>
        </w:rPr>
      </w:pPr>
      <w:r w:rsidRPr="007D419F">
        <w:rPr>
          <w:lang w:val="en-US"/>
        </w:rPr>
        <w:t>phone: +43-(0)1-40400-67770</w:t>
      </w:r>
    </w:p>
    <w:p w14:paraId="6D50C294" w14:textId="77777777" w:rsidR="007C5F42" w:rsidRPr="00145CF5" w:rsidRDefault="007C5F42" w:rsidP="007C5F42">
      <w:proofErr w:type="spellStart"/>
      <w:r w:rsidRPr="00145CF5">
        <w:t>e-mail</w:t>
      </w:r>
      <w:proofErr w:type="spellEnd"/>
      <w:r w:rsidRPr="00145CF5">
        <w:t>: hendrik.ankersmit@meduniwien.ac.at</w:t>
      </w:r>
    </w:p>
    <w:bookmarkEnd w:id="0"/>
    <w:p w14:paraId="7553178A" w14:textId="77777777" w:rsidR="00CB37B5" w:rsidRDefault="00CB37B5">
      <w:r>
        <w:br w:type="page"/>
      </w:r>
    </w:p>
    <w:p w14:paraId="44004042" w14:textId="77777777" w:rsidR="009248FB" w:rsidRDefault="009248FB" w:rsidP="009248FB">
      <w:pPr>
        <w:pStyle w:val="berschrift1"/>
        <w:rPr>
          <w:lang w:val="en-US"/>
        </w:rPr>
      </w:pPr>
      <w:r>
        <w:rPr>
          <w:lang w:val="en-US"/>
        </w:rPr>
        <w:lastRenderedPageBreak/>
        <w:t xml:space="preserve">Supplementary Material </w:t>
      </w:r>
    </w:p>
    <w:p w14:paraId="58ADFC8A" w14:textId="77777777" w:rsidR="009248FB" w:rsidRPr="00D82539" w:rsidRDefault="009248FB" w:rsidP="009248FB">
      <w:pPr>
        <w:pStyle w:val="berschrift2"/>
        <w:rPr>
          <w:lang w:val="en-US"/>
        </w:rPr>
      </w:pPr>
      <w:r w:rsidRPr="003C7765">
        <w:rPr>
          <w:rStyle w:val="berschrift1Zchn"/>
          <w:b/>
          <w:bCs/>
          <w:szCs w:val="20"/>
          <w:lang w:val="en-US"/>
        </w:rPr>
        <w:t>Figure S1</w:t>
      </w:r>
      <w:r>
        <w:rPr>
          <w:lang w:val="en-US"/>
        </w:rPr>
        <w:t xml:space="preserve"> </w:t>
      </w:r>
      <w:r w:rsidRPr="003C7765">
        <w:rPr>
          <w:b w:val="0"/>
          <w:bCs/>
          <w:iCs/>
          <w:lang w:val="en-US"/>
        </w:rPr>
        <w:t>ROC Curves for the endpoint 30-day mortality of investigated parameters</w:t>
      </w:r>
      <w:r>
        <w:rPr>
          <w:bCs/>
          <w:iCs/>
          <w:lang w:val="en-US"/>
        </w:rPr>
        <w:t xml:space="preserve"> </w:t>
      </w:r>
      <w:r>
        <w:rPr>
          <w:noProof/>
          <w:lang w:val="de-DE" w:eastAsia="de-DE"/>
        </w:rPr>
        <w:drawing>
          <wp:inline distT="0" distB="0" distL="0" distR="0" wp14:anchorId="3782B09F" wp14:editId="2BBE968F">
            <wp:extent cx="5166360" cy="3444240"/>
            <wp:effectExtent l="0" t="0" r="0" b="3810"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6360" cy="3444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BE2ECC" w14:textId="77777777" w:rsidR="009248FB" w:rsidRPr="00DD218A" w:rsidRDefault="009248FB" w:rsidP="009248FB">
      <w:pPr>
        <w:pStyle w:val="berschrift2"/>
        <w:rPr>
          <w:b w:val="0"/>
          <w:bCs/>
          <w:iCs/>
          <w:lang w:val="en-US"/>
        </w:rPr>
      </w:pPr>
      <w:r w:rsidRPr="003C7765">
        <w:rPr>
          <w:rStyle w:val="berschrift1Zchn"/>
          <w:b/>
          <w:bCs/>
          <w:szCs w:val="20"/>
          <w:lang w:val="en-US"/>
        </w:rPr>
        <w:t>Figure S2</w:t>
      </w:r>
      <w:r w:rsidRPr="003C7765">
        <w:rPr>
          <w:b w:val="0"/>
          <w:bCs/>
          <w:iCs/>
          <w:szCs w:val="20"/>
          <w:lang w:val="en-US"/>
        </w:rPr>
        <w:t xml:space="preserve"> </w:t>
      </w:r>
      <w:r w:rsidRPr="003C7765">
        <w:rPr>
          <w:b w:val="0"/>
          <w:iCs/>
          <w:szCs w:val="20"/>
          <w:lang w:val="en-US"/>
        </w:rPr>
        <w:t>ROC</w:t>
      </w:r>
      <w:r w:rsidRPr="003C7765">
        <w:rPr>
          <w:b w:val="0"/>
          <w:iCs/>
          <w:lang w:val="en-US"/>
        </w:rPr>
        <w:t xml:space="preserve"> Curves for the endpoint 60-day mortality of investigated parameters </w:t>
      </w:r>
    </w:p>
    <w:p w14:paraId="0C161AD5" w14:textId="77777777" w:rsidR="009248FB" w:rsidRPr="00D82539" w:rsidRDefault="009248FB" w:rsidP="009248FB">
      <w:pPr>
        <w:rPr>
          <w:lang w:val="en-US"/>
        </w:rPr>
      </w:pPr>
      <w:r>
        <w:rPr>
          <w:noProof/>
          <w:lang w:val="de-DE" w:eastAsia="de-DE"/>
        </w:rPr>
        <w:drawing>
          <wp:inline distT="0" distB="0" distL="0" distR="0" wp14:anchorId="49A2BAC6" wp14:editId="02E41B12">
            <wp:extent cx="5234940" cy="3489960"/>
            <wp:effectExtent l="0" t="0" r="3810" b="0"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4940" cy="3489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10253C" w14:textId="77777777" w:rsidR="009248FB" w:rsidRPr="00DD218A" w:rsidRDefault="009248FB" w:rsidP="009248FB">
      <w:pPr>
        <w:pStyle w:val="berschrift2"/>
        <w:rPr>
          <w:b w:val="0"/>
          <w:bCs/>
          <w:iCs/>
          <w:lang w:val="en-US"/>
        </w:rPr>
      </w:pPr>
      <w:r w:rsidRPr="00DD218A">
        <w:rPr>
          <w:bCs/>
          <w:iCs/>
          <w:lang w:val="en-US"/>
        </w:rPr>
        <w:lastRenderedPageBreak/>
        <w:t>Figure S3</w:t>
      </w:r>
      <w:r w:rsidRPr="00DD218A">
        <w:rPr>
          <w:iCs/>
          <w:lang w:val="en-US"/>
        </w:rPr>
        <w:t xml:space="preserve"> </w:t>
      </w:r>
      <w:r w:rsidRPr="003C7765">
        <w:rPr>
          <w:b w:val="0"/>
          <w:iCs/>
          <w:lang w:val="en-US"/>
        </w:rPr>
        <w:t>ROC Curves for the endpoint 90-day mortality of investigated parameters</w:t>
      </w:r>
      <w:r w:rsidRPr="00DD218A">
        <w:rPr>
          <w:bCs/>
          <w:iCs/>
          <w:lang w:val="en-US"/>
        </w:rPr>
        <w:t xml:space="preserve"> </w:t>
      </w:r>
    </w:p>
    <w:p w14:paraId="5171500E" w14:textId="77777777" w:rsidR="009248FB" w:rsidRPr="00D82539" w:rsidRDefault="009248FB" w:rsidP="009248FB">
      <w:pPr>
        <w:rPr>
          <w:lang w:val="en-US"/>
        </w:rPr>
      </w:pPr>
      <w:r w:rsidRPr="000F077B">
        <w:rPr>
          <w:lang w:val="en-US"/>
        </w:rPr>
        <w:t xml:space="preserve"> </w:t>
      </w:r>
      <w:r>
        <w:rPr>
          <w:noProof/>
          <w:lang w:val="de-DE" w:eastAsia="de-DE"/>
        </w:rPr>
        <w:drawing>
          <wp:inline distT="0" distB="0" distL="0" distR="0" wp14:anchorId="03EF2C8D" wp14:editId="098CDABF">
            <wp:extent cx="5189220" cy="3459480"/>
            <wp:effectExtent l="0" t="0" r="0" b="7620"/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9220" cy="3459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3EDF07" w14:textId="7A8F2C4D" w:rsidR="009248FB" w:rsidRPr="003C7765" w:rsidRDefault="009248FB" w:rsidP="003C7765">
      <w:pPr>
        <w:pStyle w:val="berschrift2"/>
        <w:rPr>
          <w:iCs/>
          <w:lang w:val="en-US"/>
        </w:rPr>
      </w:pPr>
      <w:r w:rsidRPr="00DD218A">
        <w:rPr>
          <w:bCs/>
          <w:iCs/>
          <w:lang w:val="en-US"/>
        </w:rPr>
        <w:t>Figure S4</w:t>
      </w:r>
      <w:r w:rsidRPr="00DD218A">
        <w:rPr>
          <w:iCs/>
          <w:lang w:val="en-US"/>
        </w:rPr>
        <w:t xml:space="preserve"> </w:t>
      </w:r>
      <w:r w:rsidRPr="003C7765">
        <w:rPr>
          <w:b w:val="0"/>
          <w:iCs/>
          <w:lang w:val="en-US"/>
        </w:rPr>
        <w:t xml:space="preserve">ROC Curves for the endpoint in-hospital mortality of investigated parameters </w:t>
      </w:r>
    </w:p>
    <w:p w14:paraId="36FF02DC" w14:textId="5B7936EE" w:rsidR="009248FB" w:rsidRPr="008123CE" w:rsidRDefault="00DA52B8" w:rsidP="009248FB">
      <w:pPr>
        <w:rPr>
          <w:lang w:val="en-US"/>
        </w:rPr>
      </w:pPr>
      <w:r>
        <w:rPr>
          <w:noProof/>
        </w:rPr>
        <w:drawing>
          <wp:inline distT="0" distB="0" distL="0" distR="0" wp14:anchorId="1CF08256" wp14:editId="297528F9">
            <wp:extent cx="5312229" cy="3541486"/>
            <wp:effectExtent l="0" t="0" r="3175" b="1905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8019" cy="35453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1D914E" w14:textId="3BD462EC" w:rsidR="009248FB" w:rsidRDefault="009248FB" w:rsidP="009248FB">
      <w:pPr>
        <w:rPr>
          <w:lang w:val="en-US"/>
        </w:rPr>
      </w:pPr>
      <w:r>
        <w:rPr>
          <w:lang w:val="en-US"/>
        </w:rPr>
        <w:br w:type="page"/>
      </w:r>
    </w:p>
    <w:p w14:paraId="395C3FF1" w14:textId="77777777" w:rsidR="009248FB" w:rsidRPr="00DD218A" w:rsidRDefault="009248FB" w:rsidP="009248FB">
      <w:pPr>
        <w:pStyle w:val="berschrift2"/>
        <w:rPr>
          <w:b w:val="0"/>
          <w:bCs/>
          <w:iCs/>
          <w:lang w:val="en-US"/>
        </w:rPr>
      </w:pPr>
      <w:r w:rsidRPr="00DD218A">
        <w:rPr>
          <w:bCs/>
          <w:iCs/>
          <w:lang w:val="en-US"/>
        </w:rPr>
        <w:lastRenderedPageBreak/>
        <w:t>Table S1</w:t>
      </w:r>
      <w:r w:rsidRPr="00DD218A">
        <w:rPr>
          <w:iCs/>
          <w:lang w:val="en-US"/>
        </w:rPr>
        <w:t xml:space="preserve"> </w:t>
      </w:r>
      <w:r w:rsidRPr="00DD218A">
        <w:rPr>
          <w:bCs/>
          <w:iCs/>
          <w:lang w:val="en-US"/>
        </w:rPr>
        <w:t>AUC of ROC curves for the endpoint 30-</w:t>
      </w:r>
      <w:r>
        <w:rPr>
          <w:bCs/>
          <w:iCs/>
          <w:lang w:val="en-US"/>
        </w:rPr>
        <w:t>d</w:t>
      </w:r>
      <w:r w:rsidRPr="00DD218A">
        <w:rPr>
          <w:bCs/>
          <w:iCs/>
          <w:lang w:val="en-US"/>
        </w:rPr>
        <w:t>ay</w:t>
      </w:r>
      <w:r>
        <w:rPr>
          <w:bCs/>
          <w:iCs/>
          <w:lang w:val="en-US"/>
        </w:rPr>
        <w:t xml:space="preserve"> m</w:t>
      </w:r>
      <w:r w:rsidRPr="00DD218A">
        <w:rPr>
          <w:bCs/>
          <w:iCs/>
          <w:lang w:val="en-US"/>
        </w:rPr>
        <w:t>ortality of investigated parameters</w:t>
      </w:r>
    </w:p>
    <w:tbl>
      <w:tblPr>
        <w:tblStyle w:val="Tabellenraster"/>
        <w:tblpPr w:leftFromText="141" w:rightFromText="141" w:vertAnchor="text" w:horzAnchor="margin" w:tblpY="136"/>
        <w:tblW w:w="8930" w:type="dxa"/>
        <w:tblLook w:val="04A0" w:firstRow="1" w:lastRow="0" w:firstColumn="1" w:lastColumn="0" w:noHBand="0" w:noVBand="1"/>
      </w:tblPr>
      <w:tblGrid>
        <w:gridCol w:w="3119"/>
        <w:gridCol w:w="2126"/>
        <w:gridCol w:w="3685"/>
      </w:tblGrid>
      <w:tr w:rsidR="009248FB" w14:paraId="4A72E39C" w14:textId="77777777" w:rsidTr="00DD218A">
        <w:tc>
          <w:tcPr>
            <w:tcW w:w="3119" w:type="dxa"/>
            <w:tcBorders>
              <w:top w:val="double" w:sz="4" w:space="0" w:color="auto"/>
              <w:left w:val="nil"/>
              <w:bottom w:val="single" w:sz="12" w:space="0" w:color="auto"/>
              <w:right w:val="nil"/>
            </w:tcBorders>
          </w:tcPr>
          <w:p w14:paraId="230DDBE4" w14:textId="77777777" w:rsidR="009248FB" w:rsidRDefault="009248FB" w:rsidP="00DD218A">
            <w:pPr>
              <w:rPr>
                <w:b/>
                <w:bCs/>
                <w:lang w:val="en-US"/>
              </w:rPr>
            </w:pPr>
          </w:p>
        </w:tc>
        <w:tc>
          <w:tcPr>
            <w:tcW w:w="2126" w:type="dxa"/>
            <w:tcBorders>
              <w:top w:val="double" w:sz="4" w:space="0" w:color="auto"/>
              <w:left w:val="nil"/>
              <w:bottom w:val="single" w:sz="12" w:space="0" w:color="auto"/>
              <w:right w:val="nil"/>
            </w:tcBorders>
          </w:tcPr>
          <w:p w14:paraId="65B97D69" w14:textId="77777777" w:rsidR="009248FB" w:rsidRDefault="009248FB" w:rsidP="00DD218A">
            <w:pPr>
              <w:ind w:right="601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AUC</w:t>
            </w:r>
          </w:p>
        </w:tc>
        <w:tc>
          <w:tcPr>
            <w:tcW w:w="3685" w:type="dxa"/>
            <w:tcBorders>
              <w:top w:val="double" w:sz="4" w:space="0" w:color="auto"/>
              <w:left w:val="nil"/>
              <w:bottom w:val="single" w:sz="12" w:space="0" w:color="auto"/>
              <w:right w:val="nil"/>
            </w:tcBorders>
          </w:tcPr>
          <w:p w14:paraId="180D1F35" w14:textId="77777777" w:rsidR="009248FB" w:rsidRDefault="009248FB" w:rsidP="00DD218A">
            <w:pPr>
              <w:ind w:left="-1101" w:firstLine="317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95%CI</w:t>
            </w:r>
          </w:p>
        </w:tc>
      </w:tr>
      <w:tr w:rsidR="009248FB" w14:paraId="13B17626" w14:textId="77777777" w:rsidTr="00DD218A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3492A9B8" w14:textId="77777777" w:rsidR="009248FB" w:rsidRPr="00564AEF" w:rsidRDefault="009248FB" w:rsidP="00DD218A">
            <w:pPr>
              <w:rPr>
                <w:lang w:val="en-US"/>
              </w:rPr>
            </w:pPr>
            <w:r w:rsidRPr="00564AEF">
              <w:rPr>
                <w:lang w:val="en-US"/>
              </w:rPr>
              <w:t>HSP27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7985CDB5" w14:textId="77777777" w:rsidR="009248FB" w:rsidRDefault="009248FB" w:rsidP="00DD218A">
            <w:pPr>
              <w:rPr>
                <w:b/>
                <w:bCs/>
                <w:lang w:val="en-US"/>
              </w:rPr>
            </w:pPr>
            <w:r w:rsidRPr="00E97B00">
              <w:rPr>
                <w:rFonts w:ascii="LMRoman10-Regular" w:hAnsi="LMRoman10-Regular" w:cs="LMRoman10-Regular"/>
              </w:rPr>
              <w:t>0.</w:t>
            </w:r>
            <w:r>
              <w:rPr>
                <w:rFonts w:ascii="LMRoman10-Regular" w:hAnsi="LMRoman10-Regular" w:cs="LMRoman10-Regular"/>
              </w:rPr>
              <w:t>6003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D319F1A" w14:textId="77777777" w:rsidR="009248FB" w:rsidRDefault="009248FB" w:rsidP="00DD218A">
            <w:pPr>
              <w:ind w:left="-1101"/>
              <w:jc w:val="center"/>
              <w:rPr>
                <w:b/>
                <w:bCs/>
                <w:lang w:val="en-US"/>
              </w:rPr>
            </w:pPr>
            <w:r w:rsidRPr="00E97B00">
              <w:rPr>
                <w:rFonts w:ascii="LMRoman10-Regular" w:hAnsi="LMRoman10-Regular" w:cs="LMRoman10-Regular"/>
              </w:rPr>
              <w:t>0.5052</w:t>
            </w:r>
            <w:r>
              <w:rPr>
                <w:rFonts w:ascii="LMRoman10-Regular" w:hAnsi="LMRoman10-Regular" w:cs="LMRoman10-Regular"/>
              </w:rPr>
              <w:t>-</w:t>
            </w:r>
            <w:r w:rsidRPr="008A2035">
              <w:rPr>
                <w:rFonts w:ascii="LMRoman10-Regular" w:hAnsi="LMRoman10-Regular" w:cs="LMRoman10-Regular"/>
              </w:rPr>
              <w:t>0.6954</w:t>
            </w:r>
          </w:p>
        </w:tc>
      </w:tr>
      <w:tr w:rsidR="009248FB" w14:paraId="3382C185" w14:textId="77777777" w:rsidTr="00DD218A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1A0E5125" w14:textId="77777777" w:rsidR="009248FB" w:rsidRPr="00564AEF" w:rsidRDefault="009248FB" w:rsidP="00DD218A">
            <w:pPr>
              <w:rPr>
                <w:lang w:val="en-US"/>
              </w:rPr>
            </w:pPr>
            <w:r w:rsidRPr="00564AEF">
              <w:rPr>
                <w:lang w:val="en-US"/>
              </w:rPr>
              <w:t>sST2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324BBAE7" w14:textId="77777777" w:rsidR="009248FB" w:rsidRDefault="009248FB" w:rsidP="00DD218A">
            <w:pPr>
              <w:rPr>
                <w:b/>
                <w:bCs/>
                <w:lang w:val="en-US"/>
              </w:rPr>
            </w:pPr>
            <w:r w:rsidRPr="00D054D1">
              <w:rPr>
                <w:rFonts w:ascii="LMRoman10-Regular" w:hAnsi="LMRoman10-Regular" w:cs="LMRoman10-Regular"/>
              </w:rPr>
              <w:t>0.6974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E4E0E2E" w14:textId="77777777" w:rsidR="009248FB" w:rsidRDefault="009248FB" w:rsidP="00DD218A">
            <w:pPr>
              <w:ind w:left="-1101"/>
              <w:jc w:val="center"/>
              <w:rPr>
                <w:b/>
                <w:bCs/>
                <w:lang w:val="en-US"/>
              </w:rPr>
            </w:pPr>
            <w:r w:rsidRPr="00D054D1">
              <w:rPr>
                <w:rFonts w:ascii="LMRoman10-Regular" w:hAnsi="LMRoman10-Regular" w:cs="LMRoman10-Regular"/>
              </w:rPr>
              <w:t>0.6117</w:t>
            </w:r>
            <w:r>
              <w:rPr>
                <w:rFonts w:ascii="LMRoman10-Regular" w:hAnsi="LMRoman10-Regular" w:cs="LMRoman10-Regular"/>
              </w:rPr>
              <w:t>-</w:t>
            </w:r>
            <w:r w:rsidRPr="00D054D1">
              <w:rPr>
                <w:rFonts w:ascii="LMRoman10-Regular" w:hAnsi="LMRoman10-Regular" w:cs="LMRoman10-Regular"/>
              </w:rPr>
              <w:t>0.783</w:t>
            </w:r>
            <w:r>
              <w:rPr>
                <w:rFonts w:ascii="LMRoman10-Regular" w:hAnsi="LMRoman10-Regular" w:cs="LMRoman10-Regular"/>
              </w:rPr>
              <w:t>0</w:t>
            </w:r>
          </w:p>
        </w:tc>
      </w:tr>
      <w:tr w:rsidR="009248FB" w14:paraId="4E32E116" w14:textId="77777777" w:rsidTr="00DD218A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3A46D7BE" w14:textId="77777777" w:rsidR="009248FB" w:rsidRPr="00564AEF" w:rsidRDefault="009248FB" w:rsidP="00DD218A">
            <w:pPr>
              <w:rPr>
                <w:lang w:val="en-US"/>
              </w:rPr>
            </w:pPr>
            <w:r w:rsidRPr="00564AEF">
              <w:rPr>
                <w:lang w:val="en-US"/>
              </w:rPr>
              <w:t>TNFR1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4ACF785A" w14:textId="77777777" w:rsidR="009248FB" w:rsidRDefault="009248FB" w:rsidP="00DD218A">
            <w:pPr>
              <w:rPr>
                <w:b/>
                <w:bCs/>
                <w:lang w:val="en-US"/>
              </w:rPr>
            </w:pPr>
            <w:r w:rsidRPr="00D054D1">
              <w:rPr>
                <w:rFonts w:ascii="LMRoman10-Regular" w:hAnsi="LMRoman10-Regular" w:cs="LMRoman10-Regular"/>
              </w:rPr>
              <w:t>0.5666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448F6DB" w14:textId="77777777" w:rsidR="009248FB" w:rsidRDefault="009248FB" w:rsidP="00DD218A">
            <w:pPr>
              <w:ind w:left="-1101"/>
              <w:jc w:val="center"/>
              <w:rPr>
                <w:b/>
                <w:bCs/>
                <w:lang w:val="en-US"/>
              </w:rPr>
            </w:pPr>
            <w:r w:rsidRPr="00D054D1">
              <w:rPr>
                <w:rFonts w:ascii="LMRoman10-Regular" w:hAnsi="LMRoman10-Regular" w:cs="LMRoman10-Regular"/>
              </w:rPr>
              <w:t>0.4766</w:t>
            </w:r>
            <w:r>
              <w:rPr>
                <w:rFonts w:ascii="LMRoman10-Regular" w:hAnsi="LMRoman10-Regular" w:cs="LMRoman10-Regular"/>
              </w:rPr>
              <w:t>-</w:t>
            </w:r>
            <w:r w:rsidRPr="00D054D1">
              <w:rPr>
                <w:rFonts w:ascii="LMRoman10-Regular" w:hAnsi="LMRoman10-Regular" w:cs="LMRoman10-Regular"/>
              </w:rPr>
              <w:t>0.6566</w:t>
            </w:r>
          </w:p>
        </w:tc>
      </w:tr>
      <w:tr w:rsidR="009248FB" w14:paraId="02826875" w14:textId="77777777" w:rsidTr="00DD218A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10F1E54F" w14:textId="77777777" w:rsidR="009248FB" w:rsidRPr="00564AEF" w:rsidRDefault="009248FB" w:rsidP="00DD218A">
            <w:pPr>
              <w:rPr>
                <w:lang w:val="en-US"/>
              </w:rPr>
            </w:pPr>
            <w:r w:rsidRPr="00564AEF">
              <w:rPr>
                <w:lang w:val="en-US"/>
              </w:rPr>
              <w:t>CK18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2AF6B2C9" w14:textId="77777777" w:rsidR="009248FB" w:rsidRDefault="009248FB" w:rsidP="00DD218A">
            <w:pPr>
              <w:rPr>
                <w:b/>
                <w:bCs/>
                <w:lang w:val="en-US"/>
              </w:rPr>
            </w:pPr>
            <w:r w:rsidRPr="00D054D1">
              <w:rPr>
                <w:rFonts w:ascii="LMRoman10-Regular" w:hAnsi="LMRoman10-Regular" w:cs="LMRoman10-Regular"/>
              </w:rPr>
              <w:t>0.5479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358D81" w14:textId="77777777" w:rsidR="009248FB" w:rsidRDefault="009248FB" w:rsidP="00DD218A">
            <w:pPr>
              <w:ind w:left="-1101"/>
              <w:jc w:val="center"/>
              <w:rPr>
                <w:b/>
                <w:bCs/>
                <w:lang w:val="en-US"/>
              </w:rPr>
            </w:pPr>
            <w:r w:rsidRPr="00D054D1">
              <w:rPr>
                <w:rFonts w:ascii="LMRoman10-Regular" w:hAnsi="LMRoman10-Regular" w:cs="LMRoman10-Regular"/>
              </w:rPr>
              <w:t>0.452</w:t>
            </w:r>
            <w:r>
              <w:rPr>
                <w:rFonts w:ascii="LMRoman10-Regular" w:hAnsi="LMRoman10-Regular" w:cs="LMRoman10-Regular"/>
              </w:rPr>
              <w:t>0-</w:t>
            </w:r>
            <w:r w:rsidRPr="00D054D1">
              <w:rPr>
                <w:rFonts w:ascii="LMRoman10-Regular" w:hAnsi="LMRoman10-Regular" w:cs="LMRoman10-Regular"/>
              </w:rPr>
              <w:t>0.6438</w:t>
            </w:r>
          </w:p>
        </w:tc>
      </w:tr>
      <w:tr w:rsidR="009248FB" w14:paraId="1ABF46A4" w14:textId="77777777" w:rsidTr="00DD218A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EDF4C5" w14:textId="77777777" w:rsidR="009248FB" w:rsidRPr="00564AEF" w:rsidRDefault="009248FB" w:rsidP="00DD218A">
            <w:pPr>
              <w:rPr>
                <w:lang w:val="en-US"/>
              </w:rPr>
            </w:pPr>
            <w:r>
              <w:rPr>
                <w:lang w:val="en-US"/>
              </w:rPr>
              <w:t>20S proteasome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D4001C" w14:textId="77777777" w:rsidR="009248FB" w:rsidRDefault="009248FB" w:rsidP="00DD218A">
            <w:pPr>
              <w:rPr>
                <w:b/>
                <w:bCs/>
                <w:lang w:val="en-US"/>
              </w:rPr>
            </w:pPr>
            <w:r w:rsidRPr="00D054D1">
              <w:rPr>
                <w:rFonts w:ascii="LMRoman10-Regular" w:hAnsi="LMRoman10-Regular" w:cs="LMRoman10-Regular"/>
              </w:rPr>
              <w:t>0.6149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151B25" w14:textId="77777777" w:rsidR="009248FB" w:rsidRDefault="009248FB" w:rsidP="00DD218A">
            <w:pPr>
              <w:ind w:left="-1101"/>
              <w:jc w:val="center"/>
              <w:rPr>
                <w:b/>
                <w:bCs/>
                <w:lang w:val="en-US"/>
              </w:rPr>
            </w:pPr>
            <w:r w:rsidRPr="00D054D1">
              <w:rPr>
                <w:rFonts w:ascii="LMRoman10-Regular" w:hAnsi="LMRoman10-Regular" w:cs="LMRoman10-Regular"/>
              </w:rPr>
              <w:t>0.5161</w:t>
            </w:r>
            <w:r>
              <w:rPr>
                <w:rFonts w:ascii="LMRoman10-Regular" w:hAnsi="LMRoman10-Regular" w:cs="LMRoman10-Regular"/>
              </w:rPr>
              <w:t>-</w:t>
            </w:r>
            <w:r w:rsidRPr="00D054D1">
              <w:rPr>
                <w:rFonts w:ascii="LMRoman10-Regular" w:hAnsi="LMRoman10-Regular" w:cs="LMRoman10-Regular"/>
              </w:rPr>
              <w:t>0.7136</w:t>
            </w:r>
          </w:p>
        </w:tc>
      </w:tr>
    </w:tbl>
    <w:p w14:paraId="3705C025" w14:textId="77777777" w:rsidR="009248FB" w:rsidRPr="002E5C9B" w:rsidRDefault="009248FB" w:rsidP="009248FB">
      <w:pPr>
        <w:rPr>
          <w:lang w:val="en-US"/>
        </w:rPr>
      </w:pPr>
    </w:p>
    <w:p w14:paraId="72A9189D" w14:textId="77777777" w:rsidR="009248FB" w:rsidRPr="00DD218A" w:rsidRDefault="009248FB" w:rsidP="009248FB">
      <w:pPr>
        <w:pStyle w:val="berschrift2"/>
        <w:rPr>
          <w:b w:val="0"/>
          <w:iCs/>
          <w:lang w:val="en-US"/>
        </w:rPr>
      </w:pPr>
      <w:r w:rsidRPr="00DD218A">
        <w:rPr>
          <w:bCs/>
          <w:iCs/>
          <w:lang w:val="en-US"/>
        </w:rPr>
        <w:t>Table S2</w:t>
      </w:r>
      <w:r w:rsidRPr="00DD218A">
        <w:rPr>
          <w:iCs/>
          <w:lang w:val="en-US"/>
        </w:rPr>
        <w:t xml:space="preserve"> AUC of ROC curves for the endpoint 60-</w:t>
      </w:r>
      <w:r>
        <w:rPr>
          <w:iCs/>
          <w:lang w:val="en-US"/>
        </w:rPr>
        <w:t>d</w:t>
      </w:r>
      <w:r w:rsidRPr="00DD218A">
        <w:rPr>
          <w:iCs/>
          <w:lang w:val="en-US"/>
        </w:rPr>
        <w:t>ay</w:t>
      </w:r>
      <w:r>
        <w:rPr>
          <w:iCs/>
          <w:lang w:val="en-US"/>
        </w:rPr>
        <w:t xml:space="preserve"> m</w:t>
      </w:r>
      <w:r w:rsidRPr="00DD218A">
        <w:rPr>
          <w:iCs/>
          <w:lang w:val="en-US"/>
        </w:rPr>
        <w:t>ortality of investigated parameters</w:t>
      </w:r>
    </w:p>
    <w:tbl>
      <w:tblPr>
        <w:tblStyle w:val="Tabellenraster"/>
        <w:tblpPr w:leftFromText="141" w:rightFromText="141" w:vertAnchor="text" w:horzAnchor="margin" w:tblpY="136"/>
        <w:tblW w:w="8930" w:type="dxa"/>
        <w:tblLook w:val="04A0" w:firstRow="1" w:lastRow="0" w:firstColumn="1" w:lastColumn="0" w:noHBand="0" w:noVBand="1"/>
      </w:tblPr>
      <w:tblGrid>
        <w:gridCol w:w="3119"/>
        <w:gridCol w:w="1984"/>
        <w:gridCol w:w="3827"/>
      </w:tblGrid>
      <w:tr w:rsidR="009248FB" w14:paraId="6583F302" w14:textId="77777777" w:rsidTr="00DD218A">
        <w:tc>
          <w:tcPr>
            <w:tcW w:w="3119" w:type="dxa"/>
            <w:tcBorders>
              <w:top w:val="double" w:sz="4" w:space="0" w:color="auto"/>
              <w:left w:val="nil"/>
              <w:bottom w:val="single" w:sz="12" w:space="0" w:color="auto"/>
              <w:right w:val="nil"/>
            </w:tcBorders>
          </w:tcPr>
          <w:p w14:paraId="5C2242AF" w14:textId="77777777" w:rsidR="009248FB" w:rsidRDefault="009248FB" w:rsidP="00DD218A">
            <w:pPr>
              <w:rPr>
                <w:b/>
                <w:bCs/>
                <w:lang w:val="en-US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nil"/>
              <w:bottom w:val="single" w:sz="12" w:space="0" w:color="auto"/>
              <w:right w:val="nil"/>
            </w:tcBorders>
          </w:tcPr>
          <w:p w14:paraId="296512F6" w14:textId="77777777" w:rsidR="009248FB" w:rsidRDefault="009248FB" w:rsidP="00DD218A">
            <w:pPr>
              <w:ind w:right="601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AUC</w:t>
            </w:r>
          </w:p>
        </w:tc>
        <w:tc>
          <w:tcPr>
            <w:tcW w:w="3827" w:type="dxa"/>
            <w:tcBorders>
              <w:top w:val="double" w:sz="4" w:space="0" w:color="auto"/>
              <w:left w:val="nil"/>
              <w:bottom w:val="single" w:sz="12" w:space="0" w:color="auto"/>
              <w:right w:val="nil"/>
            </w:tcBorders>
          </w:tcPr>
          <w:p w14:paraId="2595239D" w14:textId="77777777" w:rsidR="009248FB" w:rsidRDefault="009248FB" w:rsidP="00DD218A">
            <w:pPr>
              <w:ind w:left="-1101" w:firstLine="317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95%CI</w:t>
            </w:r>
          </w:p>
        </w:tc>
      </w:tr>
      <w:tr w:rsidR="009248FB" w14:paraId="55A90307" w14:textId="77777777" w:rsidTr="00DD218A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120E7DAE" w14:textId="77777777" w:rsidR="009248FB" w:rsidRPr="00564AEF" w:rsidRDefault="009248FB" w:rsidP="00DD218A">
            <w:pPr>
              <w:rPr>
                <w:lang w:val="en-US"/>
              </w:rPr>
            </w:pPr>
            <w:r w:rsidRPr="00564AEF">
              <w:rPr>
                <w:lang w:val="en-US"/>
              </w:rPr>
              <w:t>HSP27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50F8298B" w14:textId="77777777" w:rsidR="009248FB" w:rsidRDefault="009248FB" w:rsidP="00DD218A">
            <w:pPr>
              <w:rPr>
                <w:b/>
                <w:bCs/>
                <w:lang w:val="en-US"/>
              </w:rPr>
            </w:pPr>
            <w:r w:rsidRPr="001C5EC1">
              <w:rPr>
                <w:rFonts w:ascii="LMRoman10-Regular" w:hAnsi="LMRoman10-Regular" w:cs="LMRoman10-Regular"/>
              </w:rPr>
              <w:t xml:space="preserve">0.5963 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14:paraId="5B5E8F36" w14:textId="77777777" w:rsidR="009248FB" w:rsidRDefault="009248FB" w:rsidP="00DD218A">
            <w:pPr>
              <w:ind w:left="-1101"/>
              <w:jc w:val="center"/>
              <w:rPr>
                <w:b/>
                <w:bCs/>
                <w:lang w:val="en-US"/>
              </w:rPr>
            </w:pPr>
            <w:r w:rsidRPr="001C5EC1">
              <w:rPr>
                <w:rFonts w:ascii="LMRoman10-Regular" w:hAnsi="LMRoman10-Regular" w:cs="LMRoman10-Regular"/>
              </w:rPr>
              <w:t>0.5091-0.6836</w:t>
            </w:r>
          </w:p>
        </w:tc>
      </w:tr>
      <w:tr w:rsidR="009248FB" w14:paraId="549923C4" w14:textId="77777777" w:rsidTr="00DD218A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4FE5F969" w14:textId="77777777" w:rsidR="009248FB" w:rsidRPr="00564AEF" w:rsidRDefault="009248FB" w:rsidP="00DD218A">
            <w:pPr>
              <w:rPr>
                <w:lang w:val="en-US"/>
              </w:rPr>
            </w:pPr>
            <w:r w:rsidRPr="00564AEF">
              <w:rPr>
                <w:lang w:val="en-US"/>
              </w:rPr>
              <w:t>sST2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449E1121" w14:textId="77777777" w:rsidR="009248FB" w:rsidRDefault="009248FB" w:rsidP="00DD218A">
            <w:pPr>
              <w:rPr>
                <w:b/>
                <w:bCs/>
                <w:lang w:val="en-US"/>
              </w:rPr>
            </w:pPr>
            <w:r w:rsidRPr="001C5EC1">
              <w:rPr>
                <w:rFonts w:ascii="LMRoman10-Regular" w:hAnsi="LMRoman10-Regular" w:cs="LMRoman10-Regular"/>
              </w:rPr>
              <w:t xml:space="preserve">0.6710 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14:paraId="7F03EC9C" w14:textId="77777777" w:rsidR="009248FB" w:rsidRDefault="009248FB" w:rsidP="00DD218A">
            <w:pPr>
              <w:ind w:left="-1101"/>
              <w:jc w:val="center"/>
              <w:rPr>
                <w:b/>
                <w:bCs/>
                <w:lang w:val="en-US"/>
              </w:rPr>
            </w:pPr>
            <w:r w:rsidRPr="001C5EC1">
              <w:rPr>
                <w:rFonts w:ascii="LMRoman10-Regular" w:hAnsi="LMRoman10-Regular" w:cs="LMRoman10-Regular"/>
              </w:rPr>
              <w:t>0.5834-0.7586</w:t>
            </w:r>
          </w:p>
        </w:tc>
      </w:tr>
      <w:tr w:rsidR="009248FB" w14:paraId="3D0CB7B9" w14:textId="77777777" w:rsidTr="00DD218A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11FE033A" w14:textId="77777777" w:rsidR="009248FB" w:rsidRPr="00564AEF" w:rsidRDefault="009248FB" w:rsidP="00DD218A">
            <w:pPr>
              <w:rPr>
                <w:lang w:val="en-US"/>
              </w:rPr>
            </w:pPr>
            <w:r w:rsidRPr="00564AEF">
              <w:rPr>
                <w:lang w:val="en-US"/>
              </w:rPr>
              <w:t>TNFR1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58CE868F" w14:textId="77777777" w:rsidR="009248FB" w:rsidRDefault="009248FB" w:rsidP="00DD218A">
            <w:pPr>
              <w:rPr>
                <w:b/>
                <w:bCs/>
                <w:lang w:val="en-US"/>
              </w:rPr>
            </w:pPr>
            <w:r w:rsidRPr="001C5EC1">
              <w:rPr>
                <w:rFonts w:ascii="LMRoman10-Regular" w:hAnsi="LMRoman10-Regular" w:cs="LMRoman10-Regular"/>
              </w:rPr>
              <w:t xml:space="preserve">0.5634 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14:paraId="060D0886" w14:textId="77777777" w:rsidR="009248FB" w:rsidRDefault="009248FB" w:rsidP="00DD218A">
            <w:pPr>
              <w:ind w:left="-1101"/>
              <w:jc w:val="center"/>
              <w:rPr>
                <w:b/>
                <w:bCs/>
                <w:lang w:val="en-US"/>
              </w:rPr>
            </w:pPr>
            <w:r w:rsidRPr="001C5EC1">
              <w:rPr>
                <w:rFonts w:ascii="LMRoman10-Regular" w:hAnsi="LMRoman10-Regular" w:cs="LMRoman10-Regular"/>
              </w:rPr>
              <w:t>0.4739-0.6528</w:t>
            </w:r>
          </w:p>
        </w:tc>
      </w:tr>
      <w:tr w:rsidR="009248FB" w14:paraId="09052FA0" w14:textId="77777777" w:rsidTr="00DD218A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2BF11325" w14:textId="77777777" w:rsidR="009248FB" w:rsidRPr="00564AEF" w:rsidRDefault="009248FB" w:rsidP="00DD218A">
            <w:pPr>
              <w:rPr>
                <w:lang w:val="en-US"/>
              </w:rPr>
            </w:pPr>
            <w:r w:rsidRPr="00564AEF">
              <w:rPr>
                <w:lang w:val="en-US"/>
              </w:rPr>
              <w:t>CK18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5A782B3C" w14:textId="77777777" w:rsidR="009248FB" w:rsidRDefault="009248FB" w:rsidP="00DD218A">
            <w:pPr>
              <w:rPr>
                <w:b/>
                <w:bCs/>
                <w:lang w:val="en-US"/>
              </w:rPr>
            </w:pPr>
            <w:r w:rsidRPr="001C5EC1">
              <w:rPr>
                <w:rFonts w:ascii="LMRoman10-Regular" w:hAnsi="LMRoman10-Regular" w:cs="LMRoman10-Regular"/>
              </w:rPr>
              <w:t xml:space="preserve">0.5464 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14:paraId="4F1F90DC" w14:textId="77777777" w:rsidR="009248FB" w:rsidRDefault="009248FB" w:rsidP="00DD218A">
            <w:pPr>
              <w:ind w:left="-1101"/>
              <w:jc w:val="center"/>
              <w:rPr>
                <w:b/>
                <w:bCs/>
                <w:lang w:val="en-US"/>
              </w:rPr>
            </w:pPr>
            <w:r w:rsidRPr="001C5EC1">
              <w:rPr>
                <w:rFonts w:ascii="LMRoman10-Regular" w:hAnsi="LMRoman10-Regular" w:cs="LMRoman10-Regular"/>
              </w:rPr>
              <w:t>0.4581-0.6348</w:t>
            </w:r>
          </w:p>
        </w:tc>
      </w:tr>
      <w:tr w:rsidR="009248FB" w14:paraId="3A35F729" w14:textId="77777777" w:rsidTr="00DD218A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00CF97" w14:textId="77777777" w:rsidR="009248FB" w:rsidRPr="00564AEF" w:rsidRDefault="009248FB" w:rsidP="00DD218A">
            <w:pPr>
              <w:rPr>
                <w:lang w:val="en-US"/>
              </w:rPr>
            </w:pPr>
            <w:r>
              <w:rPr>
                <w:lang w:val="en-US"/>
              </w:rPr>
              <w:t>20S proteasome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288BC0" w14:textId="77777777" w:rsidR="009248FB" w:rsidRDefault="009248FB" w:rsidP="00DD218A">
            <w:pPr>
              <w:rPr>
                <w:b/>
                <w:bCs/>
                <w:lang w:val="en-US"/>
              </w:rPr>
            </w:pPr>
            <w:r w:rsidRPr="001C5EC1">
              <w:rPr>
                <w:rFonts w:ascii="LMRoman10-Regular" w:hAnsi="LMRoman10-Regular" w:cs="LMRoman10-Regular"/>
              </w:rPr>
              <w:t xml:space="preserve">0.6046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8631EB" w14:textId="77777777" w:rsidR="009248FB" w:rsidRDefault="009248FB" w:rsidP="00DD218A">
            <w:pPr>
              <w:ind w:left="-1101"/>
              <w:jc w:val="center"/>
              <w:rPr>
                <w:b/>
                <w:bCs/>
                <w:lang w:val="en-US"/>
              </w:rPr>
            </w:pPr>
            <w:r w:rsidRPr="001C5EC1">
              <w:rPr>
                <w:rFonts w:ascii="LMRoman10-Regular" w:hAnsi="LMRoman10-Regular" w:cs="LMRoman10-Regular"/>
              </w:rPr>
              <w:t>0.5131-0.6962</w:t>
            </w:r>
          </w:p>
        </w:tc>
      </w:tr>
    </w:tbl>
    <w:p w14:paraId="4357C439" w14:textId="77777777" w:rsidR="009248FB" w:rsidRPr="00C10866" w:rsidRDefault="009248FB" w:rsidP="009248FB">
      <w:pPr>
        <w:rPr>
          <w:lang w:val="en-US"/>
        </w:rPr>
      </w:pPr>
    </w:p>
    <w:p w14:paraId="190FA0DE" w14:textId="77777777" w:rsidR="009248FB" w:rsidRPr="00DD218A" w:rsidRDefault="009248FB" w:rsidP="009248FB">
      <w:pPr>
        <w:pStyle w:val="berschrift2"/>
        <w:rPr>
          <w:b w:val="0"/>
          <w:bCs/>
          <w:iCs/>
          <w:lang w:val="en-US"/>
        </w:rPr>
      </w:pPr>
      <w:r w:rsidRPr="00DD218A">
        <w:rPr>
          <w:bCs/>
          <w:iCs/>
          <w:lang w:val="en-US"/>
        </w:rPr>
        <w:t>Table S3</w:t>
      </w:r>
      <w:r w:rsidRPr="00DD218A">
        <w:rPr>
          <w:iCs/>
          <w:lang w:val="en-US"/>
        </w:rPr>
        <w:t xml:space="preserve"> </w:t>
      </w:r>
      <w:r w:rsidRPr="00DD218A">
        <w:rPr>
          <w:bCs/>
          <w:iCs/>
          <w:lang w:val="en-US"/>
        </w:rPr>
        <w:t>AUC of ROC curves for the endpoint 90-</w:t>
      </w:r>
      <w:r>
        <w:rPr>
          <w:bCs/>
          <w:iCs/>
          <w:lang w:val="en-US"/>
        </w:rPr>
        <w:t>d</w:t>
      </w:r>
      <w:r w:rsidRPr="00DD218A">
        <w:rPr>
          <w:bCs/>
          <w:iCs/>
          <w:lang w:val="en-US"/>
        </w:rPr>
        <w:t>ay</w:t>
      </w:r>
      <w:r>
        <w:rPr>
          <w:bCs/>
          <w:iCs/>
          <w:lang w:val="en-US"/>
        </w:rPr>
        <w:t xml:space="preserve"> m</w:t>
      </w:r>
      <w:r w:rsidRPr="00DD218A">
        <w:rPr>
          <w:bCs/>
          <w:iCs/>
          <w:lang w:val="en-US"/>
        </w:rPr>
        <w:t>ortality of investigated parameters</w:t>
      </w:r>
    </w:p>
    <w:tbl>
      <w:tblPr>
        <w:tblStyle w:val="Tabellenraster"/>
        <w:tblpPr w:leftFromText="141" w:rightFromText="141" w:vertAnchor="text" w:horzAnchor="margin" w:tblpY="136"/>
        <w:tblW w:w="8930" w:type="dxa"/>
        <w:tblLook w:val="04A0" w:firstRow="1" w:lastRow="0" w:firstColumn="1" w:lastColumn="0" w:noHBand="0" w:noVBand="1"/>
      </w:tblPr>
      <w:tblGrid>
        <w:gridCol w:w="3119"/>
        <w:gridCol w:w="1984"/>
        <w:gridCol w:w="3827"/>
      </w:tblGrid>
      <w:tr w:rsidR="009248FB" w14:paraId="33AD8EF4" w14:textId="77777777" w:rsidTr="00DD218A">
        <w:tc>
          <w:tcPr>
            <w:tcW w:w="3119" w:type="dxa"/>
            <w:tcBorders>
              <w:top w:val="double" w:sz="4" w:space="0" w:color="auto"/>
              <w:left w:val="nil"/>
              <w:bottom w:val="single" w:sz="12" w:space="0" w:color="auto"/>
              <w:right w:val="nil"/>
            </w:tcBorders>
          </w:tcPr>
          <w:p w14:paraId="079B162E" w14:textId="77777777" w:rsidR="009248FB" w:rsidRDefault="009248FB" w:rsidP="00DD218A">
            <w:pPr>
              <w:rPr>
                <w:b/>
                <w:bCs/>
                <w:lang w:val="en-US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nil"/>
              <w:bottom w:val="single" w:sz="12" w:space="0" w:color="auto"/>
              <w:right w:val="nil"/>
            </w:tcBorders>
          </w:tcPr>
          <w:p w14:paraId="63AE98A8" w14:textId="77777777" w:rsidR="009248FB" w:rsidRDefault="009248FB" w:rsidP="00DD218A">
            <w:pPr>
              <w:ind w:right="601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AUC</w:t>
            </w:r>
          </w:p>
        </w:tc>
        <w:tc>
          <w:tcPr>
            <w:tcW w:w="3827" w:type="dxa"/>
            <w:tcBorders>
              <w:top w:val="double" w:sz="4" w:space="0" w:color="auto"/>
              <w:left w:val="nil"/>
              <w:bottom w:val="single" w:sz="12" w:space="0" w:color="auto"/>
              <w:right w:val="nil"/>
            </w:tcBorders>
          </w:tcPr>
          <w:p w14:paraId="3C235CD8" w14:textId="77777777" w:rsidR="009248FB" w:rsidRDefault="009248FB" w:rsidP="00DD218A">
            <w:pPr>
              <w:ind w:left="-1101" w:firstLine="317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95%CI</w:t>
            </w:r>
          </w:p>
        </w:tc>
      </w:tr>
      <w:tr w:rsidR="009248FB" w14:paraId="6683781A" w14:textId="77777777" w:rsidTr="00DD218A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2452013B" w14:textId="77777777" w:rsidR="009248FB" w:rsidRPr="00564AEF" w:rsidRDefault="009248FB" w:rsidP="00DD218A">
            <w:pPr>
              <w:rPr>
                <w:lang w:val="en-US"/>
              </w:rPr>
            </w:pPr>
            <w:r w:rsidRPr="00564AEF">
              <w:rPr>
                <w:lang w:val="en-US"/>
              </w:rPr>
              <w:t>HSP27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7905FF0F" w14:textId="77777777" w:rsidR="009248FB" w:rsidRDefault="009248FB" w:rsidP="00DD218A">
            <w:pPr>
              <w:rPr>
                <w:b/>
                <w:bCs/>
                <w:lang w:val="en-US"/>
              </w:rPr>
            </w:pPr>
            <w:r w:rsidRPr="001C5EC1">
              <w:rPr>
                <w:rFonts w:ascii="LMRoman10-Regular" w:hAnsi="LMRoman10-Regular" w:cs="LMRoman10-Regular"/>
                <w:lang w:val="en-US"/>
              </w:rPr>
              <w:t xml:space="preserve">0.6055 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14:paraId="7616DF5A" w14:textId="77777777" w:rsidR="009248FB" w:rsidRDefault="009248FB" w:rsidP="00DD218A">
            <w:pPr>
              <w:ind w:left="-1101"/>
              <w:jc w:val="center"/>
              <w:rPr>
                <w:b/>
                <w:bCs/>
                <w:lang w:val="en-US"/>
              </w:rPr>
            </w:pPr>
            <w:r w:rsidRPr="001C5EC1">
              <w:rPr>
                <w:rFonts w:ascii="LMRoman10-Regular" w:hAnsi="LMRoman10-Regular" w:cs="LMRoman10-Regular"/>
                <w:lang w:val="en-US"/>
              </w:rPr>
              <w:t>0.5178-0.6933</w:t>
            </w:r>
          </w:p>
        </w:tc>
      </w:tr>
      <w:tr w:rsidR="009248FB" w14:paraId="0BDA154D" w14:textId="77777777" w:rsidTr="00DD218A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5CA379C0" w14:textId="77777777" w:rsidR="009248FB" w:rsidRPr="00564AEF" w:rsidRDefault="009248FB" w:rsidP="00DD218A">
            <w:pPr>
              <w:rPr>
                <w:lang w:val="en-US"/>
              </w:rPr>
            </w:pPr>
            <w:r w:rsidRPr="00564AEF">
              <w:rPr>
                <w:lang w:val="en-US"/>
              </w:rPr>
              <w:t>sST2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0682A1B5" w14:textId="77777777" w:rsidR="009248FB" w:rsidRDefault="009248FB" w:rsidP="00DD218A">
            <w:pPr>
              <w:rPr>
                <w:b/>
                <w:bCs/>
                <w:lang w:val="en-US"/>
              </w:rPr>
            </w:pPr>
            <w:r w:rsidRPr="001C5EC1">
              <w:rPr>
                <w:rFonts w:ascii="LMRoman10-Regular" w:hAnsi="LMRoman10-Regular" w:cs="LMRoman10-Regular"/>
                <w:lang w:val="en-US"/>
              </w:rPr>
              <w:t xml:space="preserve">0.6750 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14:paraId="5C823FE5" w14:textId="77777777" w:rsidR="009248FB" w:rsidRDefault="009248FB" w:rsidP="00DD218A">
            <w:pPr>
              <w:ind w:left="-1101"/>
              <w:jc w:val="center"/>
              <w:rPr>
                <w:b/>
                <w:bCs/>
                <w:lang w:val="en-US"/>
              </w:rPr>
            </w:pPr>
            <w:r w:rsidRPr="001C5EC1">
              <w:rPr>
                <w:rFonts w:ascii="LMRoman10-Regular" w:hAnsi="LMRoman10-Regular" w:cs="LMRoman10-Regular"/>
                <w:lang w:val="en-US"/>
              </w:rPr>
              <w:t>0.5871-0.7628</w:t>
            </w:r>
          </w:p>
        </w:tc>
      </w:tr>
      <w:tr w:rsidR="009248FB" w14:paraId="10F09606" w14:textId="77777777" w:rsidTr="00DD218A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486FEE09" w14:textId="77777777" w:rsidR="009248FB" w:rsidRPr="00564AEF" w:rsidRDefault="009248FB" w:rsidP="00DD218A">
            <w:pPr>
              <w:rPr>
                <w:lang w:val="en-US"/>
              </w:rPr>
            </w:pPr>
            <w:r w:rsidRPr="00564AEF">
              <w:rPr>
                <w:lang w:val="en-US"/>
              </w:rPr>
              <w:t>TNFR1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090B988E" w14:textId="77777777" w:rsidR="009248FB" w:rsidRDefault="009248FB" w:rsidP="00DD218A">
            <w:pPr>
              <w:rPr>
                <w:b/>
                <w:bCs/>
                <w:lang w:val="en-US"/>
              </w:rPr>
            </w:pPr>
            <w:r w:rsidRPr="001C5EC1">
              <w:rPr>
                <w:rFonts w:ascii="LMRoman10-Regular" w:hAnsi="LMRoman10-Regular" w:cs="LMRoman10-Regular"/>
                <w:lang w:val="en-US"/>
              </w:rPr>
              <w:t>0.5740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14:paraId="1CE8256D" w14:textId="77777777" w:rsidR="009248FB" w:rsidRDefault="009248FB" w:rsidP="00DD218A">
            <w:pPr>
              <w:ind w:left="-1101"/>
              <w:jc w:val="center"/>
              <w:rPr>
                <w:b/>
                <w:bCs/>
                <w:lang w:val="en-US"/>
              </w:rPr>
            </w:pPr>
            <w:r w:rsidRPr="001C5EC1">
              <w:rPr>
                <w:rFonts w:ascii="LMRoman10-Regular" w:hAnsi="LMRoman10-Regular" w:cs="LMRoman10-Regular"/>
                <w:lang w:val="en-US"/>
              </w:rPr>
              <w:t>0.4828-0.6651</w:t>
            </w:r>
          </w:p>
        </w:tc>
      </w:tr>
      <w:tr w:rsidR="009248FB" w14:paraId="72052995" w14:textId="77777777" w:rsidTr="00DD218A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78B82C55" w14:textId="77777777" w:rsidR="009248FB" w:rsidRPr="00564AEF" w:rsidRDefault="009248FB" w:rsidP="00DD218A">
            <w:pPr>
              <w:rPr>
                <w:lang w:val="en-US"/>
              </w:rPr>
            </w:pPr>
            <w:r w:rsidRPr="00564AEF">
              <w:rPr>
                <w:lang w:val="en-US"/>
              </w:rPr>
              <w:t>CK18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4C89B602" w14:textId="77777777" w:rsidR="009248FB" w:rsidRDefault="009248FB" w:rsidP="00DD218A">
            <w:pPr>
              <w:rPr>
                <w:b/>
                <w:bCs/>
                <w:lang w:val="en-US"/>
              </w:rPr>
            </w:pPr>
            <w:r w:rsidRPr="001C5EC1">
              <w:rPr>
                <w:rFonts w:ascii="LMRoman10-Regular" w:hAnsi="LMRoman10-Regular" w:cs="LMRoman10-Regular"/>
                <w:lang w:val="en-US"/>
              </w:rPr>
              <w:t>0.5459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14:paraId="5A1851C0" w14:textId="77777777" w:rsidR="009248FB" w:rsidRDefault="009248FB" w:rsidP="00DD218A">
            <w:pPr>
              <w:ind w:left="-1101"/>
              <w:jc w:val="center"/>
              <w:rPr>
                <w:b/>
                <w:bCs/>
                <w:lang w:val="en-US"/>
              </w:rPr>
            </w:pPr>
            <w:r w:rsidRPr="001C5EC1">
              <w:rPr>
                <w:rFonts w:ascii="LMRoman10-Regular" w:hAnsi="LMRoman10-Regular" w:cs="LMRoman10-Regular"/>
                <w:lang w:val="en-US"/>
              </w:rPr>
              <w:t>0.4567-0.6352</w:t>
            </w:r>
          </w:p>
        </w:tc>
      </w:tr>
      <w:tr w:rsidR="009248FB" w14:paraId="385054AB" w14:textId="77777777" w:rsidTr="00DD218A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193C7A" w14:textId="77777777" w:rsidR="009248FB" w:rsidRPr="00564AEF" w:rsidRDefault="009248FB" w:rsidP="00DD218A">
            <w:pPr>
              <w:rPr>
                <w:lang w:val="en-US"/>
              </w:rPr>
            </w:pPr>
            <w:r>
              <w:rPr>
                <w:lang w:val="en-US"/>
              </w:rPr>
              <w:t>20S proteasome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31FE32" w14:textId="77777777" w:rsidR="009248FB" w:rsidRDefault="009248FB" w:rsidP="00DD218A">
            <w:pPr>
              <w:rPr>
                <w:b/>
                <w:bCs/>
                <w:lang w:val="en-US"/>
              </w:rPr>
            </w:pPr>
            <w:r w:rsidRPr="001C5EC1">
              <w:rPr>
                <w:rFonts w:ascii="LMRoman10-Regular" w:hAnsi="LMRoman10-Regular" w:cs="LMRoman10-Regular"/>
                <w:lang w:val="en-US"/>
              </w:rPr>
              <w:t xml:space="preserve">0.5875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F190E3" w14:textId="77777777" w:rsidR="009248FB" w:rsidRDefault="009248FB" w:rsidP="00DD218A">
            <w:pPr>
              <w:ind w:left="-1101"/>
              <w:jc w:val="center"/>
              <w:rPr>
                <w:b/>
                <w:bCs/>
                <w:lang w:val="en-US"/>
              </w:rPr>
            </w:pPr>
            <w:r w:rsidRPr="001C5EC1">
              <w:rPr>
                <w:rFonts w:ascii="LMRoman10-Regular" w:hAnsi="LMRoman10-Regular" w:cs="LMRoman10-Regular"/>
                <w:lang w:val="en-US"/>
              </w:rPr>
              <w:t>0.4935-0.6815</w:t>
            </w:r>
          </w:p>
        </w:tc>
      </w:tr>
    </w:tbl>
    <w:p w14:paraId="7CCCF5DD" w14:textId="77777777" w:rsidR="009248FB" w:rsidRPr="00C10866" w:rsidRDefault="009248FB" w:rsidP="009248FB">
      <w:pPr>
        <w:rPr>
          <w:lang w:val="en-US"/>
        </w:rPr>
      </w:pPr>
    </w:p>
    <w:p w14:paraId="5E012601" w14:textId="77777777" w:rsidR="009248FB" w:rsidRPr="00DD218A" w:rsidRDefault="009248FB" w:rsidP="009248FB">
      <w:pPr>
        <w:pStyle w:val="berschrift2"/>
        <w:rPr>
          <w:b w:val="0"/>
          <w:bCs/>
          <w:iCs/>
          <w:lang w:val="en-US"/>
        </w:rPr>
      </w:pPr>
      <w:r w:rsidRPr="00DD218A">
        <w:rPr>
          <w:bCs/>
          <w:iCs/>
          <w:lang w:val="en-US"/>
        </w:rPr>
        <w:t>Table S4</w:t>
      </w:r>
      <w:r w:rsidRPr="00DD218A">
        <w:rPr>
          <w:iCs/>
          <w:lang w:val="en-US"/>
        </w:rPr>
        <w:t xml:space="preserve"> </w:t>
      </w:r>
      <w:r w:rsidRPr="00DD218A">
        <w:rPr>
          <w:bCs/>
          <w:iCs/>
          <w:lang w:val="en-US"/>
        </w:rPr>
        <w:t xml:space="preserve">AUC of ROC curves for the endpoint </w:t>
      </w:r>
      <w:r>
        <w:rPr>
          <w:bCs/>
          <w:iCs/>
          <w:lang w:val="en-US"/>
        </w:rPr>
        <w:t>i</w:t>
      </w:r>
      <w:r w:rsidRPr="00DD218A">
        <w:rPr>
          <w:bCs/>
          <w:iCs/>
          <w:lang w:val="en-US"/>
        </w:rPr>
        <w:t>n</w:t>
      </w:r>
      <w:r>
        <w:rPr>
          <w:bCs/>
          <w:iCs/>
          <w:lang w:val="en-US"/>
        </w:rPr>
        <w:t>-h</w:t>
      </w:r>
      <w:r w:rsidRPr="00DD218A">
        <w:rPr>
          <w:bCs/>
          <w:iCs/>
          <w:lang w:val="en-US"/>
        </w:rPr>
        <w:t xml:space="preserve">ospital </w:t>
      </w:r>
      <w:r>
        <w:rPr>
          <w:bCs/>
          <w:iCs/>
          <w:lang w:val="en-US"/>
        </w:rPr>
        <w:t>m</w:t>
      </w:r>
      <w:r w:rsidRPr="00DD218A">
        <w:rPr>
          <w:bCs/>
          <w:iCs/>
          <w:lang w:val="en-US"/>
        </w:rPr>
        <w:t>ortality of investigated parameters</w:t>
      </w:r>
    </w:p>
    <w:tbl>
      <w:tblPr>
        <w:tblStyle w:val="Tabellenraster"/>
        <w:tblpPr w:leftFromText="141" w:rightFromText="141" w:vertAnchor="text" w:horzAnchor="margin" w:tblpY="136"/>
        <w:tblW w:w="8930" w:type="dxa"/>
        <w:tblLook w:val="04A0" w:firstRow="1" w:lastRow="0" w:firstColumn="1" w:lastColumn="0" w:noHBand="0" w:noVBand="1"/>
      </w:tblPr>
      <w:tblGrid>
        <w:gridCol w:w="3119"/>
        <w:gridCol w:w="1984"/>
        <w:gridCol w:w="3827"/>
      </w:tblGrid>
      <w:tr w:rsidR="009248FB" w14:paraId="0051E001" w14:textId="77777777" w:rsidTr="00DD218A">
        <w:tc>
          <w:tcPr>
            <w:tcW w:w="3119" w:type="dxa"/>
            <w:tcBorders>
              <w:top w:val="double" w:sz="4" w:space="0" w:color="auto"/>
              <w:left w:val="nil"/>
              <w:bottom w:val="single" w:sz="12" w:space="0" w:color="auto"/>
              <w:right w:val="nil"/>
            </w:tcBorders>
          </w:tcPr>
          <w:p w14:paraId="6D1BE4FA" w14:textId="77777777" w:rsidR="009248FB" w:rsidRDefault="009248FB" w:rsidP="00DD218A">
            <w:pPr>
              <w:rPr>
                <w:b/>
                <w:bCs/>
                <w:lang w:val="en-US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nil"/>
              <w:bottom w:val="single" w:sz="12" w:space="0" w:color="auto"/>
              <w:right w:val="nil"/>
            </w:tcBorders>
          </w:tcPr>
          <w:p w14:paraId="622C4B3F" w14:textId="77777777" w:rsidR="009248FB" w:rsidRDefault="009248FB" w:rsidP="00DD218A">
            <w:pPr>
              <w:ind w:right="601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AUC</w:t>
            </w:r>
          </w:p>
        </w:tc>
        <w:tc>
          <w:tcPr>
            <w:tcW w:w="3827" w:type="dxa"/>
            <w:tcBorders>
              <w:top w:val="double" w:sz="4" w:space="0" w:color="auto"/>
              <w:left w:val="nil"/>
              <w:bottom w:val="single" w:sz="12" w:space="0" w:color="auto"/>
              <w:right w:val="nil"/>
            </w:tcBorders>
          </w:tcPr>
          <w:p w14:paraId="584F969D" w14:textId="77777777" w:rsidR="009248FB" w:rsidRDefault="009248FB" w:rsidP="00DD218A">
            <w:pPr>
              <w:ind w:left="-1101" w:firstLine="317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95%CI</w:t>
            </w:r>
          </w:p>
        </w:tc>
      </w:tr>
      <w:tr w:rsidR="009248FB" w14:paraId="056BE948" w14:textId="77777777" w:rsidTr="00DD218A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600B271B" w14:textId="77777777" w:rsidR="009248FB" w:rsidRPr="00564AEF" w:rsidRDefault="009248FB" w:rsidP="00DD218A">
            <w:pPr>
              <w:rPr>
                <w:lang w:val="en-US"/>
              </w:rPr>
            </w:pPr>
            <w:r w:rsidRPr="00564AEF">
              <w:rPr>
                <w:lang w:val="en-US"/>
              </w:rPr>
              <w:t>HSP27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26E81F1D" w14:textId="77777777" w:rsidR="009248FB" w:rsidRDefault="009248FB" w:rsidP="00DD218A">
            <w:pPr>
              <w:rPr>
                <w:b/>
                <w:bCs/>
                <w:lang w:val="en-US"/>
              </w:rPr>
            </w:pPr>
            <w:r w:rsidRPr="00C54DBC">
              <w:rPr>
                <w:rFonts w:ascii="LMRoman10-Regular" w:hAnsi="LMRoman10-Regular" w:cs="LMRoman10-Regular"/>
                <w:lang w:val="en-US"/>
              </w:rPr>
              <w:t xml:space="preserve">0.5909 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14:paraId="31FE5767" w14:textId="77777777" w:rsidR="009248FB" w:rsidRDefault="009248FB" w:rsidP="00DD218A">
            <w:pPr>
              <w:ind w:left="-1101"/>
              <w:jc w:val="center"/>
              <w:rPr>
                <w:b/>
                <w:bCs/>
                <w:lang w:val="en-US"/>
              </w:rPr>
            </w:pPr>
            <w:r w:rsidRPr="00C54DBC">
              <w:rPr>
                <w:rFonts w:ascii="LMRoman10-Regular" w:hAnsi="LMRoman10-Regular" w:cs="LMRoman10-Regular"/>
                <w:lang w:val="en-US"/>
              </w:rPr>
              <w:t>0.4928-0.689</w:t>
            </w:r>
            <w:r>
              <w:rPr>
                <w:rFonts w:ascii="LMRoman10-Regular" w:hAnsi="LMRoman10-Regular" w:cs="LMRoman10-Regular"/>
                <w:lang w:val="en-US"/>
              </w:rPr>
              <w:t>0</w:t>
            </w:r>
          </w:p>
        </w:tc>
      </w:tr>
      <w:tr w:rsidR="009248FB" w14:paraId="0B98944F" w14:textId="77777777" w:rsidTr="00DD218A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17E120FD" w14:textId="77777777" w:rsidR="009248FB" w:rsidRPr="00564AEF" w:rsidRDefault="009248FB" w:rsidP="00DD218A">
            <w:pPr>
              <w:rPr>
                <w:lang w:val="en-US"/>
              </w:rPr>
            </w:pPr>
            <w:r w:rsidRPr="00564AEF">
              <w:rPr>
                <w:lang w:val="en-US"/>
              </w:rPr>
              <w:t>sST2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32BB355F" w14:textId="77777777" w:rsidR="009248FB" w:rsidRDefault="009248FB" w:rsidP="00DD218A">
            <w:pPr>
              <w:rPr>
                <w:b/>
                <w:bCs/>
                <w:lang w:val="en-US"/>
              </w:rPr>
            </w:pPr>
            <w:r w:rsidRPr="00C54DBC">
              <w:rPr>
                <w:rFonts w:ascii="LMRoman10-Regular" w:hAnsi="LMRoman10-Regular" w:cs="LMRoman10-Regular"/>
                <w:lang w:val="en-US"/>
              </w:rPr>
              <w:t xml:space="preserve">0.7292 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14:paraId="52FB3E79" w14:textId="77777777" w:rsidR="009248FB" w:rsidRDefault="009248FB" w:rsidP="00DD218A">
            <w:pPr>
              <w:ind w:left="-1101"/>
              <w:jc w:val="center"/>
              <w:rPr>
                <w:b/>
                <w:bCs/>
                <w:lang w:val="en-US"/>
              </w:rPr>
            </w:pPr>
            <w:r w:rsidRPr="00C54DBC">
              <w:rPr>
                <w:rFonts w:ascii="LMRoman10-Regular" w:hAnsi="LMRoman10-Regular" w:cs="LMRoman10-Regular"/>
                <w:lang w:val="en-US"/>
              </w:rPr>
              <w:t>0.6476-0.8108</w:t>
            </w:r>
          </w:p>
        </w:tc>
      </w:tr>
      <w:tr w:rsidR="009248FB" w14:paraId="18BF2664" w14:textId="77777777" w:rsidTr="00DD218A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777E40D6" w14:textId="77777777" w:rsidR="009248FB" w:rsidRPr="00564AEF" w:rsidRDefault="009248FB" w:rsidP="00DD218A">
            <w:pPr>
              <w:rPr>
                <w:lang w:val="en-US"/>
              </w:rPr>
            </w:pPr>
            <w:r w:rsidRPr="00564AEF">
              <w:rPr>
                <w:lang w:val="en-US"/>
              </w:rPr>
              <w:t>TNFR1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418A3D0A" w14:textId="77777777" w:rsidR="009248FB" w:rsidRDefault="009248FB" w:rsidP="00DD218A">
            <w:pPr>
              <w:rPr>
                <w:b/>
                <w:bCs/>
                <w:lang w:val="en-US"/>
              </w:rPr>
            </w:pPr>
            <w:r w:rsidRPr="00C54DBC">
              <w:rPr>
                <w:rFonts w:ascii="LMRoman10-Regular" w:hAnsi="LMRoman10-Regular" w:cs="LMRoman10-Regular"/>
                <w:lang w:val="en-US"/>
              </w:rPr>
              <w:t xml:space="preserve">0.5705 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14:paraId="6F5486AA" w14:textId="77777777" w:rsidR="009248FB" w:rsidRDefault="009248FB" w:rsidP="00DD218A">
            <w:pPr>
              <w:ind w:left="-1101"/>
              <w:jc w:val="center"/>
              <w:rPr>
                <w:b/>
                <w:bCs/>
                <w:lang w:val="en-US"/>
              </w:rPr>
            </w:pPr>
            <w:r w:rsidRPr="00C54DBC">
              <w:rPr>
                <w:rFonts w:ascii="LMRoman10-Regular" w:hAnsi="LMRoman10-Regular" w:cs="LMRoman10-Regular"/>
                <w:lang w:val="en-US"/>
              </w:rPr>
              <w:t>0.4761-0.665</w:t>
            </w:r>
            <w:r>
              <w:rPr>
                <w:rFonts w:ascii="LMRoman10-Regular" w:hAnsi="LMRoman10-Regular" w:cs="LMRoman10-Regular"/>
                <w:lang w:val="en-US"/>
              </w:rPr>
              <w:t>0</w:t>
            </w:r>
          </w:p>
        </w:tc>
      </w:tr>
      <w:tr w:rsidR="009248FB" w14:paraId="42A49E02" w14:textId="77777777" w:rsidTr="00DD218A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78307CE7" w14:textId="77777777" w:rsidR="009248FB" w:rsidRPr="00564AEF" w:rsidRDefault="009248FB" w:rsidP="00DD218A">
            <w:pPr>
              <w:rPr>
                <w:lang w:val="en-US"/>
              </w:rPr>
            </w:pPr>
            <w:r w:rsidRPr="00564AEF">
              <w:rPr>
                <w:lang w:val="en-US"/>
              </w:rPr>
              <w:t>CK18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77349B0F" w14:textId="77777777" w:rsidR="009248FB" w:rsidRDefault="009248FB" w:rsidP="00DD218A">
            <w:pPr>
              <w:rPr>
                <w:b/>
                <w:bCs/>
                <w:lang w:val="en-US"/>
              </w:rPr>
            </w:pPr>
            <w:r w:rsidRPr="00C54DBC">
              <w:rPr>
                <w:rFonts w:ascii="LMRoman10-Regular" w:hAnsi="LMRoman10-Regular" w:cs="LMRoman10-Regular"/>
                <w:lang w:val="en-US"/>
              </w:rPr>
              <w:t xml:space="preserve">0.5907 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14:paraId="382D7314" w14:textId="77777777" w:rsidR="009248FB" w:rsidRDefault="009248FB" w:rsidP="00DD218A">
            <w:pPr>
              <w:ind w:left="-1101"/>
              <w:jc w:val="center"/>
              <w:rPr>
                <w:b/>
                <w:bCs/>
                <w:lang w:val="en-US"/>
              </w:rPr>
            </w:pPr>
            <w:r w:rsidRPr="00C54DBC">
              <w:rPr>
                <w:rFonts w:ascii="LMRoman10-Regular" w:hAnsi="LMRoman10-Regular" w:cs="LMRoman10-Regular"/>
                <w:lang w:val="en-US"/>
              </w:rPr>
              <w:t>0.4935-0.6879</w:t>
            </w:r>
          </w:p>
        </w:tc>
      </w:tr>
      <w:tr w:rsidR="009248FB" w14:paraId="246E5369" w14:textId="77777777" w:rsidTr="00DD218A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4E811A" w14:textId="77777777" w:rsidR="009248FB" w:rsidRPr="00564AEF" w:rsidRDefault="009248FB" w:rsidP="00DD218A">
            <w:pPr>
              <w:rPr>
                <w:lang w:val="en-US"/>
              </w:rPr>
            </w:pPr>
            <w:r>
              <w:rPr>
                <w:lang w:val="en-US"/>
              </w:rPr>
              <w:t>20S proteasome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BB9C23" w14:textId="77777777" w:rsidR="009248FB" w:rsidRDefault="009248FB" w:rsidP="00DD218A">
            <w:pPr>
              <w:rPr>
                <w:b/>
                <w:bCs/>
                <w:lang w:val="en-US"/>
              </w:rPr>
            </w:pPr>
            <w:r w:rsidRPr="00C54DBC">
              <w:rPr>
                <w:rFonts w:ascii="LMRoman10-Regular" w:hAnsi="LMRoman10-Regular" w:cs="LMRoman10-Regular"/>
                <w:lang w:val="en-US"/>
              </w:rPr>
              <w:t>0.6610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61AE74" w14:textId="77777777" w:rsidR="009248FB" w:rsidRDefault="009248FB" w:rsidP="00DD218A">
            <w:pPr>
              <w:ind w:left="-1101"/>
              <w:jc w:val="center"/>
              <w:rPr>
                <w:b/>
                <w:bCs/>
                <w:lang w:val="en-US"/>
              </w:rPr>
            </w:pPr>
            <w:r w:rsidRPr="00C54DBC">
              <w:rPr>
                <w:rFonts w:ascii="LMRoman10-Regular" w:hAnsi="LMRoman10-Regular" w:cs="LMRoman10-Regular"/>
                <w:lang w:val="en-US"/>
              </w:rPr>
              <w:t>0.5656-0.7565</w:t>
            </w:r>
          </w:p>
        </w:tc>
      </w:tr>
    </w:tbl>
    <w:p w14:paraId="6D91C479" w14:textId="77777777" w:rsidR="00CB37B5" w:rsidRPr="003C7765" w:rsidRDefault="00CB37B5" w:rsidP="003C7765">
      <w:pPr>
        <w:rPr>
          <w:b/>
        </w:rPr>
      </w:pPr>
    </w:p>
    <w:sectPr w:rsidR="00CB37B5" w:rsidRPr="003C776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MRoman10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83E"/>
    <w:rsid w:val="00014337"/>
    <w:rsid w:val="00056417"/>
    <w:rsid w:val="0005735C"/>
    <w:rsid w:val="000B41A7"/>
    <w:rsid w:val="000B763D"/>
    <w:rsid w:val="000D7FBC"/>
    <w:rsid w:val="000E7298"/>
    <w:rsid w:val="001448C7"/>
    <w:rsid w:val="001944FD"/>
    <w:rsid w:val="001D27BE"/>
    <w:rsid w:val="00205388"/>
    <w:rsid w:val="00227DB1"/>
    <w:rsid w:val="002425AA"/>
    <w:rsid w:val="0025067C"/>
    <w:rsid w:val="00266175"/>
    <w:rsid w:val="002C1BFD"/>
    <w:rsid w:val="002E5C9B"/>
    <w:rsid w:val="003564DF"/>
    <w:rsid w:val="003C7765"/>
    <w:rsid w:val="003D0AF3"/>
    <w:rsid w:val="003D0B56"/>
    <w:rsid w:val="003D6B49"/>
    <w:rsid w:val="003E221A"/>
    <w:rsid w:val="00400729"/>
    <w:rsid w:val="00442F6D"/>
    <w:rsid w:val="004757B0"/>
    <w:rsid w:val="004D2978"/>
    <w:rsid w:val="004D533A"/>
    <w:rsid w:val="0050701C"/>
    <w:rsid w:val="005224D5"/>
    <w:rsid w:val="00532155"/>
    <w:rsid w:val="00541536"/>
    <w:rsid w:val="0054262C"/>
    <w:rsid w:val="00554ECE"/>
    <w:rsid w:val="0056001A"/>
    <w:rsid w:val="00575B4F"/>
    <w:rsid w:val="00634E88"/>
    <w:rsid w:val="006424BF"/>
    <w:rsid w:val="00642B53"/>
    <w:rsid w:val="006845C9"/>
    <w:rsid w:val="00703957"/>
    <w:rsid w:val="00714D7B"/>
    <w:rsid w:val="00715518"/>
    <w:rsid w:val="00735425"/>
    <w:rsid w:val="00751E75"/>
    <w:rsid w:val="007738C6"/>
    <w:rsid w:val="00793340"/>
    <w:rsid w:val="00795F60"/>
    <w:rsid w:val="007A5089"/>
    <w:rsid w:val="007A5558"/>
    <w:rsid w:val="007A77D9"/>
    <w:rsid w:val="007C5F42"/>
    <w:rsid w:val="008123CE"/>
    <w:rsid w:val="00860311"/>
    <w:rsid w:val="00877E1D"/>
    <w:rsid w:val="008A2035"/>
    <w:rsid w:val="008E625B"/>
    <w:rsid w:val="009222C6"/>
    <w:rsid w:val="009248FB"/>
    <w:rsid w:val="00933506"/>
    <w:rsid w:val="00965F0C"/>
    <w:rsid w:val="00975265"/>
    <w:rsid w:val="009970E5"/>
    <w:rsid w:val="009D1663"/>
    <w:rsid w:val="00A07087"/>
    <w:rsid w:val="00AD483E"/>
    <w:rsid w:val="00B33851"/>
    <w:rsid w:val="00B64CC3"/>
    <w:rsid w:val="00C04F1E"/>
    <w:rsid w:val="00C10866"/>
    <w:rsid w:val="00C13C0A"/>
    <w:rsid w:val="00C32BFB"/>
    <w:rsid w:val="00C5272B"/>
    <w:rsid w:val="00C53C8C"/>
    <w:rsid w:val="00CB37B5"/>
    <w:rsid w:val="00D03A51"/>
    <w:rsid w:val="00D151F2"/>
    <w:rsid w:val="00D616A3"/>
    <w:rsid w:val="00D82539"/>
    <w:rsid w:val="00DA52B8"/>
    <w:rsid w:val="00DB4718"/>
    <w:rsid w:val="00DD3A7F"/>
    <w:rsid w:val="00E537DD"/>
    <w:rsid w:val="00E60276"/>
    <w:rsid w:val="00EF4AE0"/>
    <w:rsid w:val="00F17BD6"/>
    <w:rsid w:val="00F7669F"/>
    <w:rsid w:val="00F76983"/>
    <w:rsid w:val="00FA2B3E"/>
    <w:rsid w:val="00FC2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E4BB9"/>
  <w15:chartTrackingRefBased/>
  <w15:docId w15:val="{C9F20CD6-8C03-4EB3-8363-52D53DCC5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D483E"/>
    <w:rPr>
      <w:rFonts w:ascii="Times New Roman" w:hAnsi="Times New Roman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D483E"/>
    <w:pPr>
      <w:keepNext/>
      <w:keepLines/>
      <w:spacing w:before="240" w:after="0"/>
      <w:outlineLvl w:val="0"/>
    </w:pPr>
    <w:rPr>
      <w:rFonts w:eastAsiaTheme="majorEastAsia" w:cstheme="majorBidi"/>
      <w:b/>
      <w:sz w:val="24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AD483E"/>
    <w:pPr>
      <w:keepNext/>
      <w:keepLines/>
      <w:spacing w:before="40" w:after="0"/>
      <w:outlineLvl w:val="1"/>
    </w:pPr>
    <w:rPr>
      <w:rFonts w:eastAsiaTheme="majorEastAsia" w:cstheme="majorBidi"/>
      <w:b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SchwacheHervorhebung">
    <w:name w:val="Subtle Emphasis"/>
    <w:basedOn w:val="Absatz-Standardschriftart"/>
    <w:uiPriority w:val="19"/>
    <w:qFormat/>
    <w:rsid w:val="00AD483E"/>
    <w:rPr>
      <w:rFonts w:ascii="Times New Roman" w:hAnsi="Times New Roman"/>
      <w:i w:val="0"/>
      <w:iCs/>
      <w:color w:val="404040" w:themeColor="text1" w:themeTint="BF"/>
      <w:sz w:val="20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AD483E"/>
    <w:rPr>
      <w:rFonts w:ascii="Times New Roman" w:eastAsiaTheme="majorEastAsia" w:hAnsi="Times New Roman" w:cstheme="majorBidi"/>
      <w:b/>
      <w:sz w:val="24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AD483E"/>
    <w:rPr>
      <w:rFonts w:ascii="Times New Roman" w:eastAsiaTheme="majorEastAsia" w:hAnsi="Times New Roman" w:cstheme="majorBidi"/>
      <w:b/>
      <w:sz w:val="20"/>
      <w:szCs w:val="26"/>
    </w:rPr>
  </w:style>
  <w:style w:type="table" w:styleId="Tabellenraster">
    <w:name w:val="Table Grid"/>
    <w:basedOn w:val="NormaleTabelle"/>
    <w:uiPriority w:val="39"/>
    <w:rsid w:val="00642B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443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Marie-Therese Lingitz</dc:creator>
  <cp:keywords/>
  <dc:description/>
  <cp:lastModifiedBy>Marie-Therese Lingitz</cp:lastModifiedBy>
  <cp:revision>9</cp:revision>
  <dcterms:created xsi:type="dcterms:W3CDTF">2021-08-12T15:18:00Z</dcterms:created>
  <dcterms:modified xsi:type="dcterms:W3CDTF">2021-08-17T13:17:00Z</dcterms:modified>
</cp:coreProperties>
</file>