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4FB9" w14:textId="66500C94" w:rsidR="00DC204B" w:rsidRPr="00351CC0" w:rsidRDefault="00DC204B" w:rsidP="00DC204B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  <w:t xml:space="preserve">   </w:t>
      </w:r>
      <w:r w:rsidRPr="00351CC0">
        <w:rPr>
          <w:rFonts w:ascii="Times New Roman" w:hAnsi="Times New Roman" w:cs="Times New Roman"/>
          <w:b/>
          <w:sz w:val="28"/>
          <w:szCs w:val="28"/>
          <w:lang w:val="en-GB"/>
        </w:rPr>
        <w:t>Supporting information</w:t>
      </w:r>
    </w:p>
    <w:p w14:paraId="1E173C9C" w14:textId="77777777" w:rsidR="00DC204B" w:rsidRPr="001600E4" w:rsidRDefault="00DC204B" w:rsidP="00DC204B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7AF805C" w14:textId="77777777" w:rsidR="00DC204B" w:rsidRDefault="00DC204B" w:rsidP="00DC204B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2DC31DF" w14:textId="77777777" w:rsidR="00DC204B" w:rsidRDefault="00DC204B" w:rsidP="00DC204B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47219CB" w14:textId="77777777" w:rsidR="00DC204B" w:rsidRDefault="00DC204B" w:rsidP="00DC204B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8545C28" w14:textId="77777777" w:rsidR="00DC204B" w:rsidRDefault="00DC204B" w:rsidP="00DC204B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7605B74" w14:textId="77777777" w:rsidR="00DC204B" w:rsidRDefault="00DC204B" w:rsidP="00DC204B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6A11A5B" w14:textId="77777777" w:rsidR="00DC204B" w:rsidRPr="001600E4" w:rsidRDefault="00DC204B" w:rsidP="00DC204B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D7CC4CA" w14:textId="77777777" w:rsidR="00DC204B" w:rsidRPr="001600E4" w:rsidRDefault="00DC204B" w:rsidP="00DC204B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1600E4">
        <w:rPr>
          <w:rFonts w:ascii="Times New Roman" w:hAnsi="Times New Roman" w:cs="Times New Roman"/>
          <w:b/>
          <w:sz w:val="28"/>
          <w:szCs w:val="28"/>
          <w:lang w:val="en-GB"/>
        </w:rPr>
        <w:t>Dissecting the innate immunological effect of mild hyperthermia in U87 human glioblastoma cells</w:t>
      </w:r>
    </w:p>
    <w:p w14:paraId="769647E8" w14:textId="77777777" w:rsidR="00DC204B" w:rsidRPr="001600E4" w:rsidRDefault="00DC204B" w:rsidP="00DC204B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7E5E542" w14:textId="77777777" w:rsidR="002C3088" w:rsidRPr="002C3088" w:rsidRDefault="002C3088" w:rsidP="002C3088">
      <w:pPr>
        <w:jc w:val="both"/>
        <w:rPr>
          <w:rFonts w:ascii="Calibri" w:eastAsia="Calibri" w:hAnsi="Calibri" w:cs="Calibri"/>
          <w:bCs/>
          <w:lang w:val="it-IT"/>
        </w:rPr>
      </w:pPr>
      <w:r w:rsidRPr="002C3088">
        <w:rPr>
          <w:rFonts w:ascii="Times New Roman" w:eastAsia="Calibri" w:hAnsi="Times New Roman" w:cs="Times New Roman"/>
          <w:bCs/>
          <w:lang w:val="it-IT"/>
        </w:rPr>
        <w:t>Stefano Persano</w:t>
      </w:r>
      <w:r w:rsidRPr="002C3088">
        <w:rPr>
          <w:rFonts w:ascii="Times New Roman" w:eastAsia="Calibri" w:hAnsi="Times New Roman" w:cs="Times New Roman"/>
          <w:bCs/>
          <w:vertAlign w:val="superscript"/>
          <w:lang w:val="it-IT"/>
        </w:rPr>
        <w:t>1,*</w:t>
      </w:r>
      <w:r w:rsidRPr="002C3088">
        <w:rPr>
          <w:rFonts w:ascii="Times New Roman" w:eastAsia="Calibri" w:hAnsi="Times New Roman" w:cs="Times New Roman"/>
          <w:bCs/>
          <w:lang w:val="it-IT"/>
        </w:rPr>
        <w:t>, Francesco Vicini</w:t>
      </w:r>
      <w:r w:rsidRPr="002C3088">
        <w:rPr>
          <w:rFonts w:ascii="Times New Roman" w:eastAsia="Calibri" w:hAnsi="Times New Roman" w:cs="Times New Roman"/>
          <w:bCs/>
          <w:vertAlign w:val="superscript"/>
          <w:lang w:val="it-IT"/>
        </w:rPr>
        <w:t>1</w:t>
      </w:r>
      <w:r w:rsidRPr="002C3088">
        <w:rPr>
          <w:rFonts w:ascii="Times New Roman" w:eastAsia="Calibri" w:hAnsi="Times New Roman" w:cs="Times New Roman"/>
          <w:bCs/>
          <w:lang w:val="it-IT"/>
        </w:rPr>
        <w:t>, Alessandro Poggi</w:t>
      </w:r>
      <w:r w:rsidRPr="002C3088">
        <w:rPr>
          <w:rFonts w:ascii="Times New Roman" w:eastAsia="Calibri" w:hAnsi="Times New Roman" w:cs="Times New Roman"/>
          <w:bCs/>
          <w:vertAlign w:val="superscript"/>
          <w:lang w:val="it-IT"/>
        </w:rPr>
        <w:t>2</w:t>
      </w:r>
      <w:r w:rsidRPr="002C3088">
        <w:rPr>
          <w:rFonts w:ascii="Times New Roman" w:eastAsia="Calibri" w:hAnsi="Times New Roman" w:cs="Times New Roman"/>
          <w:bCs/>
          <w:lang w:val="it-IT"/>
        </w:rPr>
        <w:t>, Maria L Guevara</w:t>
      </w:r>
      <w:r w:rsidRPr="002C3088">
        <w:rPr>
          <w:rFonts w:ascii="Times New Roman" w:eastAsia="Calibri" w:hAnsi="Times New Roman" w:cs="Times New Roman"/>
          <w:bCs/>
          <w:vertAlign w:val="superscript"/>
          <w:lang w:val="it-IT"/>
        </w:rPr>
        <w:t>3</w:t>
      </w:r>
      <w:r w:rsidRPr="002C3088">
        <w:rPr>
          <w:rFonts w:ascii="Times New Roman" w:eastAsia="Calibri" w:hAnsi="Times New Roman" w:cs="Times New Roman"/>
          <w:bCs/>
          <w:lang w:val="it-IT"/>
        </w:rPr>
        <w:t>, Leonardo Jordi Castrillo Fernandez</w:t>
      </w:r>
      <w:r w:rsidRPr="002C3088">
        <w:rPr>
          <w:rFonts w:ascii="Times New Roman" w:eastAsia="Calibri" w:hAnsi="Times New Roman" w:cs="Times New Roman"/>
          <w:bCs/>
          <w:vertAlign w:val="superscript"/>
          <w:lang w:val="it-IT"/>
        </w:rPr>
        <w:t>2</w:t>
      </w:r>
      <w:r w:rsidRPr="002C3088">
        <w:rPr>
          <w:rFonts w:ascii="Times New Roman" w:eastAsia="Calibri" w:hAnsi="Times New Roman" w:cs="Times New Roman"/>
          <w:bCs/>
          <w:lang w:val="it-IT"/>
        </w:rPr>
        <w:t>, Giusy Maria Rita Rizzo</w:t>
      </w:r>
      <w:r w:rsidRPr="002C3088">
        <w:rPr>
          <w:rFonts w:ascii="Times New Roman" w:eastAsia="Calibri" w:hAnsi="Times New Roman" w:cs="Times New Roman"/>
          <w:bCs/>
          <w:vertAlign w:val="superscript"/>
          <w:lang w:val="it-IT"/>
        </w:rPr>
        <w:t>1</w:t>
      </w:r>
      <w:r w:rsidRPr="002C3088">
        <w:rPr>
          <w:rFonts w:ascii="Times New Roman" w:eastAsia="Calibri" w:hAnsi="Times New Roman" w:cs="Times New Roman"/>
          <w:bCs/>
          <w:lang w:val="it-IT"/>
        </w:rPr>
        <w:t>, Helena Gavilán</w:t>
      </w:r>
      <w:r w:rsidRPr="002C3088">
        <w:rPr>
          <w:rFonts w:ascii="Times New Roman" w:eastAsia="Calibri" w:hAnsi="Times New Roman" w:cs="Times New Roman"/>
          <w:bCs/>
          <w:vertAlign w:val="superscript"/>
          <w:lang w:val="it-IT"/>
        </w:rPr>
        <w:t>1</w:t>
      </w:r>
      <w:r w:rsidRPr="002C3088">
        <w:rPr>
          <w:rFonts w:ascii="Times New Roman" w:eastAsia="Calibri" w:hAnsi="Times New Roman" w:cs="Times New Roman"/>
          <w:bCs/>
          <w:lang w:val="it-IT"/>
        </w:rPr>
        <w:t>, Niccolo Silvestri</w:t>
      </w:r>
      <w:r w:rsidRPr="002C3088">
        <w:rPr>
          <w:rFonts w:ascii="Times New Roman" w:eastAsia="Calibri" w:hAnsi="Times New Roman" w:cs="Times New Roman"/>
          <w:bCs/>
          <w:vertAlign w:val="superscript"/>
          <w:lang w:val="it-IT"/>
        </w:rPr>
        <w:t>1</w:t>
      </w:r>
      <w:r w:rsidRPr="002C3088">
        <w:rPr>
          <w:rFonts w:ascii="Times New Roman" w:eastAsia="Calibri" w:hAnsi="Times New Roman" w:cs="Times New Roman"/>
          <w:bCs/>
          <w:lang w:val="it-IT"/>
        </w:rPr>
        <w:t>, and Teresa Pellegrino</w:t>
      </w:r>
      <w:r w:rsidRPr="002C3088">
        <w:rPr>
          <w:rFonts w:ascii="Times New Roman" w:eastAsia="Calibri" w:hAnsi="Times New Roman" w:cs="Times New Roman"/>
          <w:bCs/>
          <w:vertAlign w:val="superscript"/>
          <w:lang w:val="it-IT"/>
        </w:rPr>
        <w:t>1,*</w:t>
      </w:r>
    </w:p>
    <w:p w14:paraId="1998B6C6" w14:textId="77777777" w:rsidR="002C3088" w:rsidRPr="002C3088" w:rsidRDefault="002C3088" w:rsidP="002C3088">
      <w:pPr>
        <w:spacing w:after="0"/>
        <w:ind w:left="90" w:hanging="90"/>
        <w:jc w:val="both"/>
        <w:rPr>
          <w:rFonts w:ascii="Times New Roman" w:eastAsia="Calibri" w:hAnsi="Times New Roman" w:cs="Times New Roman"/>
          <w:lang w:val="it-IT"/>
        </w:rPr>
      </w:pPr>
      <w:r w:rsidRPr="002C3088">
        <w:rPr>
          <w:rFonts w:ascii="Times New Roman" w:eastAsia="Calibri" w:hAnsi="Times New Roman" w:cs="Times New Roman"/>
          <w:vertAlign w:val="superscript"/>
          <w:lang w:val="it-IT"/>
        </w:rPr>
        <w:t>1</w:t>
      </w:r>
      <w:r w:rsidRPr="002C3088">
        <w:rPr>
          <w:rFonts w:ascii="Times New Roman" w:eastAsia="Calibri" w:hAnsi="Times New Roman" w:cs="Times New Roman"/>
          <w:lang w:val="it-IT"/>
        </w:rPr>
        <w:tab/>
        <w:t>Nanomaterials for Biomedical Applications Department, Istituto Italiano di Tecnologia (IIT), via Morego 30, 16163 Genoa, Italy.</w:t>
      </w:r>
    </w:p>
    <w:p w14:paraId="12A87A56" w14:textId="77777777" w:rsidR="002C3088" w:rsidRPr="002C3088" w:rsidRDefault="002C3088" w:rsidP="002C3088">
      <w:pPr>
        <w:spacing w:after="0"/>
        <w:ind w:left="90" w:hanging="90"/>
        <w:jc w:val="both"/>
        <w:rPr>
          <w:rFonts w:ascii="Times New Roman" w:eastAsia="Calibri" w:hAnsi="Times New Roman" w:cs="Times New Roman"/>
          <w:lang w:val="it-IT"/>
        </w:rPr>
      </w:pPr>
      <w:r w:rsidRPr="002C3088">
        <w:rPr>
          <w:rFonts w:ascii="Times New Roman" w:eastAsia="Calibri" w:hAnsi="Times New Roman" w:cs="Times New Roman"/>
          <w:vertAlign w:val="superscript"/>
          <w:lang w:val="it-IT"/>
        </w:rPr>
        <w:t xml:space="preserve">2 </w:t>
      </w:r>
      <w:r w:rsidRPr="002C3088">
        <w:rPr>
          <w:rFonts w:ascii="Times New Roman" w:eastAsia="Calibri" w:hAnsi="Times New Roman" w:cs="Times New Roman"/>
          <w:lang w:val="it-IT"/>
        </w:rPr>
        <w:t>Molecular Oncology and Angiogenesis Unit, IRCCS Ospedale Policlinico San Martino, 16132 Genoa, Italy.</w:t>
      </w:r>
    </w:p>
    <w:p w14:paraId="6469F5C1" w14:textId="77777777" w:rsidR="002C3088" w:rsidRPr="002C3088" w:rsidRDefault="002C3088" w:rsidP="002C3088">
      <w:pPr>
        <w:spacing w:after="0"/>
        <w:ind w:left="90" w:hanging="90"/>
        <w:jc w:val="both"/>
        <w:rPr>
          <w:rFonts w:ascii="Times New Roman" w:eastAsia="Calibri" w:hAnsi="Times New Roman" w:cs="Times New Roman"/>
          <w:lang w:val="it-IT"/>
        </w:rPr>
      </w:pPr>
      <w:r w:rsidRPr="002C3088">
        <w:rPr>
          <w:rFonts w:ascii="Times New Roman" w:eastAsia="Calibri" w:hAnsi="Times New Roman" w:cs="Times New Roman"/>
          <w:vertAlign w:val="superscript"/>
          <w:lang w:val="it-IT"/>
        </w:rPr>
        <w:t>3</w:t>
      </w:r>
      <w:r w:rsidRPr="002C3088">
        <w:rPr>
          <w:rFonts w:ascii="Times New Roman" w:eastAsia="Calibri" w:hAnsi="Times New Roman" w:cs="Times New Roman"/>
          <w:lang w:val="it-IT"/>
        </w:rPr>
        <w:t xml:space="preserve"> Department of Experimental Medicine (DIMES), University of Genoa, 16132 Genoa, Italy.</w:t>
      </w:r>
    </w:p>
    <w:p w14:paraId="4D947047" w14:textId="77777777" w:rsidR="00DC204B" w:rsidRPr="00656B61" w:rsidRDefault="00DC204B" w:rsidP="00DC204B">
      <w:pPr>
        <w:ind w:left="90" w:hanging="90"/>
        <w:jc w:val="both"/>
        <w:rPr>
          <w:rFonts w:ascii="Times New Roman" w:hAnsi="Times New Roman" w:cs="Times New Roman"/>
          <w:vertAlign w:val="superscript"/>
          <w:lang w:val="it-IT"/>
        </w:rPr>
      </w:pPr>
    </w:p>
    <w:p w14:paraId="52A41FFF" w14:textId="77777777" w:rsidR="00DC204B" w:rsidRPr="001600E4" w:rsidRDefault="00DC204B" w:rsidP="00DC204B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600E4">
        <w:rPr>
          <w:rFonts w:ascii="Times New Roman" w:hAnsi="Times New Roman" w:cs="Times New Roman"/>
          <w:lang w:val="en-GB"/>
        </w:rPr>
        <w:t xml:space="preserve">* Co-corresponding authors: e-mail: </w:t>
      </w:r>
      <w:hyperlink r:id="rId6" w:history="1">
        <w:r w:rsidRPr="001600E4">
          <w:rPr>
            <w:rStyle w:val="Hyperlink"/>
            <w:rFonts w:ascii="Times New Roman" w:hAnsi="Times New Roman" w:cs="Times New Roman"/>
            <w:lang w:val="en-GB"/>
          </w:rPr>
          <w:t>stefano.persano@iit.it</w:t>
        </w:r>
      </w:hyperlink>
      <w:r w:rsidRPr="001600E4">
        <w:rPr>
          <w:rFonts w:ascii="Times New Roman" w:hAnsi="Times New Roman" w:cs="Times New Roman"/>
          <w:lang w:val="en-GB"/>
        </w:rPr>
        <w:t xml:space="preserve">; e-mail: </w:t>
      </w:r>
      <w:hyperlink r:id="rId7" w:history="1">
        <w:r w:rsidRPr="001600E4">
          <w:rPr>
            <w:rStyle w:val="Hyperlink"/>
            <w:rFonts w:ascii="Times New Roman" w:hAnsi="Times New Roman" w:cs="Times New Roman"/>
            <w:lang w:val="en-GB"/>
          </w:rPr>
          <w:t>teresa.pellegrino@iit.it</w:t>
        </w:r>
      </w:hyperlink>
    </w:p>
    <w:p w14:paraId="7D6C490F" w14:textId="77777777" w:rsidR="00DC204B" w:rsidRPr="001600E4" w:rsidRDefault="00DC204B" w:rsidP="00DC204B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E3BB2F8" w14:textId="77777777" w:rsidR="00DC204B" w:rsidRPr="001600E4" w:rsidRDefault="00DC204B" w:rsidP="00DC204B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34DAAF0" w14:textId="77777777" w:rsidR="00DC204B" w:rsidRPr="001600E4" w:rsidRDefault="00DC204B" w:rsidP="00DC204B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5A380AC" w14:textId="77777777" w:rsidR="00DC204B" w:rsidRPr="001600E4" w:rsidRDefault="00DC204B" w:rsidP="00DC204B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C8C04E7" w14:textId="77777777" w:rsidR="00DC204B" w:rsidRDefault="00DC204B" w:rsidP="00DC204B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2A4D128" w14:textId="77777777" w:rsidR="00DC204B" w:rsidRDefault="00DC204B" w:rsidP="00DC204B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7F8D10F" w14:textId="77777777" w:rsidR="00DC204B" w:rsidRPr="001600E4" w:rsidRDefault="00DC204B" w:rsidP="00DC204B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41A5B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10026135" wp14:editId="4657F416">
            <wp:extent cx="5595631" cy="3329796"/>
            <wp:effectExtent l="0" t="0" r="5080" b="0"/>
            <wp:docPr id="19" name="Picture 19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Chart, histo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139" cy="3334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790B15" w14:textId="77777777" w:rsidR="00DC204B" w:rsidRPr="001600E4" w:rsidRDefault="00DC204B" w:rsidP="00DC204B">
      <w:p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1600E4">
        <w:rPr>
          <w:rFonts w:ascii="Times New Roman" w:hAnsi="Times New Roman" w:cs="Times New Roman"/>
          <w:b/>
          <w:sz w:val="18"/>
          <w:szCs w:val="18"/>
          <w:lang w:val="en-GB"/>
        </w:rPr>
        <w:t>Figure S1.</w:t>
      </w:r>
      <w:r w:rsidRPr="001600E4">
        <w:rPr>
          <w:rFonts w:ascii="Times New Roman" w:hAnsi="Times New Roman" w:cs="Times New Roman"/>
          <w:sz w:val="18"/>
          <w:szCs w:val="18"/>
          <w:lang w:val="en-GB"/>
        </w:rPr>
        <w:t xml:space="preserve"> Histogram of size distribution and Gaussian fitting curve of IONC-GA-PEG </w:t>
      </w:r>
      <w:proofErr w:type="spellStart"/>
      <w:r w:rsidRPr="001600E4">
        <w:rPr>
          <w:rFonts w:ascii="Times New Roman" w:hAnsi="Times New Roman" w:cs="Times New Roman"/>
          <w:sz w:val="18"/>
          <w:szCs w:val="18"/>
          <w:lang w:val="en-GB"/>
        </w:rPr>
        <w:t>analyzed</w:t>
      </w:r>
      <w:proofErr w:type="spellEnd"/>
      <w:r w:rsidRPr="001600E4">
        <w:rPr>
          <w:rFonts w:ascii="Times New Roman" w:hAnsi="Times New Roman" w:cs="Times New Roman"/>
          <w:sz w:val="18"/>
          <w:szCs w:val="18"/>
          <w:lang w:val="en-GB"/>
        </w:rPr>
        <w:t xml:space="preserve"> by TEM.</w:t>
      </w:r>
    </w:p>
    <w:p w14:paraId="41AB0E47" w14:textId="77777777" w:rsidR="00DC204B" w:rsidRPr="001600E4" w:rsidRDefault="00DC204B" w:rsidP="00DC204B">
      <w:pPr>
        <w:jc w:val="both"/>
        <w:rPr>
          <w:rFonts w:ascii="Times New Roman" w:hAnsi="Times New Roman" w:cs="Times New Roman"/>
          <w:b/>
          <w:lang w:val="en-GB"/>
        </w:rPr>
      </w:pPr>
    </w:p>
    <w:p w14:paraId="5A4F97FA" w14:textId="77777777" w:rsidR="00DC204B" w:rsidRPr="001600E4" w:rsidRDefault="00DC204B" w:rsidP="00DC204B">
      <w:pPr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 w14:paraId="3A863806" w14:textId="77777777" w:rsidR="00DC204B" w:rsidRPr="001600E4" w:rsidRDefault="00DC204B" w:rsidP="00DC204B">
      <w:p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641A5B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373BD4EC" wp14:editId="0D642EEA">
            <wp:extent cx="4666593" cy="3442708"/>
            <wp:effectExtent l="0" t="0" r="0" b="0"/>
            <wp:docPr id="20" name="Picture 20" descr="A picture containing red, traffic light, las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red, traffic light, las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584" cy="3450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200EBA" w14:textId="77777777" w:rsidR="00DC204B" w:rsidRPr="001600E4" w:rsidRDefault="00DC204B" w:rsidP="00DC204B">
      <w:pPr>
        <w:jc w:val="both"/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1600E4">
        <w:rPr>
          <w:rFonts w:ascii="Times New Roman" w:hAnsi="Times New Roman" w:cs="Times New Roman"/>
          <w:b/>
          <w:sz w:val="18"/>
          <w:szCs w:val="18"/>
          <w:lang w:val="en-GB"/>
        </w:rPr>
        <w:t xml:space="preserve">Figure S2. </w:t>
      </w:r>
      <w:r w:rsidRPr="001600E4">
        <w:rPr>
          <w:rFonts w:ascii="Times New Roman" w:hAnsi="Times New Roman" w:cs="Times New Roman"/>
          <w:sz w:val="18"/>
          <w:szCs w:val="18"/>
          <w:lang w:val="en-GB"/>
        </w:rPr>
        <w:t>SAR values of IONC-GA-PEG at frequencies of 100</w:t>
      </w:r>
      <w:r>
        <w:rPr>
          <w:rFonts w:ascii="Times New Roman" w:hAnsi="Times New Roman" w:cs="Times New Roman"/>
          <w:sz w:val="18"/>
          <w:szCs w:val="18"/>
          <w:lang w:val="en-GB"/>
        </w:rPr>
        <w:t xml:space="preserve"> (red triangles)</w:t>
      </w:r>
      <w:r w:rsidRPr="001600E4">
        <w:rPr>
          <w:rFonts w:ascii="Times New Roman" w:hAnsi="Times New Roman" w:cs="Times New Roman"/>
          <w:sz w:val="18"/>
          <w:szCs w:val="18"/>
          <w:lang w:val="en-GB"/>
        </w:rPr>
        <w:t xml:space="preserve"> and 300</w:t>
      </w:r>
      <w:r>
        <w:rPr>
          <w:rFonts w:ascii="Times New Roman" w:hAnsi="Times New Roman" w:cs="Times New Roman"/>
          <w:sz w:val="18"/>
          <w:szCs w:val="18"/>
          <w:lang w:val="en-GB"/>
        </w:rPr>
        <w:t xml:space="preserve"> (blue triangles)</w:t>
      </w:r>
      <w:r w:rsidRPr="001600E4">
        <w:rPr>
          <w:rFonts w:ascii="Times New Roman" w:hAnsi="Times New Roman" w:cs="Times New Roman"/>
          <w:sz w:val="18"/>
          <w:szCs w:val="18"/>
          <w:lang w:val="en-GB"/>
        </w:rPr>
        <w:t xml:space="preserve"> kHz, and</w:t>
      </w:r>
      <w:r>
        <w:rPr>
          <w:rFonts w:ascii="Times New Roman" w:hAnsi="Times New Roman" w:cs="Times New Roman"/>
          <w:sz w:val="18"/>
          <w:szCs w:val="18"/>
          <w:lang w:val="en-GB"/>
        </w:rPr>
        <w:t xml:space="preserve"> field</w:t>
      </w:r>
      <w:r w:rsidRPr="001600E4">
        <w:rPr>
          <w:rFonts w:ascii="Times New Roman" w:hAnsi="Times New Roman" w:cs="Times New Roman"/>
          <w:sz w:val="18"/>
          <w:szCs w:val="18"/>
          <w:lang w:val="en-GB"/>
        </w:rPr>
        <w:t xml:space="preserve"> amplitudes of 12, 16 and 24 kA/m.</w:t>
      </w:r>
    </w:p>
    <w:p w14:paraId="4AE1D986" w14:textId="77777777" w:rsidR="00DC204B" w:rsidRPr="001600E4" w:rsidRDefault="00DC204B" w:rsidP="00DC204B">
      <w:p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1600E4">
        <w:rPr>
          <w:rFonts w:ascii="Times New Roman" w:hAnsi="Times New Roman" w:cs="Times New Roman"/>
          <w:sz w:val="18"/>
          <w:szCs w:val="18"/>
          <w:lang w:val="en-GB"/>
        </w:rPr>
        <w:lastRenderedPageBreak/>
        <w:tab/>
      </w:r>
      <w:r w:rsidRPr="001600E4">
        <w:rPr>
          <w:rFonts w:ascii="Times New Roman" w:hAnsi="Times New Roman" w:cs="Times New Roman"/>
          <w:sz w:val="18"/>
          <w:szCs w:val="18"/>
          <w:lang w:val="en-GB"/>
        </w:rPr>
        <w:tab/>
      </w:r>
      <w:r w:rsidRPr="00641A5B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57687DEE" wp14:editId="5EB3F2C5">
            <wp:extent cx="3594538" cy="2954875"/>
            <wp:effectExtent l="0" t="0" r="6350" b="0"/>
            <wp:docPr id="21" name="Picture 21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117" cy="296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62CF5B" w14:textId="77777777" w:rsidR="00DC204B" w:rsidRPr="001600E4" w:rsidRDefault="00DC204B" w:rsidP="00DC204B">
      <w:pPr>
        <w:jc w:val="both"/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1600E4">
        <w:rPr>
          <w:rFonts w:ascii="Times New Roman" w:hAnsi="Times New Roman" w:cs="Times New Roman"/>
          <w:b/>
          <w:sz w:val="18"/>
          <w:szCs w:val="18"/>
          <w:lang w:val="en-GB"/>
        </w:rPr>
        <w:t>Figure S3.</w:t>
      </w:r>
      <w:r w:rsidRPr="001600E4">
        <w:rPr>
          <w:sz w:val="18"/>
          <w:szCs w:val="18"/>
          <w:lang w:val="en-GB"/>
        </w:rPr>
        <w:t xml:space="preserve"> </w:t>
      </w:r>
      <w:r w:rsidRPr="001600E4">
        <w:rPr>
          <w:rFonts w:ascii="Times New Roman" w:hAnsi="Times New Roman" w:cs="Times New Roman"/>
          <w:sz w:val="18"/>
          <w:szCs w:val="18"/>
          <w:lang w:val="en-GB"/>
        </w:rPr>
        <w:t xml:space="preserve">Evaluation of cell viability of U87 cells exposed to various treatment conditions, such as no treatment (untreated group), AMF, IONCs at </w:t>
      </w:r>
      <w:r>
        <w:rPr>
          <w:rFonts w:ascii="Times New Roman" w:hAnsi="Times New Roman" w:cs="Times New Roman"/>
          <w:sz w:val="18"/>
          <w:szCs w:val="18"/>
          <w:lang w:val="en-GB"/>
        </w:rPr>
        <w:t>a</w:t>
      </w:r>
      <w:r w:rsidRPr="001600E4">
        <w:rPr>
          <w:rFonts w:ascii="Times New Roman" w:hAnsi="Times New Roman" w:cs="Times New Roman"/>
          <w:sz w:val="18"/>
          <w:szCs w:val="18"/>
          <w:lang w:val="en-GB"/>
        </w:rPr>
        <w:t xml:space="preserve"> concentration of 2 </w:t>
      </w:r>
      <w:proofErr w:type="spellStart"/>
      <w:r w:rsidRPr="001600E4">
        <w:rPr>
          <w:rFonts w:ascii="Times New Roman" w:hAnsi="Times New Roman" w:cs="Times New Roman"/>
          <w:sz w:val="18"/>
          <w:szCs w:val="18"/>
          <w:lang w:val="en-GB"/>
        </w:rPr>
        <w:t>g</w:t>
      </w:r>
      <w:r w:rsidRPr="001600E4">
        <w:rPr>
          <w:rFonts w:ascii="Times New Roman" w:hAnsi="Times New Roman" w:cs="Times New Roman"/>
          <w:vertAlign w:val="subscript"/>
          <w:lang w:val="en-GB"/>
        </w:rPr>
        <w:t>Fe</w:t>
      </w:r>
      <w:proofErr w:type="spellEnd"/>
      <w:r w:rsidRPr="001600E4">
        <w:rPr>
          <w:rFonts w:ascii="Times New Roman" w:hAnsi="Times New Roman" w:cs="Times New Roman"/>
          <w:sz w:val="18"/>
          <w:szCs w:val="18"/>
          <w:lang w:val="en-GB"/>
        </w:rPr>
        <w:t xml:space="preserve">/L and MHT (2 </w:t>
      </w:r>
      <w:proofErr w:type="spellStart"/>
      <w:r w:rsidRPr="001600E4">
        <w:rPr>
          <w:rFonts w:ascii="Times New Roman" w:hAnsi="Times New Roman" w:cs="Times New Roman"/>
          <w:sz w:val="18"/>
          <w:szCs w:val="18"/>
          <w:lang w:val="en-GB"/>
        </w:rPr>
        <w:t>g</w:t>
      </w:r>
      <w:r w:rsidRPr="001600E4">
        <w:rPr>
          <w:rFonts w:ascii="Times New Roman" w:hAnsi="Times New Roman" w:cs="Times New Roman"/>
          <w:vertAlign w:val="subscript"/>
          <w:lang w:val="en-GB"/>
        </w:rPr>
        <w:t>Fe</w:t>
      </w:r>
      <w:proofErr w:type="spellEnd"/>
      <w:r w:rsidRPr="001600E4">
        <w:rPr>
          <w:rFonts w:ascii="Times New Roman" w:hAnsi="Times New Roman" w:cs="Times New Roman"/>
          <w:sz w:val="18"/>
          <w:szCs w:val="18"/>
          <w:lang w:val="en-GB"/>
        </w:rPr>
        <w:t xml:space="preserve">/L of IONCs + AMF). Cell viability was determined by CCK-8 assay at </w:t>
      </w:r>
      <w:proofErr w:type="gramStart"/>
      <w:r w:rsidRPr="001600E4">
        <w:rPr>
          <w:rFonts w:ascii="Times New Roman" w:hAnsi="Times New Roman" w:cs="Times New Roman"/>
          <w:sz w:val="18"/>
          <w:szCs w:val="18"/>
          <w:lang w:val="en-GB"/>
        </w:rPr>
        <w:t>24 and 48 hours</w:t>
      </w:r>
      <w:proofErr w:type="gramEnd"/>
      <w:r w:rsidRPr="001600E4">
        <w:rPr>
          <w:rFonts w:ascii="Times New Roman" w:hAnsi="Times New Roman" w:cs="Times New Roman"/>
          <w:sz w:val="18"/>
          <w:szCs w:val="18"/>
          <w:lang w:val="en-GB"/>
        </w:rPr>
        <w:t xml:space="preserve"> post-treatment. Statistical analysis was conducted via two-tailed unpaired student’s t test (*0.01 &lt; P &lt; 0.05; **0.001 &lt; P &lt; 0.01; ***P &lt; 0.001; </w:t>
      </w:r>
      <w:proofErr w:type="spellStart"/>
      <w:r w:rsidRPr="001600E4">
        <w:rPr>
          <w:rFonts w:ascii="Times New Roman" w:hAnsi="Times New Roman" w:cs="Times New Roman"/>
          <w:sz w:val="18"/>
          <w:szCs w:val="18"/>
          <w:lang w:val="en-GB"/>
        </w:rPr>
        <w:t>n.s</w:t>
      </w:r>
      <w:proofErr w:type="spellEnd"/>
      <w:r w:rsidRPr="001600E4">
        <w:rPr>
          <w:rFonts w:ascii="Times New Roman" w:hAnsi="Times New Roman" w:cs="Times New Roman"/>
          <w:sz w:val="18"/>
          <w:szCs w:val="18"/>
          <w:lang w:val="en-GB"/>
        </w:rPr>
        <w:t>.= not significant).</w:t>
      </w:r>
    </w:p>
    <w:p w14:paraId="4AB9C28E" w14:textId="77777777" w:rsidR="00DC204B" w:rsidRPr="001600E4" w:rsidRDefault="00DC204B" w:rsidP="00DC204B">
      <w:pPr>
        <w:jc w:val="both"/>
        <w:rPr>
          <w:rFonts w:ascii="Times New Roman" w:hAnsi="Times New Roman" w:cs="Times New Roman"/>
          <w:b/>
          <w:lang w:val="en-GB"/>
        </w:rPr>
      </w:pPr>
      <w:r w:rsidRPr="001600E4">
        <w:rPr>
          <w:rFonts w:ascii="Times New Roman" w:hAnsi="Times New Roman" w:cs="Times New Roman"/>
          <w:b/>
          <w:lang w:val="en-GB"/>
        </w:rPr>
        <w:t xml:space="preserve">                                </w:t>
      </w:r>
      <w:r w:rsidRPr="00641A5B">
        <w:rPr>
          <w:rFonts w:ascii="Times New Roman" w:hAnsi="Times New Roman" w:cs="Times New Roman"/>
          <w:b/>
          <w:noProof/>
        </w:rPr>
        <w:drawing>
          <wp:inline distT="0" distB="0" distL="0" distR="0" wp14:anchorId="38754B34" wp14:editId="06D2E95A">
            <wp:extent cx="3334255" cy="3342290"/>
            <wp:effectExtent l="0" t="0" r="0" b="0"/>
            <wp:docPr id="22" name="Picture 2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20" t="1128" r="1391"/>
                    <a:stretch/>
                  </pic:blipFill>
                  <pic:spPr bwMode="auto">
                    <a:xfrm>
                      <a:off x="0" y="0"/>
                      <a:ext cx="3353012" cy="336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699C06" w14:textId="77777777" w:rsidR="00DC204B" w:rsidRPr="001600E4" w:rsidRDefault="00DC204B" w:rsidP="00DC204B">
      <w:pPr>
        <w:jc w:val="both"/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1600E4">
        <w:rPr>
          <w:rFonts w:ascii="Times New Roman" w:hAnsi="Times New Roman" w:cs="Times New Roman"/>
          <w:b/>
          <w:sz w:val="18"/>
          <w:szCs w:val="18"/>
          <w:lang w:val="en-GB"/>
        </w:rPr>
        <w:t>Figure S</w:t>
      </w:r>
      <w:r>
        <w:rPr>
          <w:rFonts w:ascii="Times New Roman" w:hAnsi="Times New Roman" w:cs="Times New Roman"/>
          <w:b/>
          <w:sz w:val="18"/>
          <w:szCs w:val="18"/>
          <w:lang w:val="en-GB"/>
        </w:rPr>
        <w:t>4</w:t>
      </w:r>
      <w:r w:rsidRPr="001600E4">
        <w:rPr>
          <w:rFonts w:ascii="Times New Roman" w:hAnsi="Times New Roman" w:cs="Times New Roman"/>
          <w:b/>
          <w:sz w:val="18"/>
          <w:szCs w:val="18"/>
          <w:lang w:val="en-GB"/>
        </w:rPr>
        <w:t xml:space="preserve">. </w:t>
      </w:r>
      <w:r w:rsidRPr="001600E4">
        <w:rPr>
          <w:rFonts w:ascii="Times New Roman" w:hAnsi="Times New Roman" w:cs="Times New Roman"/>
          <w:sz w:val="18"/>
          <w:szCs w:val="18"/>
          <w:lang w:val="en-GB"/>
        </w:rPr>
        <w:t>Flow cytometry analysis of cell cycle in U87 cells after 24 hours post-treatment with AMF, IONCs or MHT compared to untreated cells. Representative figures of cell cycle distribution (SubG1. G0/G1, S, and G2/M) showing accumulation of MHT-treated cells in S and G2/M phases.</w:t>
      </w:r>
      <w:r w:rsidRPr="001600E4">
        <w:rPr>
          <w:rFonts w:ascii="Times New Roman" w:hAnsi="Times New Roman" w:cs="Times New Roman"/>
          <w:b/>
          <w:sz w:val="18"/>
          <w:szCs w:val="18"/>
          <w:lang w:val="en-GB"/>
        </w:rPr>
        <w:t xml:space="preserve"> </w:t>
      </w:r>
    </w:p>
    <w:p w14:paraId="1593753D" w14:textId="77777777" w:rsidR="00DC204B" w:rsidRPr="001600E4" w:rsidRDefault="00DC204B" w:rsidP="00DC204B">
      <w:pPr>
        <w:ind w:left="180" w:hanging="180"/>
        <w:jc w:val="both"/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1600E4">
        <w:rPr>
          <w:rFonts w:ascii="Times New Roman" w:hAnsi="Times New Roman" w:cs="Times New Roman"/>
          <w:b/>
          <w:sz w:val="18"/>
          <w:szCs w:val="18"/>
          <w:lang w:val="en-GB"/>
        </w:rPr>
        <w:tab/>
      </w:r>
      <w:r w:rsidRPr="001600E4">
        <w:rPr>
          <w:rFonts w:ascii="Times New Roman" w:hAnsi="Times New Roman" w:cs="Times New Roman"/>
          <w:b/>
          <w:sz w:val="18"/>
          <w:szCs w:val="18"/>
          <w:lang w:val="en-GB"/>
        </w:rPr>
        <w:tab/>
      </w:r>
    </w:p>
    <w:p w14:paraId="55055D95" w14:textId="77777777" w:rsidR="00DC204B" w:rsidRPr="001600E4" w:rsidRDefault="00DC204B" w:rsidP="00DC204B">
      <w:pPr>
        <w:ind w:left="180" w:hanging="180"/>
        <w:jc w:val="both"/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1600E4">
        <w:rPr>
          <w:rFonts w:ascii="Times New Roman" w:hAnsi="Times New Roman" w:cs="Times New Roman"/>
          <w:b/>
          <w:sz w:val="18"/>
          <w:szCs w:val="18"/>
          <w:lang w:val="en-GB"/>
        </w:rPr>
        <w:tab/>
      </w:r>
    </w:p>
    <w:p w14:paraId="49E3EE5A" w14:textId="77777777" w:rsidR="00DC204B" w:rsidRPr="001600E4" w:rsidRDefault="00DC204B" w:rsidP="00DC204B">
      <w:pPr>
        <w:ind w:left="180" w:hanging="180"/>
        <w:jc w:val="both"/>
        <w:rPr>
          <w:rFonts w:ascii="Times New Roman" w:hAnsi="Times New Roman" w:cs="Times New Roman"/>
          <w:b/>
          <w:sz w:val="18"/>
          <w:szCs w:val="18"/>
          <w:lang w:val="en-GB"/>
        </w:rPr>
      </w:pPr>
    </w:p>
    <w:p w14:paraId="483BC8A3" w14:textId="77777777" w:rsidR="00DC204B" w:rsidRPr="001600E4" w:rsidRDefault="00DC204B" w:rsidP="00DC204B">
      <w:pPr>
        <w:ind w:left="180" w:hanging="180"/>
        <w:jc w:val="both"/>
        <w:rPr>
          <w:rFonts w:ascii="Times New Roman" w:hAnsi="Times New Roman" w:cs="Times New Roman"/>
          <w:b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18"/>
          <w:szCs w:val="18"/>
          <w:lang w:val="en-GB"/>
        </w:rPr>
        <w:t xml:space="preserve">                 </w:t>
      </w:r>
      <w:r w:rsidRPr="001600E4">
        <w:rPr>
          <w:rFonts w:ascii="Times New Roman" w:hAnsi="Times New Roman" w:cs="Times New Roman"/>
          <w:b/>
          <w:sz w:val="18"/>
          <w:szCs w:val="18"/>
          <w:lang w:val="en-GB"/>
        </w:rPr>
        <w:tab/>
      </w:r>
      <w:r w:rsidRPr="00641A5B">
        <w:rPr>
          <w:rFonts w:ascii="Times New Roman" w:hAnsi="Times New Roman" w:cs="Times New Roman"/>
          <w:b/>
          <w:noProof/>
          <w:sz w:val="18"/>
          <w:szCs w:val="18"/>
        </w:rPr>
        <w:drawing>
          <wp:inline distT="0" distB="0" distL="0" distR="0" wp14:anchorId="644EE4E7" wp14:editId="41B06F7F">
            <wp:extent cx="3514486" cy="3111336"/>
            <wp:effectExtent l="0" t="0" r="0" b="0"/>
            <wp:docPr id="23" name="Picture 2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241" cy="3134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8CFC2B" w14:textId="77777777" w:rsidR="00DC204B" w:rsidRPr="001600E4" w:rsidRDefault="00DC204B" w:rsidP="00DC204B">
      <w:p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1600E4">
        <w:rPr>
          <w:rFonts w:ascii="Times New Roman" w:hAnsi="Times New Roman" w:cs="Times New Roman"/>
          <w:b/>
          <w:sz w:val="18"/>
          <w:szCs w:val="18"/>
          <w:lang w:val="en-GB"/>
        </w:rPr>
        <w:t xml:space="preserve">Figure S5. </w:t>
      </w:r>
      <w:r w:rsidRPr="001600E4">
        <w:rPr>
          <w:rFonts w:ascii="Times New Roman" w:hAnsi="Times New Roman" w:cs="Times New Roman"/>
          <w:sz w:val="18"/>
          <w:szCs w:val="18"/>
          <w:lang w:val="en-GB"/>
        </w:rPr>
        <w:t>Release of HMGB1 in response to MHT treatment was evaluated by ELISA (a). The expression of PD-L1 on the surface of untreated cells or U87 cells exposed to different treatment (AMF, IONCs and MHT) was evaluated by flow cytometry (</w:t>
      </w:r>
      <w:proofErr w:type="spellStart"/>
      <w:proofErr w:type="gramStart"/>
      <w:r w:rsidRPr="001600E4">
        <w:rPr>
          <w:rFonts w:ascii="Times New Roman" w:hAnsi="Times New Roman" w:cs="Times New Roman"/>
          <w:sz w:val="18"/>
          <w:szCs w:val="18"/>
          <w:lang w:val="en-GB"/>
        </w:rPr>
        <w:t>b,c</w:t>
      </w:r>
      <w:proofErr w:type="spellEnd"/>
      <w:proofErr w:type="gramEnd"/>
      <w:r w:rsidRPr="001600E4">
        <w:rPr>
          <w:rFonts w:ascii="Times New Roman" w:hAnsi="Times New Roman" w:cs="Times New Roman"/>
          <w:sz w:val="18"/>
          <w:szCs w:val="18"/>
          <w:lang w:val="en-GB"/>
        </w:rPr>
        <w:t xml:space="preserve">). Data are shown as expressed as average fold change (mean ± SD) of the mean fluorescence intensity (MFI) of three independent experiments (n = 3) and as representative histograms. Statistical analysis was conducted via two-tailed unpaired student’s t test (*0.01 &lt; P &lt; 0.05; **0.001 &lt; P &lt; 0.01; ***P &lt; 0.001; </w:t>
      </w:r>
      <w:proofErr w:type="spellStart"/>
      <w:r w:rsidRPr="001600E4">
        <w:rPr>
          <w:rFonts w:ascii="Times New Roman" w:hAnsi="Times New Roman" w:cs="Times New Roman"/>
          <w:sz w:val="18"/>
          <w:szCs w:val="18"/>
          <w:lang w:val="en-GB"/>
        </w:rPr>
        <w:t>n.s</w:t>
      </w:r>
      <w:proofErr w:type="spellEnd"/>
      <w:r w:rsidRPr="001600E4">
        <w:rPr>
          <w:rFonts w:ascii="Times New Roman" w:hAnsi="Times New Roman" w:cs="Times New Roman"/>
          <w:sz w:val="18"/>
          <w:szCs w:val="18"/>
          <w:lang w:val="en-GB"/>
        </w:rPr>
        <w:t>.= not significant).</w:t>
      </w:r>
    </w:p>
    <w:p w14:paraId="13B2C721" w14:textId="77777777" w:rsidR="00DC204B" w:rsidRPr="001600E4" w:rsidRDefault="00DC204B" w:rsidP="00DC204B">
      <w:pPr>
        <w:jc w:val="both"/>
        <w:rPr>
          <w:rFonts w:ascii="Times New Roman" w:hAnsi="Times New Roman" w:cs="Times New Roman"/>
          <w:b/>
          <w:sz w:val="18"/>
          <w:szCs w:val="18"/>
          <w:lang w:val="en-GB"/>
        </w:rPr>
      </w:pPr>
    </w:p>
    <w:p w14:paraId="4C8DF7BB" w14:textId="77777777" w:rsidR="00DC204B" w:rsidRPr="001600E4" w:rsidRDefault="00DC204B" w:rsidP="00DC204B">
      <w:pPr>
        <w:rPr>
          <w:rFonts w:ascii="Times New Roman" w:hAnsi="Times New Roman" w:cs="Times New Roman"/>
          <w:sz w:val="18"/>
          <w:szCs w:val="18"/>
          <w:lang w:val="en-GB"/>
        </w:rPr>
      </w:pPr>
      <w:r w:rsidRPr="001600E4">
        <w:rPr>
          <w:rFonts w:ascii="Times New Roman" w:hAnsi="Times New Roman" w:cs="Times New Roman"/>
          <w:sz w:val="18"/>
          <w:szCs w:val="18"/>
          <w:lang w:val="en-GB"/>
        </w:rPr>
        <w:tab/>
      </w: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28B24576" wp14:editId="5A1F900A">
            <wp:extent cx="4495800" cy="2845643"/>
            <wp:effectExtent l="0" t="0" r="0" b="0"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108" cy="2852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65AA5B" w14:textId="77777777" w:rsidR="00DC204B" w:rsidRDefault="00DC204B" w:rsidP="00DC204B">
      <w:p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1600E4">
        <w:rPr>
          <w:rFonts w:ascii="Times New Roman" w:hAnsi="Times New Roman" w:cs="Times New Roman"/>
          <w:b/>
          <w:sz w:val="18"/>
          <w:szCs w:val="18"/>
          <w:lang w:val="en-GB"/>
        </w:rPr>
        <w:t xml:space="preserve">Figure S6. </w:t>
      </w:r>
      <w:r w:rsidRPr="001600E4">
        <w:rPr>
          <w:rFonts w:ascii="Times New Roman" w:hAnsi="Times New Roman" w:cs="Times New Roman"/>
          <w:sz w:val="18"/>
          <w:szCs w:val="18"/>
          <w:lang w:val="en-GB"/>
        </w:rPr>
        <w:t>Flow cytometric evaluation of changes in surface expression of MICA, ULBP-1 and B7H6 in U87 cells exposed to different treatments (AMF, IONCs and MHT) compare</w:t>
      </w:r>
      <w:r>
        <w:rPr>
          <w:rFonts w:ascii="Times New Roman" w:hAnsi="Times New Roman" w:cs="Times New Roman"/>
          <w:sz w:val="18"/>
          <w:szCs w:val="18"/>
          <w:lang w:val="en-GB"/>
        </w:rPr>
        <w:t>d</w:t>
      </w:r>
      <w:r w:rsidRPr="001600E4">
        <w:rPr>
          <w:rFonts w:ascii="Times New Roman" w:hAnsi="Times New Roman" w:cs="Times New Roman"/>
          <w:sz w:val="18"/>
          <w:szCs w:val="18"/>
          <w:lang w:val="en-GB"/>
        </w:rPr>
        <w:t xml:space="preserve"> to untreated cells at 24 hours post-treatment. Data are shown as representative histograms and expressed as average fold change (mean ± SD) of the mean fluorescence intensity (MFI) of three independent experiments (n = 3). Statistical analysis was conducted via two-tailed unpaired student’s t test (*0.01 &lt; P &lt; 0.05; **0.001 &lt; P &lt; 0.01; ***P &lt; 0.001; </w:t>
      </w:r>
      <w:proofErr w:type="spellStart"/>
      <w:r w:rsidRPr="001600E4">
        <w:rPr>
          <w:rFonts w:ascii="Times New Roman" w:hAnsi="Times New Roman" w:cs="Times New Roman"/>
          <w:sz w:val="18"/>
          <w:szCs w:val="18"/>
          <w:lang w:val="en-GB"/>
        </w:rPr>
        <w:t>n.s</w:t>
      </w:r>
      <w:proofErr w:type="spellEnd"/>
      <w:r w:rsidRPr="001600E4">
        <w:rPr>
          <w:rFonts w:ascii="Times New Roman" w:hAnsi="Times New Roman" w:cs="Times New Roman"/>
          <w:sz w:val="18"/>
          <w:szCs w:val="18"/>
          <w:lang w:val="en-GB"/>
        </w:rPr>
        <w:t>.= not significant).</w:t>
      </w:r>
    </w:p>
    <w:p w14:paraId="404554B4" w14:textId="77777777" w:rsidR="00DC204B" w:rsidRDefault="00DC204B" w:rsidP="00DC204B">
      <w:p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noProof/>
          <w:sz w:val="18"/>
          <w:szCs w:val="18"/>
        </w:rPr>
        <w:lastRenderedPageBreak/>
        <w:drawing>
          <wp:anchor distT="0" distB="0" distL="114300" distR="114300" simplePos="0" relativeHeight="251660288" behindDoc="0" locked="0" layoutInCell="1" allowOverlap="1" wp14:anchorId="07E5B71D" wp14:editId="12AE8118">
            <wp:simplePos x="0" y="0"/>
            <wp:positionH relativeFrom="margin">
              <wp:align>center</wp:align>
            </wp:positionH>
            <wp:positionV relativeFrom="paragraph">
              <wp:posOffset>91450</wp:posOffset>
            </wp:positionV>
            <wp:extent cx="3201035" cy="3099435"/>
            <wp:effectExtent l="0" t="0" r="0" b="5715"/>
            <wp:wrapTopAndBottom/>
            <wp:docPr id="3" name="Picture 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201035" cy="30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F49BE" w14:textId="77777777" w:rsidR="00DC204B" w:rsidRPr="00247985" w:rsidRDefault="00DC204B" w:rsidP="00DC204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C36394">
        <w:rPr>
          <w:rFonts w:ascii="Times New Roman" w:hAnsi="Times New Roman" w:cs="Times New Roman"/>
          <w:b/>
          <w:bCs/>
          <w:sz w:val="18"/>
          <w:szCs w:val="18"/>
          <w:lang w:val="en-GB"/>
        </w:rPr>
        <w:t>Figure S7.</w:t>
      </w:r>
      <w:r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  </w:t>
      </w:r>
      <w:r w:rsidRPr="00C36394">
        <w:rPr>
          <w:rFonts w:ascii="Times New Roman" w:hAnsi="Times New Roman" w:cs="Times New Roman"/>
          <w:sz w:val="18"/>
          <w:szCs w:val="18"/>
          <w:lang w:val="en-GB"/>
        </w:rPr>
        <w:t>Analysis of IFN-γ secretion by IL-2-activated NK cells co-cultured with untreated or treated U87 GBM cells. Only NK cells and, untreated and MHT-treated U87</w:t>
      </w:r>
      <w:r>
        <w:rPr>
          <w:rFonts w:ascii="Times New Roman" w:hAnsi="Times New Roman" w:cs="Times New Roman"/>
          <w:sz w:val="18"/>
          <w:szCs w:val="18"/>
          <w:lang w:val="en-GB"/>
        </w:rPr>
        <w:t xml:space="preserve"> (MHT)</w:t>
      </w:r>
      <w:r w:rsidRPr="00C36394">
        <w:rPr>
          <w:rFonts w:ascii="Times New Roman" w:hAnsi="Times New Roman" w:cs="Times New Roman"/>
          <w:sz w:val="18"/>
          <w:szCs w:val="18"/>
          <w:lang w:val="en-GB"/>
        </w:rPr>
        <w:t xml:space="preserve"> cells</w:t>
      </w:r>
      <w:r>
        <w:rPr>
          <w:rFonts w:ascii="Times New Roman" w:hAnsi="Times New Roman" w:cs="Times New Roman"/>
          <w:sz w:val="18"/>
          <w:szCs w:val="18"/>
          <w:lang w:val="en-GB"/>
        </w:rPr>
        <w:t xml:space="preserve"> alone</w:t>
      </w:r>
      <w:r w:rsidRPr="00C36394">
        <w:rPr>
          <w:rFonts w:ascii="Times New Roman" w:hAnsi="Times New Roman" w:cs="Times New Roman"/>
          <w:sz w:val="18"/>
          <w:szCs w:val="18"/>
          <w:lang w:val="en-GB"/>
        </w:rPr>
        <w:t xml:space="preserve"> were included as control groups. </w:t>
      </w:r>
      <w:r w:rsidRPr="008768AA">
        <w:rPr>
          <w:rFonts w:ascii="Times New Roman" w:hAnsi="Times New Roman" w:cs="Times New Roman"/>
          <w:sz w:val="18"/>
          <w:szCs w:val="18"/>
        </w:rPr>
        <w:t xml:space="preserve">Data are shown as mean ± SEM of </w:t>
      </w:r>
      <w:r>
        <w:rPr>
          <w:rFonts w:ascii="Times New Roman" w:hAnsi="Times New Roman" w:cs="Times New Roman"/>
          <w:sz w:val="18"/>
          <w:szCs w:val="18"/>
        </w:rPr>
        <w:t>three</w:t>
      </w:r>
      <w:r w:rsidRPr="008768AA">
        <w:rPr>
          <w:rFonts w:ascii="Times New Roman" w:hAnsi="Times New Roman" w:cs="Times New Roman"/>
          <w:sz w:val="18"/>
          <w:szCs w:val="18"/>
        </w:rPr>
        <w:t xml:space="preserve"> experiments. Statistical analysis was performed using a one-way ANOVA test (*0.01 &lt; p &lt; 0.05; **0.001 &lt; p &lt; 0.01; ***p &lt; 0.001; </w:t>
      </w:r>
      <w:proofErr w:type="spellStart"/>
      <w:r w:rsidRPr="008768AA">
        <w:rPr>
          <w:rFonts w:ascii="Times New Roman" w:hAnsi="Times New Roman" w:cs="Times New Roman"/>
          <w:sz w:val="18"/>
          <w:szCs w:val="18"/>
        </w:rPr>
        <w:t>n.s</w:t>
      </w:r>
      <w:proofErr w:type="spellEnd"/>
      <w:r w:rsidRPr="008768AA">
        <w:rPr>
          <w:rFonts w:ascii="Times New Roman" w:hAnsi="Times New Roman" w:cs="Times New Roman"/>
          <w:sz w:val="18"/>
          <w:szCs w:val="18"/>
        </w:rPr>
        <w:t>.= not significant).</w:t>
      </w:r>
    </w:p>
    <w:p w14:paraId="314CDB63" w14:textId="77777777" w:rsidR="00DC204B" w:rsidRDefault="00DC204B" w:rsidP="00DC204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C8924E0" w14:textId="77777777" w:rsidR="00DC204B" w:rsidRDefault="00DC204B" w:rsidP="00DC204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458A341" w14:textId="77777777" w:rsidR="00DC204B" w:rsidRPr="00C36394" w:rsidRDefault="00DC204B" w:rsidP="00DC204B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B9B39FA" wp14:editId="1D0C17DF">
            <wp:simplePos x="0" y="0"/>
            <wp:positionH relativeFrom="margin">
              <wp:posOffset>1436370</wp:posOffset>
            </wp:positionH>
            <wp:positionV relativeFrom="paragraph">
              <wp:posOffset>144780</wp:posOffset>
            </wp:positionV>
            <wp:extent cx="3156585" cy="3116580"/>
            <wp:effectExtent l="0" t="0" r="5715" b="7620"/>
            <wp:wrapTopAndBottom/>
            <wp:docPr id="7" name="Picture 7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histo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311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BD473" w14:textId="77777777" w:rsidR="00DC204B" w:rsidRDefault="00DC204B" w:rsidP="00DC204B">
      <w:pPr>
        <w:jc w:val="both"/>
        <w:rPr>
          <w:rFonts w:ascii="Times New Roman" w:hAnsi="Times New Roman" w:cs="Times New Roman"/>
          <w:b/>
          <w:sz w:val="18"/>
          <w:szCs w:val="18"/>
          <w:lang w:val="en-GB"/>
        </w:rPr>
      </w:pPr>
    </w:p>
    <w:p w14:paraId="2491FF78" w14:textId="77777777" w:rsidR="00DC204B" w:rsidRPr="001600E4" w:rsidRDefault="00DC204B" w:rsidP="00DC204B">
      <w:pPr>
        <w:jc w:val="both"/>
        <w:rPr>
          <w:rFonts w:ascii="Times New Roman" w:hAnsi="Times New Roman" w:cs="Times New Roman"/>
          <w:b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18"/>
          <w:szCs w:val="18"/>
          <w:lang w:val="en-GB"/>
        </w:rPr>
        <w:t xml:space="preserve">Figure S8. </w:t>
      </w:r>
      <w:r w:rsidRPr="00351CC0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Evaluation of CD14 </w:t>
      </w:r>
      <w:r w:rsidRPr="003B38DD">
        <w:rPr>
          <w:rFonts w:ascii="Times New Roman" w:hAnsi="Times New Roman" w:cs="Times New Roman"/>
          <w:bCs/>
          <w:sz w:val="18"/>
          <w:szCs w:val="18"/>
          <w:lang w:val="en-GB"/>
        </w:rPr>
        <w:t>ex</w:t>
      </w:r>
      <w:r w:rsidRPr="00351CC0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pression </w:t>
      </w:r>
      <w:r w:rsidRPr="003B38DD">
        <w:rPr>
          <w:rFonts w:ascii="Times New Roman" w:hAnsi="Times New Roman" w:cs="Times New Roman"/>
          <w:bCs/>
          <w:sz w:val="18"/>
          <w:szCs w:val="18"/>
          <w:lang w:val="en-GB"/>
        </w:rPr>
        <w:t>o</w:t>
      </w:r>
      <w:r w:rsidRPr="00351CC0">
        <w:rPr>
          <w:rFonts w:ascii="Times New Roman" w:hAnsi="Times New Roman" w:cs="Times New Roman"/>
          <w:bCs/>
          <w:sz w:val="18"/>
          <w:szCs w:val="18"/>
          <w:lang w:val="en-GB"/>
        </w:rPr>
        <w:t>n THP</w:t>
      </w:r>
      <w:r>
        <w:rPr>
          <w:rFonts w:ascii="Times New Roman" w:hAnsi="Times New Roman" w:cs="Times New Roman"/>
          <w:bCs/>
          <w:sz w:val="18"/>
          <w:szCs w:val="18"/>
          <w:lang w:val="en-GB"/>
        </w:rPr>
        <w:t>-</w:t>
      </w:r>
      <w:r w:rsidRPr="00351CC0">
        <w:rPr>
          <w:rFonts w:ascii="Times New Roman" w:hAnsi="Times New Roman" w:cs="Times New Roman"/>
          <w:bCs/>
          <w:sz w:val="18"/>
          <w:szCs w:val="18"/>
          <w:lang w:val="en-GB"/>
        </w:rPr>
        <w:t>1 cells before and after macrophage differentiation by flow cytometry.</w:t>
      </w:r>
    </w:p>
    <w:sectPr w:rsidR="00DC204B" w:rsidRPr="001600E4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0C3CF" w14:textId="77777777" w:rsidR="0018301D" w:rsidRDefault="0018301D" w:rsidP="00DC204B">
      <w:pPr>
        <w:spacing w:after="0" w:line="240" w:lineRule="auto"/>
      </w:pPr>
      <w:r>
        <w:separator/>
      </w:r>
    </w:p>
  </w:endnote>
  <w:endnote w:type="continuationSeparator" w:id="0">
    <w:p w14:paraId="659B7488" w14:textId="77777777" w:rsidR="0018301D" w:rsidRDefault="0018301D" w:rsidP="00DC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0153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FC76A3" w14:textId="77777777" w:rsidR="004E19E6" w:rsidRDefault="009C50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376046FF" w14:textId="77777777" w:rsidR="004E19E6" w:rsidRDefault="009C50D4" w:rsidP="007D5DCC">
    <w:pPr>
      <w:pStyle w:val="Footer"/>
      <w:tabs>
        <w:tab w:val="clear" w:pos="4680"/>
        <w:tab w:val="clear" w:pos="9360"/>
        <w:tab w:val="left" w:pos="812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313D" w14:textId="77777777" w:rsidR="0018301D" w:rsidRDefault="0018301D" w:rsidP="00DC204B">
      <w:pPr>
        <w:spacing w:after="0" w:line="240" w:lineRule="auto"/>
      </w:pPr>
      <w:r>
        <w:separator/>
      </w:r>
    </w:p>
  </w:footnote>
  <w:footnote w:type="continuationSeparator" w:id="0">
    <w:p w14:paraId="7F0C6338" w14:textId="77777777" w:rsidR="0018301D" w:rsidRDefault="0018301D" w:rsidP="00DC2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B8"/>
    <w:rsid w:val="0018301D"/>
    <w:rsid w:val="002C3088"/>
    <w:rsid w:val="005C6153"/>
    <w:rsid w:val="009C50D4"/>
    <w:rsid w:val="00CB07B8"/>
    <w:rsid w:val="00DC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5B56"/>
  <w15:chartTrackingRefBased/>
  <w15:docId w15:val="{15B1ED43-0B35-40AD-A4D8-11F2210A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04B"/>
  </w:style>
  <w:style w:type="paragraph" w:styleId="Footer">
    <w:name w:val="footer"/>
    <w:basedOn w:val="Normal"/>
    <w:link w:val="FooterChar"/>
    <w:uiPriority w:val="99"/>
    <w:unhideWhenUsed/>
    <w:rsid w:val="00DC2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04B"/>
  </w:style>
  <w:style w:type="paragraph" w:styleId="ListParagraph">
    <w:name w:val="List Paragraph"/>
    <w:basedOn w:val="Normal"/>
    <w:uiPriority w:val="34"/>
    <w:qFormat/>
    <w:rsid w:val="00DC20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20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resa.pellegrino@iit.it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stefano.persano@iit.it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Persano</dc:creator>
  <cp:keywords/>
  <dc:description/>
  <cp:lastModifiedBy>Stefano Persano</cp:lastModifiedBy>
  <cp:revision>3</cp:revision>
  <dcterms:created xsi:type="dcterms:W3CDTF">2021-08-06T08:22:00Z</dcterms:created>
  <dcterms:modified xsi:type="dcterms:W3CDTF">2021-08-06T09:47:00Z</dcterms:modified>
</cp:coreProperties>
</file>