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7AD4" w:rsidRDefault="00F87AD4" w:rsidP="00F87AD4">
      <w:pPr>
        <w:pStyle w:val="MDPI12title"/>
        <w:jc w:val="center"/>
      </w:pPr>
      <w:r>
        <w:t>Supplementary Information for</w:t>
      </w:r>
    </w:p>
    <w:p w:rsidR="00B7642A" w:rsidRPr="00B10674" w:rsidRDefault="00B7642A" w:rsidP="00B7642A">
      <w:pPr>
        <w:pStyle w:val="MDPI12title"/>
        <w:jc w:val="both"/>
      </w:pPr>
      <w:r w:rsidRPr="00A23687">
        <w:t xml:space="preserve">Assessment </w:t>
      </w:r>
      <w:r>
        <w:t>o</w:t>
      </w:r>
      <w:r w:rsidRPr="00A23687">
        <w:t xml:space="preserve">f </w:t>
      </w:r>
      <w:r>
        <w:t xml:space="preserve">the Contribution of </w:t>
      </w:r>
      <w:r>
        <w:t>a</w:t>
      </w:r>
      <w:r w:rsidRPr="00A23687">
        <w:t xml:space="preserve"> Thermodynamic </w:t>
      </w:r>
      <w:r>
        <w:t>a</w:t>
      </w:r>
      <w:r w:rsidRPr="00A23687">
        <w:t>nd Mechanical Destabili</w:t>
      </w:r>
      <w:r>
        <w:t>z</w:t>
      </w:r>
      <w:r w:rsidRPr="00A23687">
        <w:t xml:space="preserve">ation </w:t>
      </w:r>
      <w:r>
        <w:t>o</w:t>
      </w:r>
      <w:r w:rsidRPr="00A23687">
        <w:t>f Myosin</w:t>
      </w:r>
      <w:r>
        <w:t>–</w:t>
      </w:r>
      <w:r w:rsidRPr="00A23687">
        <w:t xml:space="preserve">Binding Protein C </w:t>
      </w:r>
      <w:r>
        <w:t>D</w:t>
      </w:r>
      <w:r w:rsidRPr="00A23687">
        <w:t xml:space="preserve">omain C2 </w:t>
      </w:r>
      <w:r>
        <w:t>to</w:t>
      </w:r>
      <w:r w:rsidRPr="00A23687">
        <w:t xml:space="preserve"> the </w:t>
      </w:r>
      <w:r>
        <w:t>P</w:t>
      </w:r>
      <w:r w:rsidRPr="00A23687">
        <w:t xml:space="preserve">athomechanism of </w:t>
      </w:r>
      <w:bookmarkStart w:id="0" w:name="_Hlk84843949"/>
      <w:r w:rsidR="0003433B">
        <w:t>H</w:t>
      </w:r>
      <w:r w:rsidR="0003433B" w:rsidRPr="0003433B">
        <w:t xml:space="preserve">ypertrophic </w:t>
      </w:r>
      <w:r w:rsidR="0003433B">
        <w:t>C</w:t>
      </w:r>
      <w:r w:rsidR="0003433B" w:rsidRPr="0003433B">
        <w:t>ardiomyopathy</w:t>
      </w:r>
      <w:bookmarkEnd w:id="0"/>
      <w:r>
        <w:t>–</w:t>
      </w:r>
      <w:r w:rsidRPr="00A23687">
        <w:t xml:space="preserve">causing </w:t>
      </w:r>
      <w:r>
        <w:t>D</w:t>
      </w:r>
      <w:r w:rsidRPr="00A23687">
        <w:t xml:space="preserve">ouble </w:t>
      </w:r>
      <w:r>
        <w:t>M</w:t>
      </w:r>
      <w:r w:rsidRPr="00A23687">
        <w:t xml:space="preserve">utation </w:t>
      </w:r>
      <w:r w:rsidRPr="002648F8">
        <w:rPr>
          <w:i/>
        </w:rPr>
        <w:t>MYBPC</w:t>
      </w:r>
      <w:bookmarkStart w:id="1" w:name="_GoBack"/>
      <w:bookmarkEnd w:id="1"/>
      <w:r w:rsidRPr="002648F8">
        <w:rPr>
          <w:i/>
        </w:rPr>
        <w:t>3</w:t>
      </w:r>
      <w:r w:rsidRPr="002648F8">
        <w:rPr>
          <w:vertAlign w:val="superscript"/>
        </w:rPr>
        <w:t>Δ25bp/D389V</w:t>
      </w:r>
    </w:p>
    <w:p w:rsidR="00F87AD4" w:rsidRPr="00B0049C" w:rsidRDefault="00F87AD4" w:rsidP="00F87AD4">
      <w:pPr>
        <w:pStyle w:val="MDPI13authornames"/>
      </w:pPr>
      <w:r w:rsidRPr="00B0049C">
        <w:t xml:space="preserve">Frederic V. Schwäbe </w:t>
      </w:r>
      <w:r w:rsidRPr="00B0049C">
        <w:rPr>
          <w:vertAlign w:val="superscript"/>
        </w:rPr>
        <w:t>1</w:t>
      </w:r>
      <w:r w:rsidRPr="00B0049C">
        <w:t>, Emanuel K. Peter</w:t>
      </w:r>
      <w:r w:rsidRPr="00B0049C">
        <w:rPr>
          <w:vertAlign w:val="superscript"/>
        </w:rPr>
        <w:t>1</w:t>
      </w:r>
      <w:r w:rsidRPr="00B0049C">
        <w:t>, Manuel H. Taft</w:t>
      </w:r>
      <w:r w:rsidRPr="00B0049C">
        <w:rPr>
          <w:vertAlign w:val="superscript"/>
        </w:rPr>
        <w:t>1</w:t>
      </w:r>
      <w:r w:rsidRPr="00B0049C">
        <w:t xml:space="preserve"> and Dietmar J. Manstein</w:t>
      </w:r>
      <w:r w:rsidRPr="00B0049C">
        <w:rPr>
          <w:vertAlign w:val="superscript"/>
        </w:rPr>
        <w:t>1,</w:t>
      </w:r>
      <w:proofErr w:type="gramStart"/>
      <w:r w:rsidRPr="00B0049C">
        <w:rPr>
          <w:vertAlign w:val="superscript"/>
        </w:rPr>
        <w:t>2,</w:t>
      </w:r>
      <w:r w:rsidRPr="00B0049C">
        <w:t>*</w:t>
      </w:r>
      <w:proofErr w:type="gramEnd"/>
    </w:p>
    <w:p w:rsidR="00F87AD4" w:rsidRPr="00B0049C" w:rsidRDefault="00F87AD4" w:rsidP="00F87AD4">
      <w:pPr>
        <w:pStyle w:val="MDPI16affiliation"/>
      </w:pPr>
      <w:r w:rsidRPr="00B0049C">
        <w:rPr>
          <w:vertAlign w:val="superscript"/>
        </w:rPr>
        <w:t>1</w:t>
      </w:r>
      <w:r w:rsidRPr="00B0049C">
        <w:tab/>
        <w:t>Institute for Biophysical Chemistry, Hannover Medical School, Fritz Hartmann Centre for Medical Research Carl Neuberg Str. 1, D-30625 Hannover, Germany</w:t>
      </w:r>
    </w:p>
    <w:p w:rsidR="00F87AD4" w:rsidRPr="00B0049C" w:rsidRDefault="00F87AD4" w:rsidP="00F87AD4">
      <w:pPr>
        <w:pStyle w:val="MDPI16affiliation"/>
      </w:pPr>
      <w:r w:rsidRPr="00B0049C">
        <w:rPr>
          <w:vertAlign w:val="superscript"/>
        </w:rPr>
        <w:t>2</w:t>
      </w:r>
      <w:r w:rsidRPr="00B0049C">
        <w:tab/>
        <w:t>Division for Structural Biochemistry, Hannover Medical School, Carl Neuberg Str. 1, D-30625 Hannover, Germany</w:t>
      </w:r>
    </w:p>
    <w:p w:rsidR="00F87AD4" w:rsidRPr="00B0049C" w:rsidRDefault="00F87AD4" w:rsidP="00F87AD4">
      <w:pPr>
        <w:pStyle w:val="MDPI16affiliation"/>
      </w:pPr>
      <w:r w:rsidRPr="00B0049C">
        <w:rPr>
          <w:b/>
        </w:rPr>
        <w:t>*</w:t>
      </w:r>
      <w:r w:rsidRPr="00B0049C">
        <w:tab/>
        <w:t>Correspondence: manstein.dietmar@mh-hannover.de</w:t>
      </w:r>
    </w:p>
    <w:p w:rsidR="00F87AD4" w:rsidRDefault="00F87AD4" w:rsidP="00F87AD4">
      <w:pPr>
        <w:spacing w:after="200" w:line="276" w:lineRule="auto"/>
        <w:jc w:val="left"/>
      </w:pPr>
      <w:r>
        <w:br w:type="page"/>
      </w:r>
    </w:p>
    <w:p w:rsidR="0014787C" w:rsidRDefault="0014787C">
      <w:pPr>
        <w:spacing w:line="240" w:lineRule="auto"/>
        <w:jc w:val="left"/>
        <w:rPr>
          <w:b/>
        </w:rPr>
      </w:pPr>
      <w:r>
        <w:rPr>
          <w:b/>
        </w:rPr>
        <w:lastRenderedPageBreak/>
        <w:t>Supplementary Methods</w:t>
      </w:r>
    </w:p>
    <w:p w:rsidR="0014787C" w:rsidRDefault="00CC7938" w:rsidP="0014787C">
      <w:pPr>
        <w:pStyle w:val="MDPI22heading2"/>
        <w:ind w:left="0"/>
        <w:jc w:val="both"/>
      </w:pPr>
      <w:r>
        <w:t>CORE-MD II</w:t>
      </w:r>
      <w:r w:rsidR="0014787C">
        <w:t xml:space="preserve">: Correlation </w:t>
      </w:r>
      <w:r w:rsidR="009F0931">
        <w:t>G</w:t>
      </w:r>
      <w:r w:rsidR="0014787C">
        <w:t xml:space="preserve">uided </w:t>
      </w:r>
      <w:r w:rsidR="009F0931">
        <w:t>E</w:t>
      </w:r>
      <w:r w:rsidR="0014787C">
        <w:t>nhanced Molecular Dynamics (MD)-</w:t>
      </w:r>
      <w:r w:rsidR="009F0931">
        <w:t>S</w:t>
      </w:r>
      <w:r w:rsidR="0014787C">
        <w:t xml:space="preserve">ampling. </w:t>
      </w:r>
    </w:p>
    <w:p w:rsidR="0014787C" w:rsidRDefault="0014787C" w:rsidP="0014787C">
      <w:pPr>
        <w:pStyle w:val="MDPI32textnoindent"/>
        <w:ind w:left="0"/>
      </w:pPr>
    </w:p>
    <w:p w:rsidR="0014787C" w:rsidRDefault="0014787C" w:rsidP="0014787C">
      <w:pPr>
        <w:pStyle w:val="MDPI32textnoindent"/>
        <w:ind w:left="0"/>
      </w:pPr>
      <w:r>
        <w:t xml:space="preserve">The CORE-MD II technique is an enhanced MD-simulation method that relies in part on partitioning of the entire pathway into short trajectories that we refer to as instances. The CORE-MD II sampling within each instance is accelerated by adaptive path-dependent </w:t>
      </w:r>
      <w:proofErr w:type="spellStart"/>
      <w:r>
        <w:t>Metadynamics</w:t>
      </w:r>
      <w:proofErr w:type="spellEnd"/>
      <w:r>
        <w:t xml:space="preserve"> simulations. The second part of the enhanced sampling MD approach involves kinetic Monte Carlo (</w:t>
      </w:r>
      <w:proofErr w:type="spellStart"/>
      <w:r>
        <w:t>kMC</w:t>
      </w:r>
      <w:proofErr w:type="spellEnd"/>
      <w:r>
        <w:t xml:space="preserve">) sampling between the different configurations that are accessed during each instance. The combination of the partition of the total simulation into short non-equilibrium simulations and the </w:t>
      </w:r>
      <w:proofErr w:type="spellStart"/>
      <w:r>
        <w:t>kMC</w:t>
      </w:r>
      <w:proofErr w:type="spellEnd"/>
      <w:r>
        <w:t xml:space="preserve">-sampling facilitates the sampling of rare events of protein-dynamics on long time-scales without definitions of </w:t>
      </w:r>
      <w:r>
        <w:rPr>
          <w:i/>
          <w:iCs/>
        </w:rPr>
        <w:t xml:space="preserve">a priori </w:t>
      </w:r>
      <w:r>
        <w:t>reaction pathways and additional parameters.</w:t>
      </w:r>
    </w:p>
    <w:p w:rsidR="0014787C" w:rsidRDefault="0014787C" w:rsidP="0014787C">
      <w:pPr>
        <w:pStyle w:val="MDPI32textnoindent"/>
        <w:ind w:left="0"/>
      </w:pPr>
    </w:p>
    <w:p w:rsidR="0014787C" w:rsidRDefault="0014787C" w:rsidP="0014787C">
      <w:pPr>
        <w:pStyle w:val="MDPI32textnoindent"/>
        <w:ind w:left="0"/>
      </w:pPr>
      <w:r>
        <w:t>For the derivation of the CORE-MD II method a global probability</w:t>
      </w:r>
    </w:p>
    <w:p w:rsidR="0014787C" w:rsidRDefault="0014787C" w:rsidP="0014787C">
      <w:pPr>
        <w:pStyle w:val="MDPI32textnoindent"/>
        <w:ind w:left="0"/>
      </w:pPr>
      <w:r>
        <w:t>P(x</w:t>
      </w:r>
      <w:r>
        <w:rPr>
          <w:vertAlign w:val="subscript"/>
        </w:rPr>
        <w:t>i</w:t>
      </w:r>
      <w:r>
        <w:t xml:space="preserve">(t)) is defined, that can be sub-divided over N time-slices or subtrajectories k with length </w:t>
      </w:r>
    </w:p>
    <w:p w:rsidR="0014787C" w:rsidRDefault="0014787C" w:rsidP="0014787C">
      <w:pPr>
        <w:pStyle w:val="MDPI32textnoindent"/>
        <w:ind w:left="0"/>
      </w:pPr>
      <w:r>
        <w:rPr>
          <w:rFonts w:ascii="Symbol" w:hAnsi="Symbol"/>
        </w:rPr>
        <w:t></w:t>
      </w:r>
      <w:r>
        <w:rPr>
          <w:vertAlign w:val="subscript"/>
        </w:rPr>
        <w:t>k</w:t>
      </w:r>
      <w:r>
        <w:t xml:space="preserve">, which are described by local probability densities </w:t>
      </w:r>
      <w:r>
        <w:rPr>
          <w:rFonts w:ascii="Symbol" w:hAnsi="Symbol"/>
        </w:rPr>
        <w:t></w:t>
      </w:r>
      <w:r>
        <w:rPr>
          <w:vertAlign w:val="subscript"/>
        </w:rPr>
        <w:t>k</w:t>
      </w:r>
      <w:r>
        <w:t>(x</w:t>
      </w:r>
      <w:r>
        <w:rPr>
          <w:vertAlign w:val="subscript"/>
        </w:rPr>
        <w:t>i</w:t>
      </w:r>
      <w:r>
        <w:t>(t)</w:t>
      </w:r>
      <w:proofErr w:type="gramStart"/>
      <w:r>
        <w:t>) :</w:t>
      </w:r>
      <w:proofErr w:type="gramEnd"/>
    </w:p>
    <w:p w:rsidR="0014787C" w:rsidRDefault="0014787C" w:rsidP="0014787C">
      <w:pPr>
        <w:pStyle w:val="MDPI32textnoindent"/>
        <w:ind w:left="0"/>
      </w:pPr>
    </w:p>
    <w:p w:rsidR="0014787C" w:rsidRDefault="0014787C" w:rsidP="0014787C">
      <w:pPr>
        <w:pStyle w:val="MDPI32textnoindent"/>
        <w:ind w:left="0"/>
      </w:pPr>
      <m:oMathPara>
        <m:oMathParaPr>
          <m:jc m:val="left"/>
        </m:oMathParaP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d>
                <m:dPr>
                  <m:ctrlPr>
                    <w:rPr>
                      <w:rFonts w:ascii="Cambria Math" w:hAnsi="Cambria Math"/>
                    </w:rPr>
                  </m:ctrlPr>
                </m:dPr>
                <m:e>
                  <m:r>
                    <w:rPr>
                      <w:rFonts w:ascii="Cambria Math" w:hAnsi="Cambria Math"/>
                    </w:rPr>
                    <m:t>t</m:t>
                  </m:r>
                </m:e>
              </m:d>
            </m:e>
          </m:d>
          <m:r>
            <w:rPr>
              <w:rFonts w:ascii="Cambria Math" w:hAnsi="Cambria Math"/>
            </w:rPr>
            <m:t>=</m:t>
          </m:r>
          <m:func>
            <m:funcPr>
              <m:ctrlPr>
                <w:rPr>
                  <w:rFonts w:ascii="Cambria Math" w:hAnsi="Cambria Math"/>
                </w:rPr>
              </m:ctrlPr>
            </m:funcPr>
            <m:fName>
              <m:limLow>
                <m:limLowPr>
                  <m:ctrlPr>
                    <w:rPr>
                      <w:rFonts w:ascii="Cambria Math" w:hAnsi="Cambria Math"/>
                    </w:rPr>
                  </m:ctrlPr>
                </m:limLowPr>
                <m:e>
                  <m:r>
                    <w:rPr>
                      <w:rFonts w:ascii="Cambria Math" w:hAnsi="Cambria Math"/>
                    </w:rPr>
                    <m:t>lim</m:t>
                  </m:r>
                </m:e>
                <m:lim>
                  <m:r>
                    <w:rPr>
                      <w:rFonts w:ascii="Cambria Math" w:hAnsi="Cambria Math"/>
                    </w:rPr>
                    <m:t>N→∞</m:t>
                  </m:r>
                </m:lim>
              </m:limLow>
            </m:fName>
            <m:e>
              <m:nary>
                <m:naryPr>
                  <m:chr m:val="∏"/>
                  <m:ctrlPr>
                    <w:rPr>
                      <w:rFonts w:ascii="Cambria Math" w:hAnsi="Cambria Math"/>
                    </w:rPr>
                  </m:ctrlPr>
                </m:naryPr>
                <m:sub>
                  <m:r>
                    <w:rPr>
                      <w:rFonts w:ascii="Cambria Math" w:hAnsi="Cambria Math"/>
                    </w:rPr>
                    <m:t>k</m:t>
                  </m:r>
                </m:sub>
                <m:sup>
                  <m:r>
                    <w:rPr>
                      <w:rFonts w:ascii="Cambria Math" w:hAnsi="Cambria Math"/>
                    </w:rPr>
                    <m:t>N</m:t>
                  </m:r>
                </m:sup>
                <m:e>
                  <m:sSub>
                    <m:sSubPr>
                      <m:ctrlPr>
                        <w:rPr>
                          <w:rFonts w:ascii="Cambria Math" w:hAnsi="Cambria Math"/>
                        </w:rPr>
                      </m:ctrlPr>
                    </m:sSubPr>
                    <m:e>
                      <m:r>
                        <w:rPr>
                          <w:rFonts w:ascii="Cambria Math" w:hAnsi="Cambria Math"/>
                        </w:rPr>
                        <m:t>ρ</m:t>
                      </m:r>
                    </m:e>
                    <m:sub>
                      <m:r>
                        <w:rPr>
                          <w:rFonts w:ascii="Cambria Math" w:hAnsi="Cambria Math"/>
                        </w:rPr>
                        <m:t>k</m:t>
                      </m:r>
                    </m:sub>
                  </m:sSub>
                </m:e>
              </m:nary>
            </m:e>
          </m:func>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d>
                <m:dPr>
                  <m:ctrlPr>
                    <w:rPr>
                      <w:rFonts w:ascii="Cambria Math" w:hAnsi="Cambria Math"/>
                    </w:rPr>
                  </m:ctrlPr>
                </m:dPr>
                <m:e>
                  <m:r>
                    <w:rPr>
                      <w:rFonts w:ascii="Cambria Math" w:hAnsi="Cambria Math"/>
                    </w:rPr>
                    <m:t>t</m:t>
                  </m:r>
                </m:e>
              </m:d>
            </m:e>
          </m:d>
        </m:oMath>
      </m:oMathPara>
    </w:p>
    <w:p w:rsidR="0014787C" w:rsidRDefault="0014787C" w:rsidP="0014787C">
      <w:pPr>
        <w:pStyle w:val="MDPI32textnoindent"/>
        <w:ind w:left="0"/>
      </w:pPr>
    </w:p>
    <w:p w:rsidR="0014787C" w:rsidRDefault="0014787C" w:rsidP="0014787C">
      <w:pPr>
        <w:pStyle w:val="MDPI32textnoindent"/>
        <w:ind w:left="0"/>
      </w:pPr>
      <w:r>
        <w:t>where x</w:t>
      </w:r>
      <w:r>
        <w:rPr>
          <w:vertAlign w:val="subscript"/>
        </w:rPr>
        <w:t>i</w:t>
      </w:r>
      <w:r>
        <w:t xml:space="preserve">(t) stands for the coordinate of an atom with the index </w:t>
      </w:r>
      <w:proofErr w:type="spellStart"/>
      <w:r>
        <w:t>i</w:t>
      </w:r>
      <w:proofErr w:type="spellEnd"/>
      <w:r>
        <w:t>.</w:t>
      </w:r>
    </w:p>
    <w:p w:rsidR="0014787C" w:rsidRDefault="0014787C" w:rsidP="0014787C">
      <w:pPr>
        <w:pStyle w:val="MDPI32textnoindent"/>
        <w:ind w:left="0"/>
      </w:pPr>
      <w:r>
        <w:t>In the CORE-MD II formalism, we then consider the averaging process of a trajectory dependent quantity X(t),</w:t>
      </w:r>
    </w:p>
    <w:p w:rsidR="0014787C" w:rsidRDefault="0014787C" w:rsidP="0014787C">
      <w:pPr>
        <w:pStyle w:val="MDPI32textnoindent"/>
        <w:ind w:left="0"/>
      </w:pPr>
      <w:r>
        <w:t>the partition into small trajectories allows for a faster formation of time-averages than</w:t>
      </w:r>
    </w:p>
    <w:p w:rsidR="0014787C" w:rsidRDefault="0014787C" w:rsidP="0014787C">
      <w:pPr>
        <w:pStyle w:val="MDPI32textnoindent"/>
        <w:ind w:left="0"/>
      </w:pPr>
      <w:r>
        <w:t xml:space="preserve">the determination of the expectation value of the complete trajectory, which is </w:t>
      </w:r>
    </w:p>
    <w:p w:rsidR="0014787C" w:rsidRDefault="0014787C" w:rsidP="0014787C">
      <w:pPr>
        <w:pStyle w:val="MDPI32textnoindent"/>
        <w:ind w:left="0"/>
      </w:pPr>
      <w:r>
        <w:t xml:space="preserve">linked to the time-scale problem of MD-simulations. Therefore, the </w:t>
      </w:r>
    </w:p>
    <w:p w:rsidR="0014787C" w:rsidRDefault="0014787C" w:rsidP="0014787C">
      <w:pPr>
        <w:pStyle w:val="MDPI32textnoindent"/>
        <w:ind w:left="0"/>
      </w:pPr>
      <w:r>
        <w:t xml:space="preserve">expectation value of the complete trajectory can be approximated </w:t>
      </w:r>
      <w:proofErr w:type="gramStart"/>
      <w:r>
        <w:t>as :</w:t>
      </w:r>
      <w:proofErr w:type="gramEnd"/>
    </w:p>
    <w:p w:rsidR="0014787C" w:rsidRDefault="0014787C" w:rsidP="0014787C">
      <w:pPr>
        <w:pStyle w:val="MDPI32textnoindent"/>
        <w:ind w:left="0"/>
      </w:pPr>
    </w:p>
    <w:p w:rsidR="0014787C" w:rsidRDefault="00A951A8" w:rsidP="0014787C">
      <w:pPr>
        <w:pStyle w:val="MDPI32textnoindent"/>
        <w:ind w:left="0"/>
      </w:pPr>
      <m:oMathPara>
        <m:oMathParaPr>
          <m:jc m:val="left"/>
        </m:oMathParaPr>
        <m:oMath>
          <m:d>
            <m:dPr>
              <m:begChr m:val="⟨"/>
              <m:endChr m:val="⟩"/>
              <m:ctrlPr>
                <w:rPr>
                  <w:rFonts w:ascii="Cambria Math" w:hAnsi="Cambria Math"/>
                </w:rPr>
              </m:ctrlPr>
            </m:dPr>
            <m:e>
              <m:r>
                <w:rPr>
                  <w:rFonts w:ascii="Cambria Math" w:hAnsi="Cambria Math"/>
                </w:rPr>
                <m:t>X</m:t>
              </m:r>
              <m:d>
                <m:dPr>
                  <m:ctrlPr>
                    <w:rPr>
                      <w:rFonts w:ascii="Cambria Math" w:hAnsi="Cambria Math"/>
                    </w:rPr>
                  </m:ctrlPr>
                </m:dPr>
                <m:e>
                  <m:r>
                    <w:rPr>
                      <w:rFonts w:ascii="Cambria Math" w:hAnsi="Cambria Math"/>
                    </w:rPr>
                    <m:t>t</m:t>
                  </m:r>
                </m:e>
              </m:d>
            </m:e>
          </m:d>
          <m:r>
            <w:rPr>
              <w:rFonts w:ascii="Cambria Math" w:hAnsi="Cambria Math"/>
            </w:rPr>
            <m:t>=X</m:t>
          </m:r>
          <m:d>
            <m:dPr>
              <m:ctrlPr>
                <w:rPr>
                  <w:rFonts w:ascii="Cambria Math" w:hAnsi="Cambria Math"/>
                </w:rPr>
              </m:ctrlPr>
            </m:dPr>
            <m:e>
              <m:r>
                <w:rPr>
                  <w:rFonts w:ascii="Cambria Math" w:hAnsi="Cambria Math"/>
                </w:rPr>
                <m:t>t</m:t>
              </m:r>
            </m:e>
          </m:d>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d>
                <m:dPr>
                  <m:ctrlPr>
                    <w:rPr>
                      <w:rFonts w:ascii="Cambria Math" w:hAnsi="Cambria Math"/>
                    </w:rPr>
                  </m:ctrlPr>
                </m:dPr>
                <m:e>
                  <m:r>
                    <w:rPr>
                      <w:rFonts w:ascii="Cambria Math" w:hAnsi="Cambria Math"/>
                    </w:rPr>
                    <m:t>t</m:t>
                  </m:r>
                </m:e>
              </m:d>
            </m:e>
          </m:d>
          <m:r>
            <w:rPr>
              <w:rFonts w:ascii="Cambria Math" w:hAnsi="Cambria Math"/>
            </w:rPr>
            <m:t>≈X</m:t>
          </m:r>
          <m:d>
            <m:dPr>
              <m:ctrlPr>
                <w:rPr>
                  <w:rFonts w:ascii="Cambria Math" w:hAnsi="Cambria Math"/>
                </w:rPr>
              </m:ctrlPr>
            </m:dPr>
            <m:e>
              <m:r>
                <w:rPr>
                  <w:rFonts w:ascii="Cambria Math" w:hAnsi="Cambria Math"/>
                </w:rPr>
                <m:t>t</m:t>
              </m:r>
            </m:e>
          </m:d>
          <m:nary>
            <m:naryPr>
              <m:chr m:val="∏"/>
              <m:ctrlPr>
                <w:rPr>
                  <w:rFonts w:ascii="Cambria Math" w:hAnsi="Cambria Math"/>
                </w:rPr>
              </m:ctrlPr>
            </m:naryPr>
            <m:sub>
              <m:r>
                <w:rPr>
                  <w:rFonts w:ascii="Cambria Math" w:hAnsi="Cambria Math"/>
                </w:rPr>
                <m:t>k</m:t>
              </m:r>
            </m:sub>
            <m:sup>
              <m:r>
                <w:rPr>
                  <w:rFonts w:ascii="Cambria Math" w:hAnsi="Cambria Math"/>
                </w:rPr>
                <m:t>K</m:t>
              </m:r>
            </m:sup>
            <m:e>
              <m:sSub>
                <m:sSubPr>
                  <m:ctrlPr>
                    <w:rPr>
                      <w:rFonts w:ascii="Cambria Math" w:hAnsi="Cambria Math"/>
                    </w:rPr>
                  </m:ctrlPr>
                </m:sSubPr>
                <m:e>
                  <m:r>
                    <w:rPr>
                      <w:rFonts w:ascii="Cambria Math" w:hAnsi="Cambria Math"/>
                    </w:rPr>
                    <m:t>ρ</m:t>
                  </m:r>
                </m:e>
                <m:sub>
                  <m:r>
                    <w:rPr>
                      <w:rFonts w:ascii="Cambria Math" w:hAnsi="Cambria Math"/>
                    </w:rPr>
                    <m:t>k</m:t>
                  </m:r>
                </m:sub>
              </m:sSub>
            </m:e>
          </m:nary>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d>
                <m:dPr>
                  <m:ctrlPr>
                    <w:rPr>
                      <w:rFonts w:ascii="Cambria Math" w:hAnsi="Cambria Math"/>
                    </w:rPr>
                  </m:ctrlPr>
                </m:dPr>
                <m:e>
                  <m:r>
                    <w:rPr>
                      <w:rFonts w:ascii="Cambria Math" w:hAnsi="Cambria Math"/>
                    </w:rPr>
                    <m:t>t</m:t>
                  </m:r>
                </m:e>
              </m:d>
            </m:e>
          </m:d>
        </m:oMath>
      </m:oMathPara>
    </w:p>
    <w:p w:rsidR="0014787C" w:rsidRDefault="0014787C" w:rsidP="0014787C">
      <w:pPr>
        <w:pStyle w:val="MDPI32textnoindent"/>
        <w:ind w:left="0"/>
      </w:pPr>
    </w:p>
    <w:p w:rsidR="0014787C" w:rsidRDefault="0014787C" w:rsidP="0014787C">
      <w:pPr>
        <w:pStyle w:val="MDPI32textnoindent"/>
        <w:ind w:left="0"/>
      </w:pPr>
      <w:r>
        <w:t>which states that the partition of the complete trajectory into a</w:t>
      </w:r>
    </w:p>
    <w:p w:rsidR="0014787C" w:rsidRDefault="0014787C" w:rsidP="0014787C">
      <w:pPr>
        <w:pStyle w:val="MDPI32textnoindent"/>
        <w:ind w:left="0"/>
      </w:pPr>
      <w:r>
        <w:t xml:space="preserve">finite number of K sub-trajectories is approximately sufficient for the </w:t>
      </w:r>
    </w:p>
    <w:p w:rsidR="0014787C" w:rsidRDefault="0014787C" w:rsidP="0014787C">
      <w:pPr>
        <w:pStyle w:val="MDPI32textnoindent"/>
        <w:ind w:left="0"/>
      </w:pPr>
      <w:r>
        <w:t xml:space="preserve">sampling of the expectation value  </w:t>
      </w:r>
      <m:oMath>
        <m:d>
          <m:dPr>
            <m:begChr m:val="⟨"/>
            <m:endChr m:val="⟩"/>
            <m:ctrlPr>
              <w:rPr>
                <w:rFonts w:ascii="Cambria Math" w:hAnsi="Cambria Math"/>
              </w:rPr>
            </m:ctrlPr>
          </m:dPr>
          <m:e>
            <m:r>
              <w:rPr>
                <w:rFonts w:ascii="Cambria Math" w:hAnsi="Cambria Math"/>
              </w:rPr>
              <m:t>X</m:t>
            </m:r>
            <m:d>
              <m:dPr>
                <m:ctrlPr>
                  <w:rPr>
                    <w:rFonts w:ascii="Cambria Math" w:hAnsi="Cambria Math"/>
                  </w:rPr>
                </m:ctrlPr>
              </m:dPr>
              <m:e>
                <m:r>
                  <w:rPr>
                    <w:rFonts w:ascii="Cambria Math" w:hAnsi="Cambria Math"/>
                  </w:rPr>
                  <m:t>t</m:t>
                </m:r>
              </m:e>
            </m:d>
          </m:e>
        </m:d>
      </m:oMath>
      <w:r>
        <w:t>.</w:t>
      </w:r>
    </w:p>
    <w:p w:rsidR="0014787C" w:rsidRDefault="0014787C" w:rsidP="0014787C">
      <w:pPr>
        <w:pStyle w:val="MDPI32textnoindent"/>
        <w:ind w:left="0"/>
      </w:pPr>
      <w:r>
        <w:t xml:space="preserve">We define the number of configurations K by a minimal set of the </w:t>
      </w:r>
    </w:p>
    <w:p w:rsidR="0014787C" w:rsidRDefault="0014787C" w:rsidP="0014787C">
      <w:pPr>
        <w:pStyle w:val="MDPI32textnoindent"/>
        <w:ind w:left="0"/>
      </w:pPr>
      <w:r>
        <w:t>number of atoms N</w:t>
      </w:r>
      <w:r>
        <w:rPr>
          <w:vertAlign w:val="subscript"/>
        </w:rPr>
        <w:t>a</w:t>
      </w:r>
      <w:r>
        <w:t xml:space="preserve"> in the system, which guarantees a fast forward propagation. </w:t>
      </w:r>
    </w:p>
    <w:p w:rsidR="0014787C" w:rsidRDefault="0014787C" w:rsidP="0014787C">
      <w:pPr>
        <w:pStyle w:val="MDPI32textnoindent"/>
        <w:ind w:left="0"/>
      </w:pPr>
      <w:r>
        <w:t>Within each instance k, the local pathway is described by</w:t>
      </w:r>
    </w:p>
    <w:p w:rsidR="0014787C" w:rsidRDefault="0014787C" w:rsidP="0014787C">
      <w:pPr>
        <w:pStyle w:val="MDPI32textnoindent"/>
        <w:ind w:left="0"/>
      </w:pPr>
      <w:r>
        <w:t xml:space="preserve">the reduced action </w:t>
      </w:r>
      <m:oMath>
        <m:sSub>
          <m:sSubPr>
            <m:ctrlPr>
              <w:rPr>
                <w:rFonts w:ascii="Cambria Math" w:hAnsi="Cambria Math"/>
              </w:rPr>
            </m:ctrlPr>
          </m:sSubPr>
          <m:e>
            <m:r>
              <w:rPr>
                <w:rFonts w:ascii="Cambria Math" w:hAnsi="Cambria Math"/>
              </w:rPr>
              <m:t>L</m:t>
            </m:r>
          </m:e>
          <m:sub>
            <m:sSub>
              <m:sSubPr>
                <m:ctrlPr>
                  <w:rPr>
                    <w:rFonts w:ascii="Cambria Math" w:hAnsi="Cambria Math"/>
                  </w:rPr>
                </m:ctrlPr>
              </m:sSubPr>
              <m:e>
                <m:r>
                  <w:rPr>
                    <w:rFonts w:ascii="Cambria Math" w:hAnsi="Cambria Math"/>
                  </w:rPr>
                  <m:t>i</m:t>
                </m:r>
              </m:e>
              <m:sub>
                <m:r>
                  <w:rPr>
                    <w:rFonts w:ascii="Cambria Math" w:hAnsi="Cambria Math"/>
                  </w:rPr>
                  <m:t>k</m:t>
                </m:r>
              </m:sub>
            </m:sSub>
          </m:sub>
        </m:sSub>
        <m:d>
          <m:dPr>
            <m:ctrlPr>
              <w:rPr>
                <w:rFonts w:ascii="Cambria Math" w:hAnsi="Cambria Math"/>
              </w:rPr>
            </m:ctrlPr>
          </m:dPr>
          <m:e>
            <m:r>
              <w:rPr>
                <w:rFonts w:ascii="Cambria Math" w:hAnsi="Cambria Math"/>
              </w:rPr>
              <m:t>t</m:t>
            </m:r>
          </m:e>
        </m:d>
      </m:oMath>
      <w:r>
        <w:t xml:space="preserve"> :</w:t>
      </w:r>
    </w:p>
    <w:p w:rsidR="0014787C" w:rsidRDefault="00A951A8" w:rsidP="0014787C">
      <w:pPr>
        <w:pStyle w:val="MDPI32textnoindent"/>
        <w:ind w:left="0"/>
      </w:pPr>
      <m:oMathPara>
        <m:oMathParaPr>
          <m:jc m:val="left"/>
        </m:oMathParaPr>
        <m:oMath>
          <m:sSub>
            <m:sSubPr>
              <m:ctrlPr>
                <w:rPr>
                  <w:rFonts w:ascii="Cambria Math" w:hAnsi="Cambria Math"/>
                </w:rPr>
              </m:ctrlPr>
            </m:sSubPr>
            <m:e>
              <m:r>
                <w:rPr>
                  <w:rFonts w:ascii="Cambria Math" w:hAnsi="Cambria Math"/>
                </w:rPr>
                <m:t>L</m:t>
              </m:r>
            </m:e>
            <m:sub>
              <m:sSub>
                <m:sSubPr>
                  <m:ctrlPr>
                    <w:rPr>
                      <w:rFonts w:ascii="Cambria Math" w:hAnsi="Cambria Math"/>
                    </w:rPr>
                  </m:ctrlPr>
                </m:sSubPr>
                <m:e>
                  <m:r>
                    <w:rPr>
                      <w:rFonts w:ascii="Cambria Math" w:hAnsi="Cambria Math"/>
                    </w:rPr>
                    <m:t>i</m:t>
                  </m:r>
                </m:e>
                <m:sub>
                  <m:r>
                    <w:rPr>
                      <w:rFonts w:ascii="Cambria Math" w:hAnsi="Cambria Math"/>
                    </w:rPr>
                    <m:t>k</m:t>
                  </m:r>
                </m:sub>
              </m:sSub>
            </m:sub>
          </m:sSub>
          <m:d>
            <m:dPr>
              <m:ctrlPr>
                <w:rPr>
                  <w:rFonts w:ascii="Cambria Math" w:hAnsi="Cambria Math"/>
                </w:rPr>
              </m:ctrlPr>
            </m:dPr>
            <m:e>
              <m:r>
                <w:rPr>
                  <w:rFonts w:ascii="Cambria Math" w:hAnsi="Cambria Math"/>
                </w:rPr>
                <m:t>t</m:t>
              </m:r>
            </m:e>
          </m:d>
          <m:r>
            <w:rPr>
              <w:rFonts w:ascii="Cambria Math" w:hAnsi="Cambria Math"/>
            </w:rPr>
            <m:t>=</m:t>
          </m:r>
          <m:nary>
            <m:naryPr>
              <m:chr m:val="∑"/>
              <m:supHide m:val="1"/>
              <m:ctrlPr>
                <w:rPr>
                  <w:rFonts w:ascii="Cambria Math" w:hAnsi="Cambria Math"/>
                </w:rPr>
              </m:ctrlPr>
            </m:naryPr>
            <m:sub>
              <m:r>
                <w:rPr>
                  <w:rFonts w:ascii="Cambria Math" w:hAnsi="Cambria Math"/>
                </w:rPr>
                <m:t>t&lt;</m:t>
              </m:r>
              <m:sSub>
                <m:sSubPr>
                  <m:ctrlPr>
                    <w:rPr>
                      <w:rFonts w:ascii="Cambria Math" w:hAnsi="Cambria Math"/>
                    </w:rPr>
                  </m:ctrlPr>
                </m:sSubPr>
                <m:e>
                  <m:r>
                    <w:rPr>
                      <w:rFonts w:ascii="Cambria Math" w:hAnsi="Cambria Math"/>
                    </w:rPr>
                    <m:t>τ</m:t>
                  </m:r>
                </m:e>
                <m:sub>
                  <m:r>
                    <w:rPr>
                      <w:rFonts w:ascii="Cambria Math" w:hAnsi="Cambria Math"/>
                    </w:rPr>
                    <m:t>k</m:t>
                  </m:r>
                </m:sub>
              </m:sSub>
            </m:sub>
            <m:sup/>
            <m:e>
              <m:sSub>
                <m:sSubPr>
                  <m:ctrlPr>
                    <w:rPr>
                      <w:rFonts w:ascii="Cambria Math" w:hAnsi="Cambria Math"/>
                    </w:rPr>
                  </m:ctrlPr>
                </m:sSubPr>
                <m:e>
                  <m:r>
                    <w:rPr>
                      <w:rFonts w:ascii="Cambria Math" w:hAnsi="Cambria Math"/>
                    </w:rPr>
                    <m:t>p</m:t>
                  </m:r>
                </m:e>
                <m:sub>
                  <m:r>
                    <w:rPr>
                      <w:rFonts w:ascii="Cambria Math" w:hAnsi="Cambria Math"/>
                    </w:rPr>
                    <m:t>i</m:t>
                  </m:r>
                </m:sub>
              </m:sSub>
            </m:e>
          </m:nary>
          <m:d>
            <m:dPr>
              <m:ctrlPr>
                <w:rPr>
                  <w:rFonts w:ascii="Cambria Math" w:hAnsi="Cambria Math"/>
                </w:rPr>
              </m:ctrlPr>
            </m:dPr>
            <m:e>
              <m:r>
                <w:rPr>
                  <w:rFonts w:ascii="Cambria Math" w:hAnsi="Cambria Math"/>
                </w:rPr>
                <m:t>t</m:t>
              </m:r>
            </m:e>
          </m:d>
          <m:r>
            <w:rPr>
              <w:rFonts w:ascii="Cambria Math" w:hAnsi="Cambria Math"/>
            </w:rPr>
            <m:t>Δ</m:t>
          </m:r>
          <m:sSub>
            <m:sSubPr>
              <m:ctrlPr>
                <w:rPr>
                  <w:rFonts w:ascii="Cambria Math" w:hAnsi="Cambria Math"/>
                </w:rPr>
              </m:ctrlPr>
            </m:sSubPr>
            <m:e>
              <m:r>
                <w:rPr>
                  <w:rFonts w:ascii="Cambria Math" w:hAnsi="Cambria Math"/>
                </w:rPr>
                <m:t>x</m:t>
              </m:r>
            </m:e>
            <m:sub>
              <m:r>
                <w:rPr>
                  <w:rFonts w:ascii="Cambria Math" w:hAnsi="Cambria Math"/>
                </w:rPr>
                <m:t>i</m:t>
              </m:r>
            </m:sub>
          </m:sSub>
          <m:d>
            <m:dPr>
              <m:ctrlPr>
                <w:rPr>
                  <w:rFonts w:ascii="Cambria Math" w:hAnsi="Cambria Math"/>
                </w:rPr>
              </m:ctrlPr>
            </m:dPr>
            <m:e>
              <m:r>
                <w:rPr>
                  <w:rFonts w:ascii="Cambria Math" w:hAnsi="Cambria Math"/>
                </w:rPr>
                <m:t>t</m:t>
              </m:r>
            </m:e>
          </m:d>
        </m:oMath>
      </m:oMathPara>
    </w:p>
    <w:p w:rsidR="0014787C" w:rsidRDefault="0014787C" w:rsidP="0014787C">
      <w:pPr>
        <w:pStyle w:val="MDPI32textnoindent"/>
        <w:ind w:left="0"/>
      </w:pPr>
    </w:p>
    <w:p w:rsidR="0014787C" w:rsidRDefault="0014787C" w:rsidP="0014787C">
      <w:pPr>
        <w:pStyle w:val="MDPI32textnoindent"/>
        <w:ind w:left="0"/>
      </w:pPr>
      <w:r>
        <w:t xml:space="preserve">where </w:t>
      </w:r>
      <m:oMath>
        <m:r>
          <w:rPr>
            <w:rFonts w:ascii="Cambria Math" w:hAnsi="Cambria Math"/>
          </w:rPr>
          <m:t>Δ</m:t>
        </m:r>
        <m:sSub>
          <m:sSubPr>
            <m:ctrlPr>
              <w:rPr>
                <w:rFonts w:ascii="Cambria Math" w:hAnsi="Cambria Math"/>
              </w:rPr>
            </m:ctrlPr>
          </m:sSubPr>
          <m:e>
            <m:r>
              <w:rPr>
                <w:rFonts w:ascii="Cambria Math" w:hAnsi="Cambria Math"/>
              </w:rPr>
              <m:t>x</m:t>
            </m:r>
          </m:e>
          <m:sub>
            <m:r>
              <w:rPr>
                <w:rFonts w:ascii="Cambria Math" w:hAnsi="Cambria Math"/>
              </w:rPr>
              <m:t>i</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d>
          <m:dPr>
            <m:ctrlPr>
              <w:rPr>
                <w:rFonts w:ascii="Cambria Math" w:hAnsi="Cambria Math"/>
              </w:rPr>
            </m:ctrlPr>
          </m:dPr>
          <m:e>
            <m:r>
              <w:rPr>
                <w:rFonts w:ascii="Cambria Math" w:hAnsi="Cambria Math"/>
              </w:rPr>
              <m:t>t</m:t>
            </m:r>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d>
              <m:dPr>
                <m:ctrlPr>
                  <w:rPr>
                    <w:rFonts w:ascii="Cambria Math" w:hAnsi="Cambria Math"/>
                  </w:rPr>
                </m:ctrlPr>
              </m:dPr>
              <m:e>
                <m:r>
                  <w:rPr>
                    <w:rFonts w:ascii="Cambria Math" w:hAnsi="Cambria Math"/>
                  </w:rPr>
                  <m:t>t</m:t>
                </m:r>
              </m:e>
            </m:d>
          </m:e>
        </m:d>
      </m:oMath>
      <w:r>
        <w:t>, p</w:t>
      </w:r>
      <w:r>
        <w:rPr>
          <w:vertAlign w:val="subscript"/>
        </w:rPr>
        <w:t>i</w:t>
      </w:r>
      <w:r>
        <w:t xml:space="preserve">(t) is the momentum and t </w:t>
      </w:r>
      <w:proofErr w:type="gramStart"/>
      <w:r>
        <w:t>stands</w:t>
      </w:r>
      <w:proofErr w:type="gramEnd"/>
      <w:r>
        <w:t xml:space="preserve"> for the time. </w:t>
      </w:r>
    </w:p>
    <w:p w:rsidR="0014787C" w:rsidRDefault="0014787C" w:rsidP="0014787C">
      <w:pPr>
        <w:pStyle w:val="MDPI32textnoindent"/>
        <w:ind w:left="0"/>
      </w:pPr>
      <w:r>
        <w:t xml:space="preserve">The local path </w:t>
      </w:r>
      <m:oMath>
        <m:sSub>
          <m:sSubPr>
            <m:ctrlPr>
              <w:rPr>
                <w:rFonts w:ascii="Cambria Math" w:hAnsi="Cambria Math"/>
              </w:rPr>
            </m:ctrlPr>
          </m:sSubPr>
          <m:e>
            <m:r>
              <w:rPr>
                <w:rFonts w:ascii="Cambria Math" w:hAnsi="Cambria Math"/>
              </w:rPr>
              <m:t>L</m:t>
            </m:r>
          </m:e>
          <m:sub>
            <m:sSub>
              <m:sSubPr>
                <m:ctrlPr>
                  <w:rPr>
                    <w:rFonts w:ascii="Cambria Math" w:hAnsi="Cambria Math"/>
                  </w:rPr>
                </m:ctrlPr>
              </m:sSubPr>
              <m:e>
                <m:r>
                  <w:rPr>
                    <w:rFonts w:ascii="Cambria Math" w:hAnsi="Cambria Math"/>
                  </w:rPr>
                  <m:t>i</m:t>
                </m:r>
              </m:e>
              <m:sub>
                <m:r>
                  <w:rPr>
                    <w:rFonts w:ascii="Cambria Math" w:hAnsi="Cambria Math"/>
                  </w:rPr>
                  <m:t>k</m:t>
                </m:r>
              </m:sub>
            </m:sSub>
          </m:sub>
        </m:sSub>
        <m:d>
          <m:dPr>
            <m:ctrlPr>
              <w:rPr>
                <w:rFonts w:ascii="Cambria Math" w:hAnsi="Cambria Math"/>
              </w:rPr>
            </m:ctrlPr>
          </m:dPr>
          <m:e>
            <m:r>
              <w:rPr>
                <w:rFonts w:ascii="Cambria Math" w:hAnsi="Cambria Math"/>
              </w:rPr>
              <m:t>t</m:t>
            </m:r>
          </m:e>
        </m:d>
      </m:oMath>
      <w:r>
        <w:t xml:space="preserve"> is used to define the local autocorrelation </w:t>
      </w:r>
    </w:p>
    <w:p w:rsidR="0014787C" w:rsidRDefault="0014787C" w:rsidP="0014787C">
      <w:pPr>
        <w:pStyle w:val="MDPI32textnoindent"/>
        <w:ind w:left="0"/>
      </w:pPr>
      <w:r>
        <w:t xml:space="preserve">function </w:t>
      </w:r>
      <m:oMath>
        <m:sSub>
          <m:sSubPr>
            <m:ctrlPr>
              <w:rPr>
                <w:rFonts w:ascii="Cambria Math" w:hAnsi="Cambria Math"/>
              </w:rPr>
            </m:ctrlPr>
          </m:sSubPr>
          <m:e>
            <m:r>
              <w:rPr>
                <w:rFonts w:ascii="Cambria Math" w:hAnsi="Cambria Math"/>
              </w:rPr>
              <m:t>C</m:t>
            </m:r>
          </m:e>
          <m:sub>
            <m:sSub>
              <m:sSubPr>
                <m:ctrlPr>
                  <w:rPr>
                    <w:rFonts w:ascii="Cambria Math" w:hAnsi="Cambria Math"/>
                  </w:rPr>
                </m:ctrlPr>
              </m:sSubPr>
              <m:e>
                <m:r>
                  <w:rPr>
                    <w:rFonts w:ascii="Cambria Math" w:hAnsi="Cambria Math"/>
                  </w:rPr>
                  <m:t>i</m:t>
                </m:r>
              </m:e>
              <m:sub>
                <m:r>
                  <w:rPr>
                    <w:rFonts w:ascii="Cambria Math" w:hAnsi="Cambria Math"/>
                  </w:rPr>
                  <m:t>k</m:t>
                </m:r>
              </m:sub>
            </m:sSub>
          </m:sub>
        </m:sSub>
        <m:d>
          <m:dPr>
            <m:ctrlPr>
              <w:rPr>
                <w:rFonts w:ascii="Cambria Math" w:hAnsi="Cambria Math"/>
              </w:rPr>
            </m:ctrlPr>
          </m:dPr>
          <m:e>
            <m:r>
              <w:rPr>
                <w:rFonts w:ascii="Cambria Math" w:hAnsi="Cambria Math"/>
              </w:rPr>
              <m:t>t</m:t>
            </m:r>
          </m:e>
        </m:d>
      </m:oMath>
      <w:r>
        <w:t xml:space="preserve"> :</w:t>
      </w:r>
    </w:p>
    <w:p w:rsidR="0014787C" w:rsidRDefault="0014787C" w:rsidP="0014787C">
      <w:pPr>
        <w:pStyle w:val="MDPI32textnoindent"/>
        <w:ind w:left="0"/>
      </w:pPr>
    </w:p>
    <w:p w:rsidR="0014787C" w:rsidRDefault="0014787C" w:rsidP="0014787C">
      <w:pPr>
        <w:pStyle w:val="MDPI32textnoindent"/>
        <w:ind w:left="0"/>
      </w:pPr>
    </w:p>
    <w:p w:rsidR="0014787C" w:rsidRDefault="00A951A8" w:rsidP="0014787C">
      <w:pPr>
        <w:pStyle w:val="MDPI32textnoindent"/>
        <w:ind w:left="0"/>
      </w:pPr>
      <m:oMath>
        <m:sSub>
          <m:sSubPr>
            <m:ctrlPr>
              <w:rPr>
                <w:rFonts w:ascii="Cambria Math" w:hAnsi="Cambria Math"/>
              </w:rPr>
            </m:ctrlPr>
          </m:sSubPr>
          <m:e>
            <m:r>
              <w:rPr>
                <w:rFonts w:ascii="Cambria Math" w:hAnsi="Cambria Math"/>
              </w:rPr>
              <m:t>C</m:t>
            </m:r>
          </m:e>
          <m:sub>
            <m:sSub>
              <m:sSubPr>
                <m:ctrlPr>
                  <w:rPr>
                    <w:rFonts w:ascii="Cambria Math" w:hAnsi="Cambria Math"/>
                  </w:rPr>
                </m:ctrlPr>
              </m:sSubPr>
              <m:e>
                <m:r>
                  <w:rPr>
                    <w:rFonts w:ascii="Cambria Math" w:hAnsi="Cambria Math"/>
                  </w:rPr>
                  <m:t>i</m:t>
                </m:r>
              </m:e>
              <m:sub>
                <m:r>
                  <w:rPr>
                    <w:rFonts w:ascii="Cambria Math" w:hAnsi="Cambria Math"/>
                  </w:rPr>
                  <m:t>k</m:t>
                </m:r>
              </m:sub>
            </m:sSub>
          </m:sub>
        </m:sSub>
        <m:d>
          <m:dPr>
            <m:ctrlPr>
              <w:rPr>
                <w:rFonts w:ascii="Cambria Math" w:hAnsi="Cambria Math"/>
              </w:rPr>
            </m:ctrlPr>
          </m:dPr>
          <m:e>
            <m:r>
              <w:rPr>
                <w:rFonts w:ascii="Cambria Math" w:hAnsi="Cambria Math"/>
              </w:rPr>
              <m:t>t</m:t>
            </m:r>
          </m:e>
        </m:d>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τ</m:t>
                </m:r>
              </m:e>
              <m:sub>
                <m:r>
                  <w:rPr>
                    <w:rFonts w:ascii="Cambria Math" w:hAnsi="Cambria Math"/>
                  </w:rPr>
                  <m:t>k</m:t>
                </m:r>
              </m:sub>
            </m:sSub>
          </m:den>
        </m:f>
        <m:nary>
          <m:naryPr>
            <m:chr m:val="∑"/>
            <m:supHide m:val="1"/>
            <m:ctrlPr>
              <w:rPr>
                <w:rFonts w:ascii="Cambria Math" w:hAnsi="Cambria Math"/>
              </w:rPr>
            </m:ctrlPr>
          </m:naryPr>
          <m:sub>
            <m:r>
              <w:rPr>
                <w:rFonts w:ascii="Cambria Math" w:hAnsi="Cambria Math"/>
              </w:rPr>
              <m:t>t≤</m:t>
            </m:r>
            <m:sSub>
              <m:sSubPr>
                <m:ctrlPr>
                  <w:rPr>
                    <w:rFonts w:ascii="Cambria Math" w:hAnsi="Cambria Math"/>
                  </w:rPr>
                </m:ctrlPr>
              </m:sSubPr>
              <m:e>
                <m:r>
                  <w:rPr>
                    <w:rFonts w:ascii="Cambria Math" w:hAnsi="Cambria Math"/>
                  </w:rPr>
                  <m:t>τ</m:t>
                </m:r>
              </m:e>
              <m:sub>
                <m:r>
                  <w:rPr>
                    <w:rFonts w:ascii="Cambria Math" w:hAnsi="Cambria Math"/>
                  </w:rPr>
                  <m:t>k</m:t>
                </m:r>
              </m:sub>
            </m:sSub>
          </m:sub>
          <m:sup/>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L</m:t>
                        </m:r>
                      </m:e>
                      <m:sub>
                        <m:sSub>
                          <m:sSubPr>
                            <m:ctrlPr>
                              <w:rPr>
                                <w:rFonts w:ascii="Cambria Math" w:hAnsi="Cambria Math"/>
                              </w:rPr>
                            </m:ctrlPr>
                          </m:sSubPr>
                          <m:e>
                            <m:r>
                              <w:rPr>
                                <w:rFonts w:ascii="Cambria Math" w:hAnsi="Cambria Math"/>
                              </w:rPr>
                              <m:t>i</m:t>
                            </m:r>
                          </m:e>
                          <m:sub>
                            <m:r>
                              <w:rPr>
                                <w:rFonts w:ascii="Cambria Math" w:hAnsi="Cambria Math"/>
                              </w:rPr>
                              <m:t>k</m:t>
                            </m:r>
                          </m:sub>
                        </m:sSub>
                      </m:sub>
                    </m:sSub>
                    <m:d>
                      <m:dPr>
                        <m:ctrlPr>
                          <w:rPr>
                            <w:rFonts w:ascii="Cambria Math" w:hAnsi="Cambria Math"/>
                          </w:rPr>
                        </m:ctrlPr>
                      </m:dPr>
                      <m:e>
                        <m:r>
                          <w:rPr>
                            <w:rFonts w:ascii="Cambria Math" w:hAnsi="Cambria Math"/>
                          </w:rPr>
                          <m:t>t</m:t>
                        </m:r>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L</m:t>
                            </m:r>
                          </m:e>
                          <m:sub>
                            <m:sSub>
                              <m:sSubPr>
                                <m:ctrlPr>
                                  <w:rPr>
                                    <w:rFonts w:ascii="Cambria Math" w:hAnsi="Cambria Math"/>
                                  </w:rPr>
                                </m:ctrlPr>
                              </m:sSubPr>
                              <m:e>
                                <m:r>
                                  <w:rPr>
                                    <w:rFonts w:ascii="Cambria Math" w:hAnsi="Cambria Math"/>
                                  </w:rPr>
                                  <m:t>i</m:t>
                                </m:r>
                              </m:e>
                              <m:sub>
                                <m:r>
                                  <w:rPr>
                                    <w:rFonts w:ascii="Cambria Math" w:hAnsi="Cambria Math"/>
                                  </w:rPr>
                                  <m:t>k</m:t>
                                </m:r>
                              </m:sub>
                            </m:sSub>
                          </m:sub>
                        </m:sSub>
                        <m:d>
                          <m:dPr>
                            <m:ctrlPr>
                              <w:rPr>
                                <w:rFonts w:ascii="Cambria Math" w:hAnsi="Cambria Math"/>
                              </w:rPr>
                            </m:ctrlPr>
                          </m:dPr>
                          <m:e>
                            <m:r>
                              <w:rPr>
                                <w:rFonts w:ascii="Cambria Math" w:hAnsi="Cambria Math"/>
                              </w:rPr>
                              <m:t>t</m:t>
                            </m:r>
                          </m:e>
                        </m:d>
                      </m:e>
                    </m:d>
                  </m:e>
                </m:d>
                <m:d>
                  <m:dPr>
                    <m:ctrlPr>
                      <w:rPr>
                        <w:rFonts w:ascii="Cambria Math" w:hAnsi="Cambria Math"/>
                      </w:rPr>
                    </m:ctrlPr>
                  </m:dPr>
                  <m:e>
                    <m:sSub>
                      <m:sSubPr>
                        <m:ctrlPr>
                          <w:rPr>
                            <w:rFonts w:ascii="Cambria Math" w:hAnsi="Cambria Math"/>
                          </w:rPr>
                        </m:ctrlPr>
                      </m:sSubPr>
                      <m:e>
                        <m:r>
                          <w:rPr>
                            <w:rFonts w:ascii="Cambria Math" w:hAnsi="Cambria Math"/>
                          </w:rPr>
                          <m:t>L</m:t>
                        </m:r>
                      </m:e>
                      <m:sub>
                        <m:sSub>
                          <m:sSubPr>
                            <m:ctrlPr>
                              <w:rPr>
                                <w:rFonts w:ascii="Cambria Math" w:hAnsi="Cambria Math"/>
                              </w:rPr>
                            </m:ctrlPr>
                          </m:sSubPr>
                          <m:e>
                            <m:r>
                              <w:rPr>
                                <w:rFonts w:ascii="Cambria Math" w:hAnsi="Cambria Math"/>
                              </w:rPr>
                              <m:t>i</m:t>
                            </m:r>
                          </m:e>
                          <m:sub>
                            <m:r>
                              <w:rPr>
                                <w:rFonts w:ascii="Cambria Math" w:hAnsi="Cambria Math"/>
                              </w:rPr>
                              <m:t>k</m:t>
                            </m:r>
                          </m:sub>
                        </m:sSub>
                      </m:sub>
                    </m:sSub>
                    <m:d>
                      <m:dPr>
                        <m:ctrlPr>
                          <w:rPr>
                            <w:rFonts w:ascii="Cambria Math" w:hAnsi="Cambria Math"/>
                          </w:rPr>
                        </m:ctrlPr>
                      </m:dPr>
                      <m:e>
                        <m:r>
                          <w:rPr>
                            <w:rFonts w:ascii="Cambria Math" w:hAnsi="Cambria Math"/>
                          </w:rPr>
                          <m:t>t'</m:t>
                        </m:r>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L</m:t>
                            </m:r>
                          </m:e>
                          <m:sub>
                            <m:sSub>
                              <m:sSubPr>
                                <m:ctrlPr>
                                  <w:rPr>
                                    <w:rFonts w:ascii="Cambria Math" w:hAnsi="Cambria Math"/>
                                  </w:rPr>
                                </m:ctrlPr>
                              </m:sSubPr>
                              <m:e>
                                <m:r>
                                  <w:rPr>
                                    <w:rFonts w:ascii="Cambria Math" w:hAnsi="Cambria Math"/>
                                  </w:rPr>
                                  <m:t>i</m:t>
                                </m:r>
                              </m:e>
                              <m:sub>
                                <m:r>
                                  <w:rPr>
                                    <w:rFonts w:ascii="Cambria Math" w:hAnsi="Cambria Math"/>
                                  </w:rPr>
                                  <m:t>k</m:t>
                                </m:r>
                              </m:sub>
                            </m:sSub>
                          </m:sub>
                        </m:sSub>
                        <m:d>
                          <m:dPr>
                            <m:ctrlPr>
                              <w:rPr>
                                <w:rFonts w:ascii="Cambria Math" w:hAnsi="Cambria Math"/>
                              </w:rPr>
                            </m:ctrlPr>
                          </m:dPr>
                          <m:e>
                            <m:r>
                              <w:rPr>
                                <w:rFonts w:ascii="Cambria Math" w:hAnsi="Cambria Math"/>
                              </w:rPr>
                              <m:t>t</m:t>
                            </m:r>
                          </m:e>
                        </m:d>
                      </m:e>
                    </m:d>
                  </m:e>
                </m:d>
              </m:num>
              <m:den>
                <m:d>
                  <m:dPr>
                    <m:begChr m:val="|"/>
                    <m:endChr m:val="|"/>
                    <m:ctrlPr>
                      <w:rPr>
                        <w:rFonts w:ascii="Cambria Math" w:hAnsi="Cambria Math"/>
                      </w:rPr>
                    </m:ctrlPr>
                  </m:dPr>
                  <m:e>
                    <m:sSub>
                      <m:sSubPr>
                        <m:ctrlPr>
                          <w:rPr>
                            <w:rFonts w:ascii="Cambria Math" w:hAnsi="Cambria Math"/>
                          </w:rPr>
                        </m:ctrlPr>
                      </m:sSubPr>
                      <m:e>
                        <m:r>
                          <w:rPr>
                            <w:rFonts w:ascii="Cambria Math" w:hAnsi="Cambria Math"/>
                          </w:rPr>
                          <m:t>L</m:t>
                        </m:r>
                      </m:e>
                      <m:sub>
                        <m:sSub>
                          <m:sSubPr>
                            <m:ctrlPr>
                              <w:rPr>
                                <w:rFonts w:ascii="Cambria Math" w:hAnsi="Cambria Math"/>
                              </w:rPr>
                            </m:ctrlPr>
                          </m:sSubPr>
                          <m:e>
                            <m:r>
                              <w:rPr>
                                <w:rFonts w:ascii="Cambria Math" w:hAnsi="Cambria Math"/>
                              </w:rPr>
                              <m:t>i</m:t>
                            </m:r>
                          </m:e>
                          <m:sub>
                            <m:r>
                              <w:rPr>
                                <w:rFonts w:ascii="Cambria Math" w:hAnsi="Cambria Math"/>
                              </w:rPr>
                              <m:t>k</m:t>
                            </m:r>
                          </m:sub>
                        </m:sSub>
                      </m:sub>
                    </m:sSub>
                    <m:d>
                      <m:dPr>
                        <m:ctrlPr>
                          <w:rPr>
                            <w:rFonts w:ascii="Cambria Math" w:hAnsi="Cambria Math"/>
                          </w:rPr>
                        </m:ctrlPr>
                      </m:dPr>
                      <m:e>
                        <m:r>
                          <w:rPr>
                            <w:rFonts w:ascii="Cambria Math" w:hAnsi="Cambria Math"/>
                          </w:rPr>
                          <m:t>t</m:t>
                        </m:r>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L</m:t>
                            </m:r>
                          </m:e>
                          <m:sub>
                            <m:sSub>
                              <m:sSubPr>
                                <m:ctrlPr>
                                  <w:rPr>
                                    <w:rFonts w:ascii="Cambria Math" w:hAnsi="Cambria Math"/>
                                  </w:rPr>
                                </m:ctrlPr>
                              </m:sSubPr>
                              <m:e>
                                <m:r>
                                  <w:rPr>
                                    <w:rFonts w:ascii="Cambria Math" w:hAnsi="Cambria Math"/>
                                  </w:rPr>
                                  <m:t>i</m:t>
                                </m:r>
                              </m:e>
                              <m:sub>
                                <m:r>
                                  <w:rPr>
                                    <w:rFonts w:ascii="Cambria Math" w:hAnsi="Cambria Math"/>
                                  </w:rPr>
                                  <m:t>k</m:t>
                                </m:r>
                              </m:sub>
                            </m:sSub>
                          </m:sub>
                        </m:sSub>
                        <m:d>
                          <m:dPr>
                            <m:ctrlPr>
                              <w:rPr>
                                <w:rFonts w:ascii="Cambria Math" w:hAnsi="Cambria Math"/>
                              </w:rPr>
                            </m:ctrlPr>
                          </m:dPr>
                          <m:e>
                            <m:r>
                              <w:rPr>
                                <w:rFonts w:ascii="Cambria Math" w:hAnsi="Cambria Math"/>
                              </w:rPr>
                              <m:t>t</m:t>
                            </m:r>
                          </m:e>
                        </m:d>
                      </m:e>
                    </m:d>
                  </m:e>
                </m:d>
                <m:d>
                  <m:dPr>
                    <m:begChr m:val="|"/>
                    <m:endChr m:val="|"/>
                    <m:ctrlPr>
                      <w:rPr>
                        <w:rFonts w:ascii="Cambria Math" w:hAnsi="Cambria Math"/>
                      </w:rPr>
                    </m:ctrlPr>
                  </m:dPr>
                  <m:e>
                    <m:sSub>
                      <m:sSubPr>
                        <m:ctrlPr>
                          <w:rPr>
                            <w:rFonts w:ascii="Cambria Math" w:hAnsi="Cambria Math"/>
                          </w:rPr>
                        </m:ctrlPr>
                      </m:sSubPr>
                      <m:e>
                        <m:r>
                          <w:rPr>
                            <w:rFonts w:ascii="Cambria Math" w:hAnsi="Cambria Math"/>
                          </w:rPr>
                          <m:t>L</m:t>
                        </m:r>
                      </m:e>
                      <m:sub>
                        <m:sSub>
                          <m:sSubPr>
                            <m:ctrlPr>
                              <w:rPr>
                                <w:rFonts w:ascii="Cambria Math" w:hAnsi="Cambria Math"/>
                              </w:rPr>
                            </m:ctrlPr>
                          </m:sSubPr>
                          <m:e>
                            <m:r>
                              <w:rPr>
                                <w:rFonts w:ascii="Cambria Math" w:hAnsi="Cambria Math"/>
                              </w:rPr>
                              <m:t>i</m:t>
                            </m:r>
                          </m:e>
                          <m:sub>
                            <m:r>
                              <w:rPr>
                                <w:rFonts w:ascii="Cambria Math" w:hAnsi="Cambria Math"/>
                              </w:rPr>
                              <m:t>k</m:t>
                            </m:r>
                          </m:sub>
                        </m:sSub>
                      </m:sub>
                    </m:sSub>
                    <m:d>
                      <m:dPr>
                        <m:ctrlPr>
                          <w:rPr>
                            <w:rFonts w:ascii="Cambria Math" w:hAnsi="Cambria Math"/>
                          </w:rPr>
                        </m:ctrlPr>
                      </m:dPr>
                      <m:e>
                        <m:r>
                          <w:rPr>
                            <w:rFonts w:ascii="Cambria Math" w:hAnsi="Cambria Math"/>
                          </w:rPr>
                          <m:t>t'</m:t>
                        </m:r>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L</m:t>
                            </m:r>
                          </m:e>
                          <m:sub>
                            <m:sSub>
                              <m:sSubPr>
                                <m:ctrlPr>
                                  <w:rPr>
                                    <w:rFonts w:ascii="Cambria Math" w:hAnsi="Cambria Math"/>
                                  </w:rPr>
                                </m:ctrlPr>
                              </m:sSubPr>
                              <m:e>
                                <m:r>
                                  <w:rPr>
                                    <w:rFonts w:ascii="Cambria Math" w:hAnsi="Cambria Math"/>
                                  </w:rPr>
                                  <m:t>i</m:t>
                                </m:r>
                              </m:e>
                              <m:sub>
                                <m:r>
                                  <w:rPr>
                                    <w:rFonts w:ascii="Cambria Math" w:hAnsi="Cambria Math"/>
                                  </w:rPr>
                                  <m:t>k</m:t>
                                </m:r>
                              </m:sub>
                            </m:sSub>
                          </m:sub>
                        </m:sSub>
                        <m:d>
                          <m:dPr>
                            <m:ctrlPr>
                              <w:rPr>
                                <w:rFonts w:ascii="Cambria Math" w:hAnsi="Cambria Math"/>
                              </w:rPr>
                            </m:ctrlPr>
                          </m:dPr>
                          <m:e>
                            <m:r>
                              <w:rPr>
                                <w:rFonts w:ascii="Cambria Math" w:hAnsi="Cambria Math"/>
                              </w:rPr>
                              <m:t>t</m:t>
                            </m:r>
                          </m:e>
                        </m:d>
                      </m:e>
                    </m:d>
                  </m:e>
                </m:d>
              </m:den>
            </m:f>
          </m:e>
        </m:nary>
      </m:oMath>
      <w:r w:rsidR="0014787C">
        <w:t xml:space="preserve"> </w:t>
      </w:r>
    </w:p>
    <w:p w:rsidR="0014787C" w:rsidRDefault="0014787C" w:rsidP="0014787C">
      <w:pPr>
        <w:pStyle w:val="MDPI32textnoindent"/>
        <w:ind w:left="0"/>
      </w:pPr>
    </w:p>
    <w:p w:rsidR="0014787C" w:rsidRDefault="0014787C" w:rsidP="0014787C">
      <w:pPr>
        <w:pStyle w:val="MDPI32textnoindent"/>
        <w:ind w:left="0"/>
      </w:pPr>
      <w:r>
        <w:t xml:space="preserve">where </w:t>
      </w:r>
      <m:oMath>
        <m:sSub>
          <m:sSubPr>
            <m:ctrlPr>
              <w:rPr>
                <w:rFonts w:ascii="Cambria Math" w:hAnsi="Cambria Math"/>
              </w:rPr>
            </m:ctrlPr>
          </m:sSubPr>
          <m:e>
            <m:r>
              <w:rPr>
                <w:rFonts w:ascii="Cambria Math" w:hAnsi="Cambria Math"/>
              </w:rPr>
              <m:t>L</m:t>
            </m:r>
          </m:e>
          <m:sub>
            <m:sSub>
              <m:sSubPr>
                <m:ctrlPr>
                  <w:rPr>
                    <w:rFonts w:ascii="Cambria Math" w:hAnsi="Cambria Math"/>
                  </w:rPr>
                </m:ctrlPr>
              </m:sSubPr>
              <m:e>
                <m:r>
                  <w:rPr>
                    <w:rFonts w:ascii="Cambria Math" w:hAnsi="Cambria Math"/>
                  </w:rPr>
                  <m:t>i</m:t>
                </m:r>
              </m:e>
              <m:sub>
                <m:r>
                  <w:rPr>
                    <w:rFonts w:ascii="Cambria Math" w:hAnsi="Cambria Math"/>
                  </w:rPr>
                  <m:t>k</m:t>
                </m:r>
              </m:sub>
            </m:sSub>
          </m:sub>
        </m:sSub>
        <m:d>
          <m:dPr>
            <m:ctrlPr>
              <w:rPr>
                <w:rFonts w:ascii="Cambria Math" w:hAnsi="Cambria Math"/>
              </w:rPr>
            </m:ctrlPr>
          </m:dPr>
          <m:e>
            <m:r>
              <w:rPr>
                <w:rFonts w:ascii="Cambria Math" w:hAnsi="Cambria Math"/>
              </w:rPr>
              <m:t>t'</m:t>
            </m:r>
          </m:e>
        </m:d>
      </m:oMath>
      <w:r>
        <w:t xml:space="preserve"> is determined with a frequency equal to 1 ps</w:t>
      </w:r>
      <w:r>
        <w:rPr>
          <w:vertAlign w:val="superscript"/>
        </w:rPr>
        <w:t>-1</w:t>
      </w:r>
      <w:r>
        <w:t>.</w:t>
      </w:r>
    </w:p>
    <w:p w:rsidR="0014787C" w:rsidRDefault="0014787C" w:rsidP="0014787C">
      <w:pPr>
        <w:pStyle w:val="MDPI32textnoindent"/>
        <w:ind w:left="0"/>
      </w:pPr>
      <w:r>
        <w:t xml:space="preserve">and </w:t>
      </w:r>
      <m:oMath>
        <m:d>
          <m:dPr>
            <m:begChr m:val="⟨"/>
            <m:endChr m:val="⟩"/>
            <m:ctrlPr>
              <w:rPr>
                <w:rFonts w:ascii="Cambria Math" w:hAnsi="Cambria Math"/>
              </w:rPr>
            </m:ctrlPr>
          </m:dPr>
          <m:e>
            <m:r>
              <w:rPr>
                <w:rFonts w:ascii="Cambria Math" w:hAnsi="Cambria Math"/>
              </w:rPr>
              <m:t>...</m:t>
            </m:r>
          </m:e>
        </m:d>
      </m:oMath>
      <w:r>
        <w:t xml:space="preserve"> denotes the time-average.</w:t>
      </w:r>
    </w:p>
    <w:p w:rsidR="0014787C" w:rsidRDefault="0014787C" w:rsidP="0014787C">
      <w:pPr>
        <w:pStyle w:val="MDPI32textnoindent"/>
        <w:ind w:left="0"/>
      </w:pPr>
      <w:r>
        <w:t xml:space="preserve">The CORE-MD II technique samples the system along a correlation dependent probability between </w:t>
      </w:r>
    </w:p>
    <w:p w:rsidR="0014787C" w:rsidRDefault="0014787C" w:rsidP="0014787C">
      <w:pPr>
        <w:pStyle w:val="MDPI32textnoindent"/>
        <w:ind w:left="0"/>
      </w:pPr>
      <w:r>
        <w:t>states with an index k using a kinetic Monte Carlo (</w:t>
      </w:r>
      <w:proofErr w:type="spellStart"/>
      <w:r>
        <w:t>kMC</w:t>
      </w:r>
      <w:proofErr w:type="spellEnd"/>
      <w:r>
        <w:t xml:space="preserve">) algorithm. </w:t>
      </w:r>
    </w:p>
    <w:p w:rsidR="0014787C" w:rsidRDefault="0014787C" w:rsidP="0014787C">
      <w:pPr>
        <w:pStyle w:val="MDPI32textnoindent"/>
        <w:ind w:left="0"/>
      </w:pPr>
      <w:r>
        <w:t xml:space="preserve">We limit the number of </w:t>
      </w:r>
      <w:proofErr w:type="spellStart"/>
      <w:r>
        <w:t>kMC</w:t>
      </w:r>
      <w:proofErr w:type="spellEnd"/>
      <w:r>
        <w:t xml:space="preserve"> configurations by a minimal set of the number of atoms N</w:t>
      </w:r>
      <w:r>
        <w:rPr>
          <w:vertAlign w:val="subscript"/>
        </w:rPr>
        <w:t>a</w:t>
      </w:r>
      <w:r>
        <w:t xml:space="preserve"> in the system, which guarantees a fast forward propagation within a small window of three possible selections in each </w:t>
      </w:r>
      <w:proofErr w:type="spellStart"/>
      <w:r>
        <w:t>kMC</w:t>
      </w:r>
      <w:proofErr w:type="spellEnd"/>
      <w:r>
        <w:t xml:space="preserve">-step. </w:t>
      </w:r>
    </w:p>
    <w:p w:rsidR="0014787C" w:rsidRDefault="0014787C" w:rsidP="0014787C">
      <w:pPr>
        <w:pStyle w:val="MDPI32textnoindent"/>
        <w:ind w:left="0"/>
      </w:pPr>
      <w:r>
        <w:t xml:space="preserve">With a frequency of </w:t>
      </w:r>
      <w:r>
        <w:rPr>
          <w:rFonts w:ascii="Symbol" w:hAnsi="Symbol"/>
        </w:rPr>
        <w:t></w:t>
      </w:r>
      <w:r>
        <w:rPr>
          <w:rFonts w:ascii="Palatino" w:hAnsi="Palatino"/>
          <w:vertAlign w:val="subscript"/>
        </w:rPr>
        <w:t>k</w:t>
      </w:r>
      <w:r>
        <w:t xml:space="preserve">, we perform a </w:t>
      </w:r>
      <w:proofErr w:type="spellStart"/>
      <w:r>
        <w:t>kMC</w:t>
      </w:r>
      <w:proofErr w:type="spellEnd"/>
      <w:r>
        <w:t xml:space="preserve">-step and express a rate </w:t>
      </w:r>
      <w:proofErr w:type="spellStart"/>
      <w:r>
        <w:t>r</w:t>
      </w:r>
      <w:r>
        <w:rPr>
          <w:vertAlign w:val="subscript"/>
        </w:rPr>
        <w:t>k</w:t>
      </w:r>
      <w:proofErr w:type="spellEnd"/>
      <w:r>
        <w:t xml:space="preserve"> for each instance k.</w:t>
      </w:r>
    </w:p>
    <w:p w:rsidR="0014787C" w:rsidRDefault="0014787C" w:rsidP="0014787C">
      <w:pPr>
        <w:pStyle w:val="MDPI32textnoindent"/>
        <w:ind w:left="0"/>
      </w:pPr>
      <w:r>
        <w:lastRenderedPageBreak/>
        <w:t xml:space="preserve">We then calculate the cumulative rates and apply the kinetic Monte Carlo algorithm, </w:t>
      </w:r>
    </w:p>
    <w:p w:rsidR="0014787C" w:rsidRDefault="0014787C" w:rsidP="0014787C">
      <w:pPr>
        <w:pStyle w:val="MDPI32textnoindent"/>
        <w:ind w:left="0"/>
      </w:pPr>
      <w:r>
        <w:t>for the selection of a configuration k with which a configuration is used for the subsequent trajectory instance.</w:t>
      </w:r>
    </w:p>
    <w:p w:rsidR="0014787C" w:rsidRDefault="0014787C" w:rsidP="0014787C">
      <w:pPr>
        <w:pStyle w:val="MDPI32textnoindent"/>
        <w:ind w:left="0"/>
      </w:pPr>
      <w:r>
        <w:t xml:space="preserve">The </w:t>
      </w:r>
      <w:proofErr w:type="spellStart"/>
      <w:r>
        <w:t>kMC</w:t>
      </w:r>
      <w:proofErr w:type="spellEnd"/>
      <w:r>
        <w:t xml:space="preserve"> sampling guides the trajectory between equilibrium configurations of the system, where</w:t>
      </w:r>
    </w:p>
    <w:p w:rsidR="0014787C" w:rsidRDefault="0014787C" w:rsidP="0014787C">
      <w:pPr>
        <w:pStyle w:val="MDPI32textnoindent"/>
        <w:ind w:left="0"/>
      </w:pPr>
      <w:r>
        <w:t>each instance k resembles a state that resides close to the equilibrium state.</w:t>
      </w:r>
    </w:p>
    <w:p w:rsidR="0014787C" w:rsidRDefault="0014787C" w:rsidP="0014787C">
      <w:pPr>
        <w:pStyle w:val="MDPI32textnoindent"/>
        <w:ind w:left="0"/>
      </w:pPr>
      <w:r>
        <w:t xml:space="preserve">We continue with the description of the second component of the CORE-MD II </w:t>
      </w:r>
      <w:r w:rsidR="001048A2">
        <w:fldChar w:fldCharType="begin"/>
      </w:r>
      <w:r w:rsidR="001048A2">
        <w:instrText xml:space="preserve"> ADDIN ZOTERO_ITEM CSL_CITATION {"citationID":"9d4wZq3K","properties":{"formattedCitation":"[1]","plainCitation":"[1]","noteIndex":0},"citationItems":[{"id":1062,"uris":["http://zotero.org/users/8075531/items/IF6CNN9R"],"uri":["http://zotero.org/users/8075531/items/IF6CNN9R"],"itemData":{"id":1062,"type":"article-journal","abstract":"Hypertrophic cardiomyopathy (HCM) is a common, serious, genetic heart disorder. Rare pathogenic variants in sarcomere genes cause HCM, but with unexplained phenotypic heterogeneity. Moreover, most patients do not carry such variants. We report a genome-wide association study of 2,780 cases and 47,486 controls that identified 12 genome-wide-significant susceptibility loci for HCM. Single-nucleotide polymorphism heritability indicated a strong polygenic influence, especially for sarcomere-negative HCM (64% of cases; h2g = 0.34 ± 0.02). A genetic risk score showed substantial influence on the odds of HCM in a validation study, halving the odds in the lowest quintile and doubling them in the highest quintile, and also influenced phenotypic severity in sarcomere variant carriers. Mendelian randomization identified diastolic blood pressure (DBP) as a key modifiable risk factor for sarcomere-negative HCM, with a one standard deviation increase in DBP increasing the HCM risk fourfold. Common variants and modifiable risk factors have important roles in HCM that we suggest will be clinically actionable.","container-title":"Nature Genetics","DOI":"10.1038/s41588-020-00764-0","ISSN":"1546-1718","issue":"2","journalAbbreviation":"Nat Genet","language":"en","note":"Bandiera_abtest: a\nCg_type: Nature Research Journals\nnumber: 2\nPrimary_atype: Research\npublisher: Nature Publishing Group\nSubject_term: Cardiomyopathies;Genetics research;Genome-wide association studies\nSubject_term_id: cardiomyopathies;genetics-research;genome-wide-association-studies","page":"135-142","source":"www.nature.com","title":"Common genetic variants and modifiable risk factors underpin hypertrophic cardiomyopathy susceptibility and expressivity","volume":"53","author":[{"family":"Harper","given":"Andrew R."},{"family":"Goel","given":"Anuj"},{"family":"Grace","given":"Christopher"},{"family":"Thomson","given":"Kate L."},{"family":"Petersen","given":"Steffen E."},{"family":"Xu","given":"Xiao"},{"family":"Waring","given":"Adam"},{"family":"Ormondroyd","given":"Elizabeth"},{"family":"Kramer","given":"Christopher M."},{"family":"Ho","given":"Carolyn Y."},{"family":"Neubauer","given":"Stefan"},{"family":"Tadros","given":"Rafik"},{"family":"Ware","given":"James S."},{"family":"Bezzina","given":"Connie R."},{"family":"Farrall","given":"Martin"},{"family":"Watkins","given":"Hugh"}],"issued":{"date-parts":[["2021",2]]}}}],"schema":"https://github.com/citation-style-language/schema/raw/master/csl-citation.json"} </w:instrText>
      </w:r>
      <w:r w:rsidR="001048A2">
        <w:fldChar w:fldCharType="separate"/>
      </w:r>
      <w:r w:rsidR="001048A2" w:rsidRPr="001048A2">
        <w:t>[1]</w:t>
      </w:r>
      <w:r w:rsidR="001048A2">
        <w:fldChar w:fldCharType="end"/>
      </w:r>
      <w:r w:rsidR="001048A2">
        <w:t xml:space="preserve"> </w:t>
      </w:r>
      <w:r>
        <w:t xml:space="preserve">algorithm that applies </w:t>
      </w:r>
    </w:p>
    <w:p w:rsidR="0014787C" w:rsidRDefault="0014787C" w:rsidP="0014787C">
      <w:pPr>
        <w:pStyle w:val="MDPI32textnoindent"/>
        <w:ind w:left="0"/>
      </w:pPr>
      <w:r>
        <w:t xml:space="preserve">the local biases. (1) At each initialization of a new trajectory-fragment, the velocities are selected from </w:t>
      </w:r>
    </w:p>
    <w:p w:rsidR="0014787C" w:rsidRDefault="0014787C" w:rsidP="0014787C">
      <w:pPr>
        <w:pStyle w:val="MDPI32textnoindent"/>
        <w:ind w:left="0"/>
      </w:pPr>
      <w:r>
        <w:t xml:space="preserve">a random distribution. (2) In order to accelerate the sampling within each instance, we apply a </w:t>
      </w:r>
    </w:p>
    <w:p w:rsidR="0014787C" w:rsidRDefault="0014787C" w:rsidP="0014787C">
      <w:pPr>
        <w:pStyle w:val="MDPI32textnoindent"/>
        <w:ind w:left="0"/>
      </w:pPr>
      <w:r>
        <w:t xml:space="preserve">history dependent bias potential that is related to </w:t>
      </w:r>
      <w:proofErr w:type="spellStart"/>
      <w:r>
        <w:t>Metadynamics</w:t>
      </w:r>
      <w:proofErr w:type="spellEnd"/>
      <w:r w:rsidR="001048A2">
        <w:t xml:space="preserve"> </w:t>
      </w:r>
      <w:r w:rsidR="001048A2">
        <w:fldChar w:fldCharType="begin"/>
      </w:r>
      <w:r w:rsidR="001048A2">
        <w:instrText xml:space="preserve"> ADDIN ZOTERO_ITEM CSL_CITATION {"citationID":"Xen10BKj","properties":{"formattedCitation":"[2]","plainCitation":"[2]","noteIndex":0},"citationItems":[{"id":1100,"uris":["http://zotero.org/users/8075531/items/37JL4SI9"],"uri":["http://zotero.org/users/8075531/items/37JL4SI9"],"itemData":{"id":1100,"type":"article-journal","abstract":"We introduce a powerful method for exploring the properties of the multidimensional free energy surfaces (FESs) of complex many-body systems by means of coarse-grained non-Markovian dynamics in the space defined by a few collective coordinates. A characteristic feature of these dynamics is the presence of a history-dependent potential term that, in time, fills the minima in the FES, allowing the efficient exploration and accurate determination of the FES as a function of the collective coordinates. We demonstrate the usefulness of this approach in the case of the dissociation of a NaCl molecule in water and in the study of the conformational changes of a dialanine in solution.","container-title":"Proceedings of the National Academy of Sciences","DOI":"10.1073/pnas.202427399","ISSN":"0027-8424, 1091-6490","issue":"20","journalAbbreviation":"PNAS","language":"en","note":"publisher: National Academy of Sciences\nsection: Physical Sciences\nPMID: 12271136","page":"12562-12566","source":"www.pnas.org","title":"Escaping free-energy minima","volume":"99","author":[{"family":"Laio","given":"Alessandro"},{"family":"Parrinello","given":"Michele"}],"issued":{"date-parts":[["2002",10,1]]}}}],"schema":"https://github.com/citation-style-language/schema/raw/master/csl-citation.json"} </w:instrText>
      </w:r>
      <w:r w:rsidR="001048A2">
        <w:fldChar w:fldCharType="separate"/>
      </w:r>
      <w:r w:rsidR="001048A2" w:rsidRPr="001048A2">
        <w:t>[2]</w:t>
      </w:r>
      <w:r w:rsidR="001048A2">
        <w:fldChar w:fldCharType="end"/>
      </w:r>
      <w:r>
        <w:t>, while the history dependency is limited by the time-scale of each instance. We add the Gaussians to the history dependent potential</w:t>
      </w:r>
    </w:p>
    <w:p w:rsidR="0014787C" w:rsidRDefault="0014787C" w:rsidP="0014787C">
      <w:pPr>
        <w:pStyle w:val="MDPI32textnoindent"/>
        <w:ind w:left="0"/>
      </w:pPr>
      <w:r>
        <w:t xml:space="preserve">using the Well-tempered </w:t>
      </w:r>
      <w:proofErr w:type="spellStart"/>
      <w:r>
        <w:t>Metadynamics</w:t>
      </w:r>
      <w:proofErr w:type="spellEnd"/>
      <w:r>
        <w:t xml:space="preserve"> technique through a normalization of the added Gaussians by the </w:t>
      </w:r>
    </w:p>
    <w:p w:rsidR="0014787C" w:rsidRDefault="0014787C" w:rsidP="0014787C">
      <w:pPr>
        <w:pStyle w:val="MDPI32textnoindent"/>
        <w:ind w:left="0"/>
      </w:pPr>
      <w:r>
        <w:t>factor. The corresponding bias is added throughout the simulation.</w:t>
      </w:r>
    </w:p>
    <w:p w:rsidR="0014787C" w:rsidRDefault="0014787C" w:rsidP="0014787C">
      <w:pPr>
        <w:pStyle w:val="MDPI32textnoindent"/>
        <w:ind w:left="0"/>
      </w:pPr>
      <w:r>
        <w:t>Finally, we accelerate the sampling within each instance and apply the statistical</w:t>
      </w:r>
    </w:p>
    <w:p w:rsidR="0014787C" w:rsidRDefault="0014787C" w:rsidP="0014787C">
      <w:pPr>
        <w:pStyle w:val="MDPI32textnoindent"/>
        <w:ind w:left="0"/>
      </w:pPr>
      <w:r>
        <w:t xml:space="preserve">bias as described in our recent work on the CORE-MD algorithm. We implemented the correlation dependent bias by a factorization with the variable </w:t>
      </w:r>
      <m:oMath>
        <m:sSub>
          <m:sSubPr>
            <m:ctrlPr>
              <w:rPr>
                <w:rFonts w:ascii="Cambria Math" w:hAnsi="Cambria Math"/>
              </w:rPr>
            </m:ctrlPr>
          </m:sSubPr>
          <m:e>
            <m:r>
              <w:rPr>
                <w:rFonts w:ascii="Cambria Math" w:hAnsi="Cambria Math"/>
              </w:rPr>
              <m:t>λ</m:t>
            </m:r>
          </m:e>
          <m:sub>
            <m:sSub>
              <m:sSubPr>
                <m:ctrlPr>
                  <w:rPr>
                    <w:rFonts w:ascii="Cambria Math" w:hAnsi="Cambria Math"/>
                  </w:rPr>
                </m:ctrlPr>
              </m:sSubPr>
              <m:e>
                <m:r>
                  <w:rPr>
                    <w:rFonts w:ascii="Cambria Math" w:hAnsi="Cambria Math"/>
                  </w:rPr>
                  <m:t>i</m:t>
                </m:r>
              </m:e>
              <m:sub>
                <m:r>
                  <w:rPr>
                    <w:rFonts w:ascii="Cambria Math" w:hAnsi="Cambria Math"/>
                  </w:rPr>
                  <m:t>k</m:t>
                </m:r>
              </m:sub>
            </m:sSub>
          </m:sub>
        </m:sSub>
        <m:d>
          <m:dPr>
            <m:ctrlPr>
              <w:rPr>
                <w:rFonts w:ascii="Cambria Math" w:hAnsi="Cambria Math"/>
              </w:rPr>
            </m:ctrlPr>
          </m:dPr>
          <m:e>
            <m:r>
              <w:rPr>
                <w:rFonts w:ascii="Cambria Math" w:hAnsi="Cambria Math"/>
              </w:rPr>
              <m:t>t</m:t>
            </m:r>
          </m:e>
        </m:d>
      </m:oMath>
      <w:r>
        <w:t xml:space="preserve"> with which we scale the </w:t>
      </w:r>
    </w:p>
    <w:p w:rsidR="0014787C" w:rsidRDefault="0014787C" w:rsidP="0014787C">
      <w:pPr>
        <w:pStyle w:val="MDPI32textnoindent"/>
        <w:ind w:left="0"/>
      </w:pPr>
      <w:r>
        <w:t xml:space="preserve">gradient of all atoms in the system. This statistical bias enhances the decay of the correlation </w:t>
      </w:r>
    </w:p>
    <w:p w:rsidR="0014787C" w:rsidRDefault="0014787C" w:rsidP="0014787C">
      <w:pPr>
        <w:pStyle w:val="MDPI32textnoindent"/>
        <w:ind w:left="0"/>
      </w:pPr>
      <w:r>
        <w:t xml:space="preserve">function and accelerates the access of new states by the system. </w:t>
      </w:r>
    </w:p>
    <w:p w:rsidR="0014787C" w:rsidRDefault="0014787C">
      <w:pPr>
        <w:spacing w:line="240" w:lineRule="auto"/>
        <w:jc w:val="left"/>
        <w:rPr>
          <w:b/>
        </w:rPr>
      </w:pPr>
    </w:p>
    <w:p w:rsidR="00473302" w:rsidRDefault="00473302">
      <w:pPr>
        <w:spacing w:line="240" w:lineRule="auto"/>
        <w:jc w:val="left"/>
        <w:rPr>
          <w:b/>
        </w:rPr>
      </w:pPr>
      <w:r>
        <w:rPr>
          <w:b/>
        </w:rPr>
        <w:t>References</w:t>
      </w:r>
    </w:p>
    <w:p w:rsidR="001048A2" w:rsidRPr="001048A2" w:rsidRDefault="001048A2" w:rsidP="001048A2">
      <w:pPr>
        <w:pStyle w:val="Bibliography"/>
      </w:pPr>
      <w:r>
        <w:rPr>
          <w:b/>
        </w:rPr>
        <w:fldChar w:fldCharType="begin"/>
      </w:r>
      <w:r>
        <w:rPr>
          <w:b/>
        </w:rPr>
        <w:instrText xml:space="preserve"> ADDIN ZOTERO_BIBL {"uncited":[],"omitted":[],"custom":[]} CSL_BIBLIOGRAPHY </w:instrText>
      </w:r>
      <w:r>
        <w:rPr>
          <w:b/>
        </w:rPr>
        <w:fldChar w:fldCharType="separate"/>
      </w:r>
      <w:r w:rsidRPr="001048A2">
        <w:t xml:space="preserve">1. </w:t>
      </w:r>
      <w:r w:rsidRPr="001048A2">
        <w:tab/>
        <w:t xml:space="preserve">Harper, A.R.; Goel, A.; Grace, C.; Thomson, K.L.; Petersen, S.E.; Xu, X.; Waring, A.; Ormondroyd, E.; Kramer, C.M.; Ho, C.Y.; et al. Common Genetic Variants and Modifiable Risk Factors Underpin Hypertrophic Cardiomyopathy Susceptibility and Expressivity. </w:t>
      </w:r>
      <w:r w:rsidRPr="001048A2">
        <w:rPr>
          <w:i/>
          <w:iCs/>
        </w:rPr>
        <w:t>Nat Genet</w:t>
      </w:r>
      <w:r w:rsidRPr="001048A2">
        <w:t xml:space="preserve"> </w:t>
      </w:r>
      <w:r w:rsidRPr="001048A2">
        <w:rPr>
          <w:b/>
          <w:bCs/>
        </w:rPr>
        <w:t>2021</w:t>
      </w:r>
      <w:r w:rsidRPr="001048A2">
        <w:t xml:space="preserve">, </w:t>
      </w:r>
      <w:r w:rsidRPr="001048A2">
        <w:rPr>
          <w:i/>
          <w:iCs/>
        </w:rPr>
        <w:t>53</w:t>
      </w:r>
      <w:r w:rsidRPr="001048A2">
        <w:t>, 135–142, doi:10.1038/s41588-020-00764-0.</w:t>
      </w:r>
    </w:p>
    <w:p w:rsidR="001048A2" w:rsidRPr="001048A2" w:rsidRDefault="001048A2" w:rsidP="001048A2">
      <w:pPr>
        <w:pStyle w:val="Bibliography"/>
      </w:pPr>
      <w:r w:rsidRPr="001048A2">
        <w:t xml:space="preserve">2. </w:t>
      </w:r>
      <w:r w:rsidRPr="001048A2">
        <w:tab/>
        <w:t xml:space="preserve">Laio, A.; Parrinello, M. Escaping Free-Energy Minima. </w:t>
      </w:r>
      <w:r w:rsidRPr="001048A2">
        <w:rPr>
          <w:i/>
          <w:iCs/>
        </w:rPr>
        <w:t>PNAS</w:t>
      </w:r>
      <w:r w:rsidRPr="001048A2">
        <w:t xml:space="preserve"> </w:t>
      </w:r>
      <w:r w:rsidRPr="001048A2">
        <w:rPr>
          <w:b/>
          <w:bCs/>
        </w:rPr>
        <w:t>2002</w:t>
      </w:r>
      <w:r w:rsidRPr="001048A2">
        <w:t xml:space="preserve">, </w:t>
      </w:r>
      <w:r w:rsidRPr="001048A2">
        <w:rPr>
          <w:i/>
          <w:iCs/>
        </w:rPr>
        <w:t>99</w:t>
      </w:r>
      <w:r w:rsidRPr="001048A2">
        <w:t>, 12562–12566, doi:10.1073/pnas.202427399.</w:t>
      </w:r>
    </w:p>
    <w:p w:rsidR="001048A2" w:rsidRDefault="001048A2">
      <w:pPr>
        <w:spacing w:line="240" w:lineRule="auto"/>
        <w:jc w:val="left"/>
        <w:rPr>
          <w:b/>
        </w:rPr>
      </w:pPr>
      <w:r>
        <w:rPr>
          <w:b/>
        </w:rPr>
        <w:fldChar w:fldCharType="end"/>
      </w:r>
    </w:p>
    <w:p w:rsidR="0014787C" w:rsidRDefault="0014787C">
      <w:pPr>
        <w:spacing w:line="240" w:lineRule="auto"/>
        <w:jc w:val="left"/>
        <w:rPr>
          <w:rFonts w:eastAsia="Times New Roman"/>
          <w:b/>
          <w:snapToGrid w:val="0"/>
          <w:lang w:eastAsia="de-DE" w:bidi="en-US"/>
        </w:rPr>
      </w:pPr>
      <w:r>
        <w:rPr>
          <w:b/>
        </w:rPr>
        <w:br w:type="page"/>
      </w:r>
    </w:p>
    <w:p w:rsidR="0014787C" w:rsidRDefault="0014787C" w:rsidP="0014787C">
      <w:pPr>
        <w:pStyle w:val="MDPI21heading1"/>
        <w:ind w:left="0"/>
        <w:rPr>
          <w:noProof/>
          <w:lang w:val="de-DE"/>
        </w:rPr>
      </w:pPr>
      <w:r>
        <w:rPr>
          <w:noProof/>
          <w:lang w:val="de-DE"/>
        </w:rPr>
        <w:lastRenderedPageBreak/>
        <w:t>Supplementary Figures</w:t>
      </w:r>
    </w:p>
    <w:p w:rsidR="00F87AD4" w:rsidRDefault="00F87AD4" w:rsidP="00F87AD4">
      <w:pPr>
        <w:pStyle w:val="MDPI52figure"/>
        <w:jc w:val="left"/>
        <w:rPr>
          <w:b/>
        </w:rPr>
      </w:pPr>
      <w:r>
        <w:rPr>
          <w:noProof/>
          <w:lang w:val="de-DE" w:bidi="ar-SA"/>
        </w:rPr>
        <w:drawing>
          <wp:inline distT="0" distB="0" distL="0" distR="0">
            <wp:extent cx="5020518" cy="7560860"/>
            <wp:effectExtent l="0" t="0" r="8890" b="2540"/>
            <wp:docPr id="7" name="Grafik 7" descr="C:\Users\schwaefr\AppData\Local\Microsoft\Windows\INetCache\Content.Word\sup fig1 C2 MD time st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waefr\AppData\Local\Microsoft\Windows\INetCache\Content.Word\sup fig1 C2 MD time state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22361" cy="7563636"/>
                    </a:xfrm>
                    <a:prstGeom prst="rect">
                      <a:avLst/>
                    </a:prstGeom>
                    <a:noFill/>
                    <a:ln>
                      <a:noFill/>
                    </a:ln>
                  </pic:spPr>
                </pic:pic>
              </a:graphicData>
            </a:graphic>
          </wp:inline>
        </w:drawing>
      </w:r>
    </w:p>
    <w:p w:rsidR="00F87AD4" w:rsidRDefault="00F87AD4" w:rsidP="00F87AD4">
      <w:pPr>
        <w:pStyle w:val="MDPI51figurecaption"/>
        <w:ind w:left="0"/>
      </w:pPr>
      <w:r>
        <w:rPr>
          <w:b/>
        </w:rPr>
        <w:t xml:space="preserve">Figure </w:t>
      </w:r>
      <w:r w:rsidR="00784CFB">
        <w:rPr>
          <w:b/>
        </w:rPr>
        <w:t>S</w:t>
      </w:r>
      <w:r>
        <w:rPr>
          <w:b/>
        </w:rPr>
        <w:t xml:space="preserve">1. </w:t>
      </w:r>
      <w:r w:rsidR="00784CFB" w:rsidRPr="00784CFB">
        <w:t>Sample conformers obtained from a 100 ns CORE-MD II simulation of MyBPC C2 wt (A) and D389V (B) domain.</w:t>
      </w:r>
      <w:r w:rsidR="00784CFB">
        <w:t xml:space="preserve"> Wt structures are shown in grey and D389V in blue. Asp389 and Val389 are shown as CPK representations. Structures of time points from 0-100 ns are shown in increments of 20 ns.</w:t>
      </w:r>
    </w:p>
    <w:p w:rsidR="00F87AD4" w:rsidRDefault="00B7642A" w:rsidP="00784CFB">
      <w:pPr>
        <w:pStyle w:val="MDPI52figure"/>
        <w:jc w:val="left"/>
        <w:rPr>
          <w:b/>
        </w:rPr>
      </w:pPr>
      <w:r>
        <w:rPr>
          <w:noProof/>
          <w:lang w:val="de-DE" w:bidi="ar-S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4pt;height:209.15pt">
            <v:imagedata r:id="rId8" o:title="sup fig2 CD spectra"/>
          </v:shape>
        </w:pict>
      </w:r>
    </w:p>
    <w:p w:rsidR="00F87AD4" w:rsidRDefault="00F87AD4" w:rsidP="00784CFB">
      <w:pPr>
        <w:pStyle w:val="MDPI51figurecaption"/>
        <w:ind w:left="0"/>
      </w:pPr>
      <w:r>
        <w:rPr>
          <w:b/>
        </w:rPr>
        <w:t xml:space="preserve">Figure </w:t>
      </w:r>
      <w:r w:rsidR="00784CFB">
        <w:rPr>
          <w:b/>
        </w:rPr>
        <w:t>S2</w:t>
      </w:r>
      <w:r>
        <w:rPr>
          <w:b/>
        </w:rPr>
        <w:t xml:space="preserve">. </w:t>
      </w:r>
      <w:r w:rsidR="00784CFB" w:rsidRPr="00784CFB">
        <w:t xml:space="preserve">Circular Dichroism spectra of MyBPC C2 and C0-C2 domains. Data were processed using </w:t>
      </w:r>
      <w:proofErr w:type="spellStart"/>
      <w:r w:rsidR="00784CFB" w:rsidRPr="00784CFB">
        <w:t>DichroWeb</w:t>
      </w:r>
      <w:proofErr w:type="spellEnd"/>
      <w:r w:rsidR="00784CFB" w:rsidRPr="00784CFB">
        <w:t xml:space="preserve"> server. Mean</w:t>
      </w:r>
      <w:r w:rsidR="00784CFB" w:rsidRPr="00DF2A24">
        <w:t xml:space="preserve"> residue ellipticity is plotted against the wavelength for (A) C2 wt and D389V and (B) C0-C2 wt and D389V.</w:t>
      </w:r>
    </w:p>
    <w:p w:rsidR="00F87AD4" w:rsidRDefault="00B7642A" w:rsidP="00784CFB">
      <w:pPr>
        <w:pStyle w:val="MDPI52figure"/>
        <w:jc w:val="left"/>
        <w:rPr>
          <w:b/>
        </w:rPr>
      </w:pPr>
      <w:r>
        <w:rPr>
          <w:b/>
        </w:rPr>
        <w:pict>
          <v:shape id="_x0000_i1026" type="#_x0000_t75" style="width:457.75pt;height:386.4pt">
            <v:imagedata r:id="rId9" o:title="sup fig3 thermal stability"/>
          </v:shape>
        </w:pict>
      </w:r>
    </w:p>
    <w:p w:rsidR="00F87AD4" w:rsidRDefault="00F87AD4" w:rsidP="00784CFB">
      <w:pPr>
        <w:pStyle w:val="MDPI51figurecaption"/>
        <w:ind w:left="0"/>
      </w:pPr>
      <w:r>
        <w:rPr>
          <w:b/>
        </w:rPr>
        <w:t xml:space="preserve">Figure </w:t>
      </w:r>
      <w:r w:rsidR="00784CFB">
        <w:rPr>
          <w:b/>
        </w:rPr>
        <w:t xml:space="preserve">S3. </w:t>
      </w:r>
      <w:r w:rsidR="00784CFB" w:rsidRPr="00784CFB">
        <w:t xml:space="preserve">Analysis of thermal stability of N-terminal MyBPC constructs. C2 is shown as solid lines, C0-C2 as dashed lines; </w:t>
      </w:r>
      <w:r w:rsidR="00187DC2">
        <w:t>wt</w:t>
      </w:r>
      <w:r w:rsidR="00784CFB" w:rsidRPr="00784CFB">
        <w:t xml:space="preserve"> protein is displayed as black and D389V as </w:t>
      </w:r>
      <w:r w:rsidR="00B5295C">
        <w:t>blue</w:t>
      </w:r>
      <w:r w:rsidR="00784CFB" w:rsidRPr="00784CFB">
        <w:t>. Representative (A) normalized and (B) normalized derivative fluorescence traces resulting from a thermal shift assay (TSA). Protein melting temperature (T</w:t>
      </w:r>
      <w:r w:rsidR="00784CFB" w:rsidRPr="00784CFB">
        <w:rPr>
          <w:vertAlign w:val="subscript"/>
        </w:rPr>
        <w:t>m</w:t>
      </w:r>
      <w:r w:rsidR="00784CFB" w:rsidRPr="00784CFB">
        <w:t>) was determined as the temperature value at the maximum of the first derivative. (C) Representative normalized power traces of a differential scanning calorimetry experiment (DSC). T</w:t>
      </w:r>
      <w:r w:rsidR="00784CFB" w:rsidRPr="00784CFB">
        <w:rPr>
          <w:vertAlign w:val="subscript"/>
        </w:rPr>
        <w:t>m</w:t>
      </w:r>
      <w:r w:rsidR="00784CFB" w:rsidRPr="00784CFB">
        <w:t xml:space="preserve"> corresponds to the maximum of each trace.</w:t>
      </w:r>
    </w:p>
    <w:p w:rsidR="00F87AD4" w:rsidRDefault="00B7642A" w:rsidP="00784CFB">
      <w:pPr>
        <w:pStyle w:val="MDPI52figure"/>
        <w:jc w:val="left"/>
        <w:rPr>
          <w:b/>
        </w:rPr>
      </w:pPr>
      <w:r>
        <w:rPr>
          <w:noProof/>
          <w:lang w:val="de-DE" w:bidi="ar-SA"/>
        </w:rPr>
        <w:lastRenderedPageBreak/>
        <w:pict>
          <v:shape id="_x0000_i1027" type="#_x0000_t75" style="width:519.3pt;height:216.65pt">
            <v:imagedata r:id="rId10" o:title="sup fig4 C2 C0-C2 actin myosin spindown gels"/>
          </v:shape>
        </w:pict>
      </w:r>
    </w:p>
    <w:p w:rsidR="00F87AD4" w:rsidRDefault="00F87AD4" w:rsidP="00784CFB">
      <w:pPr>
        <w:pStyle w:val="MDPI51figurecaption"/>
        <w:ind w:left="0"/>
      </w:pPr>
      <w:r>
        <w:rPr>
          <w:b/>
        </w:rPr>
        <w:t xml:space="preserve">Figure </w:t>
      </w:r>
      <w:r w:rsidR="00784CFB">
        <w:rPr>
          <w:b/>
        </w:rPr>
        <w:t>S4</w:t>
      </w:r>
      <w:r>
        <w:rPr>
          <w:b/>
        </w:rPr>
        <w:t xml:space="preserve">. </w:t>
      </w:r>
      <w:r w:rsidR="00784CFB" w:rsidRPr="00784CFB">
        <w:t xml:space="preserve">Co-sedimentation assay of MyBPC C2 with </w:t>
      </w:r>
      <w:r w:rsidR="000910FE">
        <w:t>F-</w:t>
      </w:r>
      <w:r w:rsidR="00784CFB" w:rsidRPr="00784CFB">
        <w:t xml:space="preserve">actin and β-cardiac myosin. (A) Representative SDS gel of a high-speed co-sedimentation assay with 0 – 40 µM actin and 30 µM MyBPC C2. M: </w:t>
      </w:r>
      <w:proofErr w:type="spellStart"/>
      <w:r w:rsidR="00784CFB" w:rsidRPr="00784CFB">
        <w:t>PageRuler</w:t>
      </w:r>
      <w:proofErr w:type="spellEnd"/>
      <w:r w:rsidR="00784CFB" w:rsidRPr="00784CFB">
        <w:t xml:space="preserve"> Unstained Protein Ladder, 0 – 40: total concentration of actin in µM, s: supernatant, p: pellet. Densitometric analysis yielded &lt;2% MyBPC C2 in the pellet fraction with the highest actin concentration (B) Representative SDS gel of a high-speed co-sedimentation assay with 2.5 µM β-cardiac myosin and 2.5-30 µM MyBPC C2. Densitometric analysis yielded &lt;2% MyBPC C2 in the pellet fraction with the highest C2 concentration. M: </w:t>
      </w:r>
      <w:proofErr w:type="spellStart"/>
      <w:r w:rsidR="00784CFB" w:rsidRPr="00784CFB">
        <w:t>PageRuler</w:t>
      </w:r>
      <w:proofErr w:type="spellEnd"/>
      <w:r w:rsidR="00784CFB" w:rsidRPr="00784CFB">
        <w:t xml:space="preserve"> Unstained Protein Ladder, 0</w:t>
      </w:r>
      <w:r w:rsidR="00784CFB" w:rsidRPr="00784CFB">
        <w:noBreakHyphen/>
        <w:t>30: total concentration of C2 in µM, s: supernatant, p: pellet, MHC: myosin heavy chain, s: supernatant, p: pellet, C: 30 µM C2 without myosin.</w:t>
      </w:r>
    </w:p>
    <w:p w:rsidR="00F87AD4" w:rsidRDefault="00B7642A" w:rsidP="00784CFB">
      <w:pPr>
        <w:pStyle w:val="MDPI52figure"/>
        <w:jc w:val="left"/>
        <w:rPr>
          <w:b/>
        </w:rPr>
      </w:pPr>
      <w:r>
        <w:rPr>
          <w:noProof/>
          <w:lang w:val="de-DE" w:bidi="ar-SA"/>
        </w:rPr>
        <w:lastRenderedPageBreak/>
        <w:pict>
          <v:shape id="_x0000_i1028" type="#_x0000_t75" style="width:371.4pt;height:617.7pt">
            <v:imagedata r:id="rId11" o:title="sup fig5 protein unfolding dynamics – example traces and heat maps"/>
          </v:shape>
        </w:pict>
      </w:r>
    </w:p>
    <w:p w:rsidR="00EA6902" w:rsidRPr="00F87AD4" w:rsidRDefault="00F87AD4" w:rsidP="00B5295C">
      <w:pPr>
        <w:pStyle w:val="MDPI51figurecaption"/>
        <w:ind w:left="0"/>
      </w:pPr>
      <w:r>
        <w:rPr>
          <w:b/>
        </w:rPr>
        <w:t xml:space="preserve">Figure </w:t>
      </w:r>
      <w:r w:rsidR="00353D9D">
        <w:rPr>
          <w:b/>
        </w:rPr>
        <w:t>S5</w:t>
      </w:r>
      <w:r>
        <w:rPr>
          <w:b/>
        </w:rPr>
        <w:t xml:space="preserve">. </w:t>
      </w:r>
      <w:r w:rsidR="00784CFB" w:rsidRPr="00784CFB">
        <w:t>Constant Velocity Steered Molecular Dynamics (</w:t>
      </w:r>
      <w:proofErr w:type="spellStart"/>
      <w:r w:rsidR="00784CFB" w:rsidRPr="00784CFB">
        <w:t>cvSMD</w:t>
      </w:r>
      <w:proofErr w:type="spellEnd"/>
      <w:r w:rsidR="00784CFB" w:rsidRPr="00784CFB">
        <w:t xml:space="preserve">) simulation of MyBPC C2 domain unfolding. The SMD atom was pulled at a velocity of 0.01 </w:t>
      </w:r>
      <w:r w:rsidR="00784CFB" w:rsidRPr="00784CFB">
        <w:rPr>
          <w:rFonts w:cs="Calibri"/>
        </w:rPr>
        <w:t>Å/ps and the spring constant was set to 7 kcal/mol/Å.</w:t>
      </w:r>
      <w:r w:rsidR="00784CFB" w:rsidRPr="00784CFB">
        <w:t xml:space="preserve"> (A) Sample traces for an unfolding simulation of each </w:t>
      </w:r>
      <w:r w:rsidR="00187DC2">
        <w:t>wt</w:t>
      </w:r>
      <w:r w:rsidR="00784CFB" w:rsidRPr="00784CFB">
        <w:t xml:space="preserve"> and D389V MyBPC C2 domain. The force acting on the SMD atom is plotted against the time of the simulation. Data were smoothened using Savitzky-Golay filter to compensate for the noise created by the spring acting on the fixed atom. (B) </w:t>
      </w:r>
      <w:r w:rsidR="00784CFB">
        <w:t>Mean smallest distance maps</w:t>
      </w:r>
      <w:r w:rsidR="00784CFB" w:rsidRPr="00784CFB">
        <w:t xml:space="preserve"> of time points 0, 1400 and 2400 ps in the unfolding experiments displayed in (A). </w:t>
      </w:r>
      <w:r w:rsidR="00187DC2" w:rsidRPr="00B10674">
        <w:t xml:space="preserve">The time-averaged minimum distance of each residue to every other residue is plotted in heat maps with </w:t>
      </w:r>
      <w:r w:rsidR="00187DC2">
        <w:t>white</w:t>
      </w:r>
      <w:r w:rsidR="00187DC2" w:rsidRPr="00B10674">
        <w:t xml:space="preserve"> indicating the smallest and </w:t>
      </w:r>
      <w:r w:rsidR="00187DC2">
        <w:t>black</w:t>
      </w:r>
      <w:r w:rsidR="00187DC2" w:rsidRPr="00B10674">
        <w:t xml:space="preserve"> the largest distance ranging from 0</w:t>
      </w:r>
      <w:r w:rsidR="00187DC2">
        <w:t>–</w:t>
      </w:r>
      <w:r w:rsidR="00187DC2" w:rsidRPr="00B10674">
        <w:t xml:space="preserve">1.5 nm. This map reveals differences in the global conformational space of C2 wt and </w:t>
      </w:r>
      <w:r w:rsidR="00187DC2">
        <w:t xml:space="preserve">D389V. </w:t>
      </w:r>
      <w:r w:rsidR="00187DC2" w:rsidRPr="00B10674">
        <w:t>Dashed boxes indicate an N-to-C-terminal β-sheet contact of C2 wt that is destabilized in C2 D389V.</w:t>
      </w:r>
    </w:p>
    <w:sectPr w:rsidR="00EA6902" w:rsidRPr="00F87AD4" w:rsidSect="00F87AD4">
      <w:headerReference w:type="even" r:id="rId12"/>
      <w:footerReference w:type="default" r:id="rId13"/>
      <w:headerReference w:type="first" r:id="rId14"/>
      <w:footerReference w:type="first" r:id="rId15"/>
      <w:type w:val="continuous"/>
      <w:pgSz w:w="11906" w:h="16838" w:code="9"/>
      <w:pgMar w:top="1417" w:right="720" w:bottom="1077" w:left="720" w:header="1020" w:footer="340" w:gutter="0"/>
      <w:pgNumType w:start="1"/>
      <w:cols w:space="425"/>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51A8" w:rsidRDefault="00A951A8">
      <w:pPr>
        <w:spacing w:line="240" w:lineRule="auto"/>
      </w:pPr>
      <w:r>
        <w:separator/>
      </w:r>
    </w:p>
  </w:endnote>
  <w:endnote w:type="continuationSeparator" w:id="0">
    <w:p w:rsidR="00A951A8" w:rsidRDefault="00A951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alatino">
    <w:altName w:val="Book Antiqua"/>
    <w:charset w:val="01"/>
    <w:family w:val="roman"/>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400E" w:rsidRPr="00A71A3D" w:rsidRDefault="0004400E" w:rsidP="0004400E">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1F5A" w:rsidRDefault="00471F5A" w:rsidP="00A24869">
    <w:pPr>
      <w:pStyle w:val="MDPIfooterfirstpage"/>
      <w:pBdr>
        <w:top w:val="single" w:sz="4" w:space="0" w:color="000000"/>
      </w:pBdr>
      <w:adjustRightInd w:val="0"/>
      <w:snapToGrid w:val="0"/>
      <w:spacing w:before="480" w:line="100" w:lineRule="exact"/>
      <w:rPr>
        <w:i/>
        <w:iCs/>
        <w:lang w:val="fr-CH"/>
      </w:rPr>
    </w:pPr>
  </w:p>
  <w:p w:rsidR="0004400E" w:rsidRPr="008B308E" w:rsidRDefault="0004400E" w:rsidP="004340C2">
    <w:pPr>
      <w:pStyle w:val="MDPIfooterfirstpage"/>
      <w:tabs>
        <w:tab w:val="clear" w:pos="8845"/>
        <w:tab w:val="right" w:pos="10466"/>
      </w:tabs>
      <w:spacing w:line="240" w:lineRule="auto"/>
      <w:jc w:val="both"/>
      <w:rPr>
        <w:lang w:val="fr-CH"/>
      </w:rPr>
    </w:pPr>
    <w:r w:rsidRPr="00B04A30">
      <w:rPr>
        <w:i/>
        <w:iCs/>
        <w:lang w:val="fr-CH"/>
      </w:rPr>
      <w:t xml:space="preserve">Int. J. Mol. </w:t>
    </w:r>
    <w:proofErr w:type="spellStart"/>
    <w:r w:rsidRPr="00B04A30">
      <w:rPr>
        <w:i/>
        <w:iCs/>
        <w:lang w:val="fr-CH"/>
      </w:rPr>
      <w:t>Sci</w:t>
    </w:r>
    <w:proofErr w:type="spellEnd"/>
    <w:r w:rsidRPr="00B04A30">
      <w:rPr>
        <w:i/>
        <w:iCs/>
        <w:lang w:val="fr-CH"/>
      </w:rPr>
      <w:t>.</w:t>
    </w:r>
    <w:r w:rsidRPr="00176A50">
      <w:rPr>
        <w:i/>
        <w:lang w:val="fr-CH"/>
      </w:rPr>
      <w:t xml:space="preserve"> </w:t>
    </w:r>
    <w:r w:rsidR="00911F22" w:rsidRPr="00911F22">
      <w:rPr>
        <w:b/>
        <w:iCs/>
        <w:lang w:val="fr-CH"/>
      </w:rPr>
      <w:t>2021</w:t>
    </w:r>
    <w:r w:rsidR="00506BC0" w:rsidRPr="00506BC0">
      <w:rPr>
        <w:iCs/>
        <w:lang w:val="fr-CH"/>
      </w:rPr>
      <w:t xml:space="preserve">, </w:t>
    </w:r>
    <w:r w:rsidR="00911F22" w:rsidRPr="00911F22">
      <w:rPr>
        <w:i/>
        <w:iCs/>
        <w:lang w:val="fr-CH"/>
      </w:rPr>
      <w:t>22</w:t>
    </w:r>
    <w:r w:rsidR="00506BC0" w:rsidRPr="00506BC0">
      <w:rPr>
        <w:iCs/>
        <w:lang w:val="fr-CH"/>
      </w:rPr>
      <w:t xml:space="preserve">, </w:t>
    </w:r>
    <w:r w:rsidR="000B74CE">
      <w:rPr>
        <w:iCs/>
        <w:lang w:val="fr-CH"/>
      </w:rPr>
      <w:t>x</w:t>
    </w:r>
    <w:r w:rsidR="00471F5A">
      <w:rPr>
        <w:iCs/>
        <w:lang w:val="fr-CH"/>
      </w:rPr>
      <w:t>. https://doi.org/10.3390/xxxxx</w:t>
    </w:r>
    <w:r w:rsidR="004340C2" w:rsidRPr="008B308E">
      <w:rPr>
        <w:lang w:val="fr-CH"/>
      </w:rPr>
      <w:tab/>
    </w:r>
    <w:r w:rsidRPr="008B308E">
      <w:rPr>
        <w:lang w:val="fr-CH"/>
      </w:rPr>
      <w:t>www.mdpi.com/journal/</w:t>
    </w:r>
    <w:proofErr w:type="spellStart"/>
    <w:r>
      <w:t>ijms</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51A8" w:rsidRDefault="00A951A8">
      <w:pPr>
        <w:spacing w:line="240" w:lineRule="auto"/>
      </w:pPr>
      <w:r>
        <w:separator/>
      </w:r>
    </w:p>
  </w:footnote>
  <w:footnote w:type="continuationSeparator" w:id="0">
    <w:p w:rsidR="00A951A8" w:rsidRDefault="00A951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400E" w:rsidRDefault="0004400E" w:rsidP="0004400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400E" w:rsidRPr="00471F5A" w:rsidRDefault="0004400E" w:rsidP="00A24869">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8"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3"/>
  </w:num>
  <w:num w:numId="2">
    <w:abstractNumId w:val="5"/>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7"/>
  </w:num>
  <w:num w:numId="7">
    <w:abstractNumId w:val="1"/>
  </w:num>
  <w:num w:numId="8">
    <w:abstractNumId w:val="7"/>
  </w:num>
  <w:num w:numId="9">
    <w:abstractNumId w:val="1"/>
  </w:num>
  <w:num w:numId="10">
    <w:abstractNumId w:val="7"/>
  </w:num>
  <w:num w:numId="11">
    <w:abstractNumId w:val="1"/>
  </w:num>
  <w:num w:numId="12">
    <w:abstractNumId w:val="8"/>
  </w:num>
  <w:num w:numId="13">
    <w:abstractNumId w:val="7"/>
  </w:num>
  <w:num w:numId="14">
    <w:abstractNumId w:val="1"/>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AD4"/>
    <w:rsid w:val="0003433B"/>
    <w:rsid w:val="00035FC3"/>
    <w:rsid w:val="00042AF8"/>
    <w:rsid w:val="0004400E"/>
    <w:rsid w:val="00044C0A"/>
    <w:rsid w:val="0004721A"/>
    <w:rsid w:val="00053EBF"/>
    <w:rsid w:val="000910FE"/>
    <w:rsid w:val="0009213F"/>
    <w:rsid w:val="000A0F93"/>
    <w:rsid w:val="000B1F19"/>
    <w:rsid w:val="000B5171"/>
    <w:rsid w:val="000B74CE"/>
    <w:rsid w:val="000C151B"/>
    <w:rsid w:val="000C2465"/>
    <w:rsid w:val="000C504E"/>
    <w:rsid w:val="000D1C00"/>
    <w:rsid w:val="001048A2"/>
    <w:rsid w:val="00115859"/>
    <w:rsid w:val="00123A57"/>
    <w:rsid w:val="00144467"/>
    <w:rsid w:val="0014787C"/>
    <w:rsid w:val="0016006D"/>
    <w:rsid w:val="00187DC2"/>
    <w:rsid w:val="001A1E76"/>
    <w:rsid w:val="001D349C"/>
    <w:rsid w:val="001D4D23"/>
    <w:rsid w:val="001E2AEB"/>
    <w:rsid w:val="001E4A07"/>
    <w:rsid w:val="0020081E"/>
    <w:rsid w:val="0021217E"/>
    <w:rsid w:val="002223FC"/>
    <w:rsid w:val="00240486"/>
    <w:rsid w:val="00282A41"/>
    <w:rsid w:val="003040E0"/>
    <w:rsid w:val="00324292"/>
    <w:rsid w:val="00326141"/>
    <w:rsid w:val="00353D9D"/>
    <w:rsid w:val="00357E10"/>
    <w:rsid w:val="00370EC8"/>
    <w:rsid w:val="0037766B"/>
    <w:rsid w:val="00377F4F"/>
    <w:rsid w:val="003A15E9"/>
    <w:rsid w:val="003A791E"/>
    <w:rsid w:val="003B7C96"/>
    <w:rsid w:val="003D3232"/>
    <w:rsid w:val="003D57FD"/>
    <w:rsid w:val="003E012D"/>
    <w:rsid w:val="003F0E95"/>
    <w:rsid w:val="003F1497"/>
    <w:rsid w:val="00401D30"/>
    <w:rsid w:val="0041581F"/>
    <w:rsid w:val="004340C2"/>
    <w:rsid w:val="00443AAF"/>
    <w:rsid w:val="004504C9"/>
    <w:rsid w:val="004669B4"/>
    <w:rsid w:val="0046725B"/>
    <w:rsid w:val="00471F5A"/>
    <w:rsid w:val="00473302"/>
    <w:rsid w:val="00475043"/>
    <w:rsid w:val="004A046F"/>
    <w:rsid w:val="004D3B65"/>
    <w:rsid w:val="00501D0F"/>
    <w:rsid w:val="00506BC0"/>
    <w:rsid w:val="0051129F"/>
    <w:rsid w:val="0053256F"/>
    <w:rsid w:val="00557B4B"/>
    <w:rsid w:val="00562123"/>
    <w:rsid w:val="005664C6"/>
    <w:rsid w:val="005A7708"/>
    <w:rsid w:val="005B6005"/>
    <w:rsid w:val="005C5DE8"/>
    <w:rsid w:val="00605718"/>
    <w:rsid w:val="00606DEF"/>
    <w:rsid w:val="006205C4"/>
    <w:rsid w:val="00645D18"/>
    <w:rsid w:val="00646BFC"/>
    <w:rsid w:val="00666C02"/>
    <w:rsid w:val="0068381A"/>
    <w:rsid w:val="00686D0C"/>
    <w:rsid w:val="00691777"/>
    <w:rsid w:val="00692393"/>
    <w:rsid w:val="006A74F9"/>
    <w:rsid w:val="006C6DB8"/>
    <w:rsid w:val="006D7D99"/>
    <w:rsid w:val="0071323C"/>
    <w:rsid w:val="00722347"/>
    <w:rsid w:val="00762525"/>
    <w:rsid w:val="007648D8"/>
    <w:rsid w:val="00784CFB"/>
    <w:rsid w:val="00792DC7"/>
    <w:rsid w:val="00797AB1"/>
    <w:rsid w:val="007A1B04"/>
    <w:rsid w:val="007C021F"/>
    <w:rsid w:val="007D0ABE"/>
    <w:rsid w:val="007F6EDC"/>
    <w:rsid w:val="00804595"/>
    <w:rsid w:val="008145DC"/>
    <w:rsid w:val="0082500C"/>
    <w:rsid w:val="00843AAF"/>
    <w:rsid w:val="008474ED"/>
    <w:rsid w:val="00862B31"/>
    <w:rsid w:val="008669FB"/>
    <w:rsid w:val="008A3D4D"/>
    <w:rsid w:val="008B6A2E"/>
    <w:rsid w:val="008C1897"/>
    <w:rsid w:val="008D69AF"/>
    <w:rsid w:val="008F2594"/>
    <w:rsid w:val="00911F22"/>
    <w:rsid w:val="00993114"/>
    <w:rsid w:val="009A7262"/>
    <w:rsid w:val="009B54F4"/>
    <w:rsid w:val="009B551E"/>
    <w:rsid w:val="009C1F04"/>
    <w:rsid w:val="009F0931"/>
    <w:rsid w:val="009F5C65"/>
    <w:rsid w:val="009F70E6"/>
    <w:rsid w:val="00A15FF4"/>
    <w:rsid w:val="00A1712D"/>
    <w:rsid w:val="00A24869"/>
    <w:rsid w:val="00A563F4"/>
    <w:rsid w:val="00A56FF8"/>
    <w:rsid w:val="00A62565"/>
    <w:rsid w:val="00A63863"/>
    <w:rsid w:val="00A65FB0"/>
    <w:rsid w:val="00A8104C"/>
    <w:rsid w:val="00A852BC"/>
    <w:rsid w:val="00A951A8"/>
    <w:rsid w:val="00AA1BD0"/>
    <w:rsid w:val="00AB5AEE"/>
    <w:rsid w:val="00AC0491"/>
    <w:rsid w:val="00AD4C85"/>
    <w:rsid w:val="00AD7138"/>
    <w:rsid w:val="00AF24CC"/>
    <w:rsid w:val="00AF78DE"/>
    <w:rsid w:val="00B05206"/>
    <w:rsid w:val="00B22E26"/>
    <w:rsid w:val="00B377C4"/>
    <w:rsid w:val="00B46F24"/>
    <w:rsid w:val="00B5295C"/>
    <w:rsid w:val="00B60928"/>
    <w:rsid w:val="00B622F2"/>
    <w:rsid w:val="00B72696"/>
    <w:rsid w:val="00B7642A"/>
    <w:rsid w:val="00B93109"/>
    <w:rsid w:val="00BC74C5"/>
    <w:rsid w:val="00BE2474"/>
    <w:rsid w:val="00C16DD7"/>
    <w:rsid w:val="00CC7938"/>
    <w:rsid w:val="00CC7AAB"/>
    <w:rsid w:val="00CD54D3"/>
    <w:rsid w:val="00CE4479"/>
    <w:rsid w:val="00D15FD7"/>
    <w:rsid w:val="00D26776"/>
    <w:rsid w:val="00D960E1"/>
    <w:rsid w:val="00DA34CC"/>
    <w:rsid w:val="00DA6AE2"/>
    <w:rsid w:val="00DE07DE"/>
    <w:rsid w:val="00DE228F"/>
    <w:rsid w:val="00E03F44"/>
    <w:rsid w:val="00E17581"/>
    <w:rsid w:val="00E20009"/>
    <w:rsid w:val="00E26A84"/>
    <w:rsid w:val="00E53385"/>
    <w:rsid w:val="00E81963"/>
    <w:rsid w:val="00E82DCF"/>
    <w:rsid w:val="00E8311E"/>
    <w:rsid w:val="00EA591D"/>
    <w:rsid w:val="00EA6902"/>
    <w:rsid w:val="00EA77C5"/>
    <w:rsid w:val="00EC23EC"/>
    <w:rsid w:val="00F05B9C"/>
    <w:rsid w:val="00F1193E"/>
    <w:rsid w:val="00F1450C"/>
    <w:rsid w:val="00F174AA"/>
    <w:rsid w:val="00F42807"/>
    <w:rsid w:val="00F54E21"/>
    <w:rsid w:val="00F57FA0"/>
    <w:rsid w:val="00F8065D"/>
    <w:rsid w:val="00F879E4"/>
    <w:rsid w:val="00F87AD4"/>
    <w:rsid w:val="00F91974"/>
    <w:rsid w:val="00FC3455"/>
    <w:rsid w:val="00FC39AC"/>
    <w:rsid w:val="00FC535E"/>
    <w:rsid w:val="00FC7435"/>
    <w:rsid w:val="00FF59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7B2824"/>
  <w15:chartTrackingRefBased/>
  <w15:docId w15:val="{873BB353-D1B7-40C1-AD52-3C8269583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7AD4"/>
    <w:pPr>
      <w:spacing w:line="260" w:lineRule="atLeast"/>
      <w:jc w:val="both"/>
    </w:pPr>
    <w:rPr>
      <w:rFonts w:ascii="Palatino Linotype" w:hAnsi="Palatino Linotype"/>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EA690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EA690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EA690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EA690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EA690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EA6902"/>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EA6902"/>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EA6902"/>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Footer">
    <w:name w:val="footer"/>
    <w:basedOn w:val="Normal"/>
    <w:link w:val="FooterChar"/>
    <w:uiPriority w:val="99"/>
    <w:rsid w:val="00EA6902"/>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EA6902"/>
    <w:rPr>
      <w:rFonts w:ascii="Palatino Linotype" w:hAnsi="Palatino Linotype"/>
      <w:noProof/>
      <w:color w:val="000000"/>
      <w:szCs w:val="18"/>
    </w:rPr>
  </w:style>
  <w:style w:type="paragraph" w:styleId="Header">
    <w:name w:val="header"/>
    <w:basedOn w:val="Normal"/>
    <w:link w:val="HeaderChar"/>
    <w:uiPriority w:val="99"/>
    <w:rsid w:val="00EA6902"/>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EA6902"/>
    <w:rPr>
      <w:rFonts w:ascii="Palatino Linotype" w:hAnsi="Palatino Linotype"/>
      <w:noProof/>
      <w:color w:val="000000"/>
      <w:szCs w:val="18"/>
    </w:rPr>
  </w:style>
  <w:style w:type="paragraph" w:customStyle="1" w:styleId="MDPIheaderjournallogo">
    <w:name w:val="MDPI_header_journal_logo"/>
    <w:qFormat/>
    <w:rsid w:val="00EA6902"/>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EA6902"/>
    <w:pPr>
      <w:ind w:firstLine="0"/>
    </w:pPr>
  </w:style>
  <w:style w:type="paragraph" w:customStyle="1" w:styleId="MDPI31text">
    <w:name w:val="MDPI_3.1_text"/>
    <w:qFormat/>
    <w:rsid w:val="00E53385"/>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EA6902"/>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EA6902"/>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EA6902"/>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EA6902"/>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EA6902"/>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EA6902"/>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EA6902"/>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EA6902"/>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EA6902"/>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B72696"/>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EA6902"/>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EA6902"/>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EA690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EA6902"/>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EA6902"/>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EA6902"/>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EA6902"/>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EA6902"/>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EA6902"/>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DE228F"/>
    <w:pPr>
      <w:numPr>
        <w:numId w:val="18"/>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EA6902"/>
    <w:rPr>
      <w:rFonts w:cs="Tahoma"/>
      <w:szCs w:val="18"/>
    </w:rPr>
  </w:style>
  <w:style w:type="character" w:customStyle="1" w:styleId="BalloonTextChar">
    <w:name w:val="Balloon Text Char"/>
    <w:link w:val="BalloonText"/>
    <w:uiPriority w:val="99"/>
    <w:rsid w:val="00EA6902"/>
    <w:rPr>
      <w:rFonts w:ascii="Palatino Linotype" w:hAnsi="Palatino Linotype" w:cs="Tahoma"/>
      <w:noProof/>
      <w:color w:val="000000"/>
      <w:szCs w:val="18"/>
    </w:rPr>
  </w:style>
  <w:style w:type="character" w:styleId="LineNumber">
    <w:name w:val="line number"/>
    <w:uiPriority w:val="99"/>
    <w:rsid w:val="009B551E"/>
    <w:rPr>
      <w:rFonts w:ascii="Palatino Linotype" w:hAnsi="Palatino Linotype"/>
      <w:sz w:val="16"/>
    </w:rPr>
  </w:style>
  <w:style w:type="table" w:customStyle="1" w:styleId="MDPI41threelinetable">
    <w:name w:val="MDPI_4.1_three_line_table"/>
    <w:basedOn w:val="TableNormal"/>
    <w:uiPriority w:val="99"/>
    <w:rsid w:val="00EA6902"/>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EA6902"/>
    <w:rPr>
      <w:color w:val="0000FF"/>
      <w:u w:val="single"/>
    </w:rPr>
  </w:style>
  <w:style w:type="character" w:customStyle="1" w:styleId="NichtaufgelsteErwhnung1">
    <w:name w:val="Nicht aufgelöste Erwähnung1"/>
    <w:uiPriority w:val="99"/>
    <w:semiHidden/>
    <w:unhideWhenUsed/>
    <w:rsid w:val="00A65FB0"/>
    <w:rPr>
      <w:color w:val="605E5C"/>
      <w:shd w:val="clear" w:color="auto" w:fill="E1DFDD"/>
    </w:rPr>
  </w:style>
  <w:style w:type="table" w:styleId="TableGrid">
    <w:name w:val="Table Grid"/>
    <w:basedOn w:val="TableNormal"/>
    <w:uiPriority w:val="59"/>
    <w:rsid w:val="00EA690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06BC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EA6902"/>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EA6902"/>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EA6902"/>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EA6902"/>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EA6902"/>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EA6902"/>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EA6902"/>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EA6902"/>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EA6902"/>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EA6902"/>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EA6902"/>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EA6902"/>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EA6902"/>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EA6902"/>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EA6902"/>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EA6902"/>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EA6902"/>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EA6902"/>
  </w:style>
  <w:style w:type="paragraph" w:styleId="Bibliography">
    <w:name w:val="Bibliography"/>
    <w:basedOn w:val="Normal"/>
    <w:next w:val="Normal"/>
    <w:uiPriority w:val="37"/>
    <w:unhideWhenUsed/>
    <w:rsid w:val="00EA6902"/>
    <w:pPr>
      <w:tabs>
        <w:tab w:val="left" w:pos="384"/>
      </w:tabs>
      <w:spacing w:line="240" w:lineRule="atLeast"/>
      <w:ind w:left="384" w:hanging="384"/>
    </w:pPr>
  </w:style>
  <w:style w:type="paragraph" w:styleId="BodyText">
    <w:name w:val="Body Text"/>
    <w:link w:val="BodyTextChar"/>
    <w:rsid w:val="00EA6902"/>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EA6902"/>
    <w:rPr>
      <w:rFonts w:ascii="Palatino Linotype" w:hAnsi="Palatino Linotype"/>
      <w:color w:val="000000"/>
      <w:sz w:val="24"/>
      <w:lang w:eastAsia="de-DE"/>
    </w:rPr>
  </w:style>
  <w:style w:type="character" w:styleId="CommentReference">
    <w:name w:val="annotation reference"/>
    <w:rsid w:val="00EA6902"/>
    <w:rPr>
      <w:sz w:val="21"/>
      <w:szCs w:val="21"/>
    </w:rPr>
  </w:style>
  <w:style w:type="paragraph" w:styleId="CommentText">
    <w:name w:val="annotation text"/>
    <w:basedOn w:val="Normal"/>
    <w:link w:val="CommentTextChar"/>
    <w:rsid w:val="00EA6902"/>
  </w:style>
  <w:style w:type="character" w:customStyle="1" w:styleId="CommentTextChar">
    <w:name w:val="Comment Text Char"/>
    <w:link w:val="CommentText"/>
    <w:rsid w:val="00EA6902"/>
    <w:rPr>
      <w:rFonts w:ascii="Palatino Linotype" w:hAnsi="Palatino Linotype"/>
      <w:noProof/>
      <w:color w:val="000000"/>
    </w:rPr>
  </w:style>
  <w:style w:type="paragraph" w:styleId="CommentSubject">
    <w:name w:val="annotation subject"/>
    <w:basedOn w:val="CommentText"/>
    <w:next w:val="CommentText"/>
    <w:link w:val="CommentSubjectChar"/>
    <w:rsid w:val="00EA6902"/>
    <w:rPr>
      <w:b/>
      <w:bCs/>
    </w:rPr>
  </w:style>
  <w:style w:type="character" w:customStyle="1" w:styleId="CommentSubjectChar">
    <w:name w:val="Comment Subject Char"/>
    <w:link w:val="CommentSubject"/>
    <w:rsid w:val="00EA6902"/>
    <w:rPr>
      <w:rFonts w:ascii="Palatino Linotype" w:hAnsi="Palatino Linotype"/>
      <w:b/>
      <w:bCs/>
      <w:noProof/>
      <w:color w:val="000000"/>
    </w:rPr>
  </w:style>
  <w:style w:type="character" w:styleId="EndnoteReference">
    <w:name w:val="endnote reference"/>
    <w:rsid w:val="00EA6902"/>
    <w:rPr>
      <w:vertAlign w:val="superscript"/>
    </w:rPr>
  </w:style>
  <w:style w:type="paragraph" w:styleId="EndnoteText">
    <w:name w:val="endnote text"/>
    <w:basedOn w:val="Normal"/>
    <w:link w:val="EndnoteTextChar"/>
    <w:semiHidden/>
    <w:unhideWhenUsed/>
    <w:rsid w:val="00EA6902"/>
    <w:pPr>
      <w:spacing w:line="240" w:lineRule="auto"/>
    </w:pPr>
  </w:style>
  <w:style w:type="character" w:customStyle="1" w:styleId="EndnoteTextChar">
    <w:name w:val="Endnote Text Char"/>
    <w:link w:val="EndnoteText"/>
    <w:semiHidden/>
    <w:rsid w:val="00EA6902"/>
    <w:rPr>
      <w:rFonts w:ascii="Palatino Linotype" w:hAnsi="Palatino Linotype"/>
      <w:noProof/>
      <w:color w:val="000000"/>
    </w:rPr>
  </w:style>
  <w:style w:type="character" w:styleId="FollowedHyperlink">
    <w:name w:val="FollowedHyperlink"/>
    <w:rsid w:val="00EA6902"/>
    <w:rPr>
      <w:color w:val="954F72"/>
      <w:u w:val="single"/>
    </w:rPr>
  </w:style>
  <w:style w:type="paragraph" w:styleId="FootnoteText">
    <w:name w:val="footnote text"/>
    <w:basedOn w:val="Normal"/>
    <w:link w:val="FootnoteTextChar"/>
    <w:semiHidden/>
    <w:unhideWhenUsed/>
    <w:rsid w:val="00EA6902"/>
    <w:pPr>
      <w:spacing w:line="240" w:lineRule="auto"/>
    </w:pPr>
  </w:style>
  <w:style w:type="character" w:customStyle="1" w:styleId="FootnoteTextChar">
    <w:name w:val="Footnote Text Char"/>
    <w:link w:val="FootnoteText"/>
    <w:semiHidden/>
    <w:rsid w:val="00EA6902"/>
    <w:rPr>
      <w:rFonts w:ascii="Palatino Linotype" w:hAnsi="Palatino Linotype"/>
      <w:noProof/>
      <w:color w:val="000000"/>
    </w:rPr>
  </w:style>
  <w:style w:type="paragraph" w:styleId="NormalWeb">
    <w:name w:val="Normal (Web)"/>
    <w:basedOn w:val="Normal"/>
    <w:uiPriority w:val="99"/>
    <w:rsid w:val="00EA6902"/>
    <w:rPr>
      <w:szCs w:val="24"/>
    </w:rPr>
  </w:style>
  <w:style w:type="paragraph" w:customStyle="1" w:styleId="MsoFootnoteText0">
    <w:name w:val="MsoFootnoteText"/>
    <w:basedOn w:val="NormalWeb"/>
    <w:qFormat/>
    <w:rsid w:val="00EA6902"/>
    <w:rPr>
      <w:rFonts w:ascii="Times New Roman" w:hAnsi="Times New Roman"/>
    </w:rPr>
  </w:style>
  <w:style w:type="character" w:styleId="PageNumber">
    <w:name w:val="page number"/>
    <w:rsid w:val="00EA6902"/>
  </w:style>
  <w:style w:type="character" w:styleId="PlaceholderText">
    <w:name w:val="Placeholder Text"/>
    <w:uiPriority w:val="99"/>
    <w:semiHidden/>
    <w:rsid w:val="00EA6902"/>
    <w:rPr>
      <w:color w:val="808080"/>
    </w:rPr>
  </w:style>
  <w:style w:type="paragraph" w:customStyle="1" w:styleId="MDPI71FootNotes">
    <w:name w:val="MDPI_7.1_FootNotes"/>
    <w:qFormat/>
    <w:rsid w:val="00D15FD7"/>
    <w:pPr>
      <w:numPr>
        <w:numId w:val="19"/>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Symbol">
    <w:name w:val="Symbol"/>
    <w:basedOn w:val="Normal"/>
    <w:qFormat/>
    <w:rsid w:val="001478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9655157">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ownCloud\_doktorarbeit\_paper_mybpc\ijm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ijms-template.dot</Template>
  <TotalTime>0</TotalTime>
  <Pages>7</Pages>
  <Words>1966</Words>
  <Characters>11211</Characters>
  <Application>Microsoft Office Word</Application>
  <DocSecurity>0</DocSecurity>
  <Lines>93</Lines>
  <Paragraphs>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Type of the Paper (Article</vt:lpstr>
      <vt:lpstr>Type of the Paper (Article</vt:lpstr>
    </vt:vector>
  </TitlesOfParts>
  <Company/>
  <LinksUpToDate>false</LinksUpToDate>
  <CharactersWithSpaces>13151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Schwäbe, Frederic Vincent</dc:creator>
  <cp:keywords/>
  <dc:description/>
  <cp:lastModifiedBy>Manstein, Dietmar Prof. Dr.</cp:lastModifiedBy>
  <cp:revision>2</cp:revision>
  <dcterms:created xsi:type="dcterms:W3CDTF">2021-10-11T10:07:00Z</dcterms:created>
  <dcterms:modified xsi:type="dcterms:W3CDTF">2021-10-11T10:07:00Z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id="TVwnRn5Y"/&gt;&lt;style id="http://www.zotero.org/styles/multidisciplinary-digital-publishing-institute" hasBibliography="1" bibliographyStyleHasBeenSet="1"/&gt;&lt;prefs&gt;&lt;pref name="fieldType" value="Fiel</vt:lpwstr>
  </property>
  <property fmtid="{D5CDD505-2E9C-101B-9397-08002B2CF9AE}" pid="3" name="ZOTERO_PREF_2">
    <vt:lpwstr>d"/&gt;&lt;/prefs&gt;&lt;/data&gt;</vt:lpwstr>
  </property>
</Properties>
</file>