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F6003" w14:textId="77777777" w:rsidR="00BC7EBD" w:rsidRPr="00CE0A6D" w:rsidRDefault="00BC7EBD" w:rsidP="00BC7EBD">
      <w:pPr>
        <w:spacing w:after="0" w:line="276" w:lineRule="auto"/>
        <w:jc w:val="center"/>
        <w:rPr>
          <w:rFonts w:ascii="Times New Roman" w:hAnsi="Times New Roman" w:cs="Times New Roman"/>
          <w:b/>
          <w:sz w:val="36"/>
          <w:szCs w:val="36"/>
        </w:rPr>
      </w:pPr>
      <w:r w:rsidRPr="00CE0A6D">
        <w:rPr>
          <w:rFonts w:ascii="Times New Roman" w:hAnsi="Times New Roman" w:cs="Times New Roman"/>
          <w:b/>
          <w:sz w:val="36"/>
          <w:szCs w:val="36"/>
        </w:rPr>
        <w:t>Supplementary Information</w:t>
      </w:r>
    </w:p>
    <w:p w14:paraId="54731780" w14:textId="77777777" w:rsidR="00BC7EBD" w:rsidRDefault="00BC7EBD" w:rsidP="00BC574F">
      <w:pPr>
        <w:spacing w:after="0" w:line="276" w:lineRule="auto"/>
        <w:rPr>
          <w:rFonts w:ascii="Palatino Linotype" w:hAnsi="Palatino Linotype"/>
          <w:b/>
          <w:sz w:val="36"/>
          <w:szCs w:val="36"/>
        </w:rPr>
      </w:pPr>
    </w:p>
    <w:p w14:paraId="0B82EE16" w14:textId="77777777" w:rsidR="00CE0A6D" w:rsidRPr="00FD7CE7" w:rsidRDefault="00CE0A6D" w:rsidP="00CE0A6D">
      <w:pPr>
        <w:spacing w:after="0" w:line="240" w:lineRule="auto"/>
        <w:rPr>
          <w:rFonts w:ascii="Times New Roman" w:hAnsi="Times New Roman" w:cs="Times New Roman"/>
          <w:b/>
          <w:sz w:val="36"/>
          <w:szCs w:val="36"/>
        </w:rPr>
      </w:pPr>
      <w:r w:rsidRPr="00FD7CE7">
        <w:rPr>
          <w:rFonts w:ascii="Times New Roman" w:hAnsi="Times New Roman" w:cs="Times New Roman"/>
          <w:b/>
          <w:sz w:val="36"/>
          <w:szCs w:val="36"/>
        </w:rPr>
        <w:t xml:space="preserve">Mitochondrial ROS produced in human colon carcinoma HCT116 </w:t>
      </w:r>
      <w:r>
        <w:rPr>
          <w:rFonts w:ascii="Times New Roman" w:hAnsi="Times New Roman" w:cs="Times New Roman"/>
          <w:b/>
          <w:sz w:val="36"/>
          <w:szCs w:val="36"/>
        </w:rPr>
        <w:t>cells reduces</w:t>
      </w:r>
      <w:r w:rsidRPr="00FD7CE7">
        <w:rPr>
          <w:rFonts w:ascii="Times New Roman" w:hAnsi="Times New Roman" w:cs="Times New Roman"/>
          <w:b/>
          <w:sz w:val="36"/>
          <w:szCs w:val="36"/>
        </w:rPr>
        <w:t xml:space="preserve"> cell survival via autophagy</w:t>
      </w:r>
    </w:p>
    <w:p w14:paraId="38F47EFC" w14:textId="77777777" w:rsidR="00CE0A6D" w:rsidRPr="00FD7CE7" w:rsidRDefault="00CE0A6D" w:rsidP="00CE0A6D">
      <w:pPr>
        <w:spacing w:after="0" w:line="240" w:lineRule="auto"/>
        <w:rPr>
          <w:rFonts w:ascii="Times New Roman" w:hAnsi="Times New Roman" w:cs="Times New Roman"/>
          <w:sz w:val="36"/>
          <w:szCs w:val="36"/>
        </w:rPr>
      </w:pPr>
    </w:p>
    <w:p w14:paraId="16B85DD8" w14:textId="77777777" w:rsidR="00CE0A6D" w:rsidRPr="00FD7CE7" w:rsidRDefault="00CE0A6D" w:rsidP="00CE0A6D">
      <w:pPr>
        <w:spacing w:after="0" w:line="240" w:lineRule="auto"/>
        <w:rPr>
          <w:rFonts w:ascii="Times New Roman" w:hAnsi="Times New Roman" w:cs="Times New Roman"/>
          <w:b/>
          <w:sz w:val="24"/>
          <w:szCs w:val="24"/>
        </w:rPr>
      </w:pPr>
      <w:proofErr w:type="spellStart"/>
      <w:r w:rsidRPr="00FD7CE7">
        <w:rPr>
          <w:rFonts w:ascii="Times New Roman" w:hAnsi="Times New Roman" w:cs="Times New Roman"/>
          <w:b/>
          <w:sz w:val="24"/>
          <w:szCs w:val="24"/>
        </w:rPr>
        <w:t>Eunji</w:t>
      </w:r>
      <w:proofErr w:type="spellEnd"/>
      <w:r w:rsidRPr="00FD7CE7">
        <w:rPr>
          <w:rFonts w:ascii="Times New Roman" w:hAnsi="Times New Roman" w:cs="Times New Roman"/>
          <w:b/>
          <w:sz w:val="24"/>
          <w:szCs w:val="24"/>
        </w:rPr>
        <w:t xml:space="preserve"> </w:t>
      </w:r>
      <w:proofErr w:type="spellStart"/>
      <w:r w:rsidRPr="00FD7CE7">
        <w:rPr>
          <w:rFonts w:ascii="Times New Roman" w:hAnsi="Times New Roman" w:cs="Times New Roman"/>
          <w:b/>
          <w:sz w:val="24"/>
          <w:szCs w:val="24"/>
        </w:rPr>
        <w:t>Gwak</w:t>
      </w:r>
      <w:proofErr w:type="spellEnd"/>
      <w:r w:rsidRPr="00FD7CE7">
        <w:rPr>
          <w:rFonts w:ascii="Times New Roman" w:hAnsi="Times New Roman" w:cs="Times New Roman"/>
          <w:b/>
          <w:sz w:val="24"/>
          <w:szCs w:val="24"/>
        </w:rPr>
        <w:t xml:space="preserve">, </w:t>
      </w:r>
      <w:proofErr w:type="spellStart"/>
      <w:r w:rsidRPr="00FD7CE7">
        <w:rPr>
          <w:rFonts w:ascii="Times New Roman" w:hAnsi="Times New Roman" w:cs="Times New Roman"/>
          <w:b/>
          <w:sz w:val="24"/>
          <w:szCs w:val="24"/>
        </w:rPr>
        <w:t>Dasol</w:t>
      </w:r>
      <w:proofErr w:type="spellEnd"/>
      <w:r w:rsidRPr="00FD7CE7">
        <w:rPr>
          <w:rFonts w:ascii="Times New Roman" w:hAnsi="Times New Roman" w:cs="Times New Roman"/>
          <w:b/>
          <w:sz w:val="24"/>
          <w:szCs w:val="24"/>
        </w:rPr>
        <w:t xml:space="preserve"> Kim, Hui-Yun Hwang, and Ho </w:t>
      </w:r>
      <w:proofErr w:type="spellStart"/>
      <w:r w:rsidRPr="00FD7CE7">
        <w:rPr>
          <w:rFonts w:ascii="Times New Roman" w:hAnsi="Times New Roman" w:cs="Times New Roman"/>
          <w:b/>
          <w:sz w:val="24"/>
          <w:szCs w:val="24"/>
        </w:rPr>
        <w:t>Jeong</w:t>
      </w:r>
      <w:proofErr w:type="spellEnd"/>
      <w:r w:rsidRPr="00FD7CE7">
        <w:rPr>
          <w:rFonts w:ascii="Times New Roman" w:hAnsi="Times New Roman" w:cs="Times New Roman"/>
          <w:b/>
          <w:sz w:val="24"/>
          <w:szCs w:val="24"/>
        </w:rPr>
        <w:t xml:space="preserve"> Kwon</w:t>
      </w:r>
      <w:r w:rsidRPr="00FD7CE7">
        <w:rPr>
          <w:rFonts w:ascii="Times New Roman" w:hAnsi="Times New Roman" w:cs="Times New Roman"/>
          <w:b/>
          <w:sz w:val="24"/>
          <w:szCs w:val="24"/>
          <w:vertAlign w:val="superscript"/>
        </w:rPr>
        <w:t>*</w:t>
      </w:r>
    </w:p>
    <w:p w14:paraId="39F4E835" w14:textId="77777777" w:rsidR="00CE0A6D" w:rsidRPr="00FD7CE7" w:rsidRDefault="00CE0A6D" w:rsidP="00CE0A6D">
      <w:pPr>
        <w:spacing w:after="0" w:line="240" w:lineRule="auto"/>
        <w:rPr>
          <w:rFonts w:ascii="Times New Roman" w:hAnsi="Times New Roman" w:cs="Times New Roman"/>
          <w:sz w:val="24"/>
          <w:szCs w:val="24"/>
        </w:rPr>
      </w:pPr>
      <w:r w:rsidRPr="00FD7CE7">
        <w:rPr>
          <w:rFonts w:ascii="Times New Roman" w:hAnsi="Times New Roman" w:cs="Times New Roman"/>
          <w:sz w:val="24"/>
          <w:szCs w:val="24"/>
          <w:vertAlign w:val="superscript"/>
        </w:rPr>
        <w:t>1</w:t>
      </w:r>
      <w:r w:rsidRPr="00FD7CE7">
        <w:rPr>
          <w:rFonts w:ascii="Times New Roman" w:hAnsi="Times New Roman" w:cs="Times New Roman"/>
          <w:sz w:val="24"/>
          <w:szCs w:val="24"/>
        </w:rPr>
        <w:t xml:space="preserve">Chemical Genomics Laboratory, Department of Biotechnology, College of Life Science and Biotechnology, </w:t>
      </w:r>
      <w:proofErr w:type="spellStart"/>
      <w:r w:rsidRPr="00FD7CE7">
        <w:rPr>
          <w:rFonts w:ascii="Times New Roman" w:hAnsi="Times New Roman" w:cs="Times New Roman"/>
          <w:sz w:val="24"/>
          <w:szCs w:val="24"/>
        </w:rPr>
        <w:t>Yonsei</w:t>
      </w:r>
      <w:proofErr w:type="spellEnd"/>
      <w:r w:rsidRPr="00FD7CE7">
        <w:rPr>
          <w:rFonts w:ascii="Times New Roman" w:hAnsi="Times New Roman" w:cs="Times New Roman"/>
          <w:sz w:val="24"/>
          <w:szCs w:val="24"/>
        </w:rPr>
        <w:t xml:space="preserve"> University, Seoul 03722, Republic of Korea</w:t>
      </w:r>
    </w:p>
    <w:p w14:paraId="037D10B3" w14:textId="77777777" w:rsidR="00CE0A6D" w:rsidRPr="00FD7CE7" w:rsidRDefault="00CE0A6D" w:rsidP="00CE0A6D">
      <w:pPr>
        <w:spacing w:after="0" w:line="240" w:lineRule="auto"/>
        <w:rPr>
          <w:rFonts w:ascii="Times New Roman" w:hAnsi="Times New Roman" w:cs="Times New Roman"/>
          <w:sz w:val="24"/>
          <w:szCs w:val="24"/>
        </w:rPr>
      </w:pPr>
      <w:r w:rsidRPr="00FD7CE7">
        <w:rPr>
          <w:rFonts w:ascii="Times New Roman" w:hAnsi="Times New Roman" w:cs="Times New Roman"/>
          <w:sz w:val="24"/>
          <w:szCs w:val="24"/>
          <w:vertAlign w:val="superscript"/>
        </w:rPr>
        <w:t>*</w:t>
      </w:r>
      <w:r w:rsidRPr="00FD7CE7">
        <w:rPr>
          <w:rFonts w:ascii="Times New Roman" w:hAnsi="Times New Roman" w:cs="Times New Roman"/>
          <w:sz w:val="24"/>
          <w:szCs w:val="24"/>
        </w:rPr>
        <w:t>Correspondence: kwonhj@yonsei.ac.kr (H.J.K); Tel.: +82-2-2123-5883 (H.J.K.)</w:t>
      </w:r>
    </w:p>
    <w:p w14:paraId="7E0DFF2E" w14:textId="77777777" w:rsidR="00746EBB" w:rsidRPr="00310A17" w:rsidRDefault="00746EBB" w:rsidP="00BC574F">
      <w:pPr>
        <w:spacing w:after="0" w:line="240" w:lineRule="auto"/>
        <w:rPr>
          <w:rFonts w:ascii="Palatino Linotype" w:hAnsi="Palatino Linotype"/>
          <w:szCs w:val="20"/>
        </w:rPr>
      </w:pPr>
    </w:p>
    <w:p w14:paraId="7A0388CF" w14:textId="77777777" w:rsidR="00746EBB" w:rsidRPr="00CE0A6D" w:rsidRDefault="00746EBB" w:rsidP="00BC574F">
      <w:pPr>
        <w:spacing w:after="0" w:line="240" w:lineRule="auto"/>
        <w:rPr>
          <w:rFonts w:ascii="Times New Roman" w:hAnsi="Times New Roman" w:cs="Times New Roman"/>
          <w:sz w:val="24"/>
          <w:szCs w:val="24"/>
        </w:rPr>
      </w:pPr>
      <w:r w:rsidRPr="00CE0A6D">
        <w:rPr>
          <w:rFonts w:ascii="Times New Roman" w:hAnsi="Times New Roman" w:cs="Times New Roman"/>
          <w:sz w:val="24"/>
          <w:szCs w:val="24"/>
        </w:rPr>
        <w:t xml:space="preserve">Ho </w:t>
      </w:r>
      <w:proofErr w:type="spellStart"/>
      <w:r w:rsidRPr="00CE0A6D">
        <w:rPr>
          <w:rFonts w:ascii="Times New Roman" w:hAnsi="Times New Roman" w:cs="Times New Roman"/>
          <w:sz w:val="24"/>
          <w:szCs w:val="24"/>
        </w:rPr>
        <w:t>Jeong</w:t>
      </w:r>
      <w:proofErr w:type="spellEnd"/>
      <w:r w:rsidRPr="00CE0A6D">
        <w:rPr>
          <w:rFonts w:ascii="Times New Roman" w:hAnsi="Times New Roman" w:cs="Times New Roman"/>
          <w:sz w:val="24"/>
          <w:szCs w:val="24"/>
        </w:rPr>
        <w:t xml:space="preserve"> Kwon, Ph.D.</w:t>
      </w:r>
    </w:p>
    <w:p w14:paraId="74A46C33" w14:textId="77777777" w:rsidR="00746EBB" w:rsidRPr="00CE0A6D" w:rsidRDefault="00746EBB" w:rsidP="00BC574F">
      <w:pPr>
        <w:spacing w:after="0" w:line="240" w:lineRule="auto"/>
        <w:rPr>
          <w:rFonts w:ascii="Times New Roman" w:hAnsi="Times New Roman" w:cs="Times New Roman"/>
          <w:sz w:val="24"/>
          <w:szCs w:val="24"/>
        </w:rPr>
      </w:pPr>
      <w:r w:rsidRPr="00CE0A6D">
        <w:rPr>
          <w:rFonts w:ascii="Times New Roman" w:hAnsi="Times New Roman" w:cs="Times New Roman"/>
          <w:sz w:val="24"/>
          <w:szCs w:val="24"/>
        </w:rPr>
        <w:t>Professor, Department of Biotechnology, College of Life Science and Biotechnology,</w:t>
      </w:r>
    </w:p>
    <w:p w14:paraId="62D7DC3B" w14:textId="77777777" w:rsidR="00746EBB" w:rsidRPr="00CE0A6D" w:rsidRDefault="00746EBB" w:rsidP="00BC574F">
      <w:pPr>
        <w:spacing w:after="0" w:line="240" w:lineRule="auto"/>
        <w:rPr>
          <w:rFonts w:ascii="Times New Roman" w:hAnsi="Times New Roman" w:cs="Times New Roman"/>
          <w:sz w:val="24"/>
          <w:szCs w:val="24"/>
        </w:rPr>
      </w:pPr>
      <w:r w:rsidRPr="00CE0A6D">
        <w:rPr>
          <w:rFonts w:ascii="Times New Roman" w:hAnsi="Times New Roman" w:cs="Times New Roman"/>
          <w:sz w:val="24"/>
          <w:szCs w:val="24"/>
        </w:rPr>
        <w:t xml:space="preserve">Yonsei University, Engineering Hall B, B410, 50 </w:t>
      </w:r>
      <w:proofErr w:type="spellStart"/>
      <w:r w:rsidRPr="00CE0A6D">
        <w:rPr>
          <w:rFonts w:ascii="Times New Roman" w:hAnsi="Times New Roman" w:cs="Times New Roman"/>
          <w:sz w:val="24"/>
          <w:szCs w:val="24"/>
        </w:rPr>
        <w:t>Yonsei-ro</w:t>
      </w:r>
      <w:proofErr w:type="spellEnd"/>
      <w:r w:rsidRPr="00CE0A6D">
        <w:rPr>
          <w:rFonts w:ascii="Times New Roman" w:hAnsi="Times New Roman" w:cs="Times New Roman"/>
          <w:sz w:val="24"/>
          <w:szCs w:val="24"/>
        </w:rPr>
        <w:t xml:space="preserve">, </w:t>
      </w:r>
      <w:proofErr w:type="spellStart"/>
      <w:r w:rsidRPr="00CE0A6D">
        <w:rPr>
          <w:rFonts w:ascii="Times New Roman" w:hAnsi="Times New Roman" w:cs="Times New Roman"/>
          <w:sz w:val="24"/>
          <w:szCs w:val="24"/>
        </w:rPr>
        <w:t>Seodaemun-gu</w:t>
      </w:r>
      <w:proofErr w:type="spellEnd"/>
      <w:r w:rsidRPr="00CE0A6D">
        <w:rPr>
          <w:rFonts w:ascii="Times New Roman" w:hAnsi="Times New Roman" w:cs="Times New Roman"/>
          <w:sz w:val="24"/>
          <w:szCs w:val="24"/>
        </w:rPr>
        <w:t>,</w:t>
      </w:r>
    </w:p>
    <w:p w14:paraId="0E28BF71" w14:textId="77777777" w:rsidR="00746EBB" w:rsidRPr="00CE0A6D" w:rsidRDefault="00746EBB" w:rsidP="00BC574F">
      <w:pPr>
        <w:spacing w:after="0" w:line="240" w:lineRule="auto"/>
        <w:rPr>
          <w:rFonts w:ascii="Times New Roman" w:hAnsi="Times New Roman" w:cs="Times New Roman"/>
          <w:sz w:val="24"/>
          <w:szCs w:val="24"/>
        </w:rPr>
      </w:pPr>
      <w:r w:rsidRPr="00CE0A6D">
        <w:rPr>
          <w:rFonts w:ascii="Times New Roman" w:hAnsi="Times New Roman" w:cs="Times New Roman"/>
          <w:sz w:val="24"/>
          <w:szCs w:val="24"/>
        </w:rPr>
        <w:t>Seoul 03722, Republic of Korea</w:t>
      </w:r>
    </w:p>
    <w:p w14:paraId="4C451D21" w14:textId="77777777" w:rsidR="00746EBB" w:rsidRPr="00CE0A6D" w:rsidRDefault="00746EBB" w:rsidP="00BC574F">
      <w:pPr>
        <w:spacing w:after="0" w:line="240" w:lineRule="auto"/>
        <w:rPr>
          <w:rFonts w:ascii="Times New Roman" w:hAnsi="Times New Roman" w:cs="Times New Roman"/>
          <w:sz w:val="24"/>
          <w:szCs w:val="24"/>
        </w:rPr>
      </w:pPr>
      <w:r w:rsidRPr="00CE0A6D">
        <w:rPr>
          <w:rFonts w:ascii="Times New Roman" w:hAnsi="Times New Roman" w:cs="Times New Roman"/>
          <w:sz w:val="24"/>
          <w:szCs w:val="24"/>
        </w:rPr>
        <w:t>Phone: 82-2-2123-5883</w:t>
      </w:r>
    </w:p>
    <w:p w14:paraId="127B54FB" w14:textId="77777777" w:rsidR="00746EBB" w:rsidRPr="00CE0A6D" w:rsidRDefault="00746EBB" w:rsidP="00BC574F">
      <w:pPr>
        <w:spacing w:after="0" w:line="240" w:lineRule="auto"/>
        <w:rPr>
          <w:rFonts w:ascii="Times New Roman" w:hAnsi="Times New Roman" w:cs="Times New Roman"/>
          <w:sz w:val="24"/>
          <w:szCs w:val="24"/>
        </w:rPr>
      </w:pPr>
      <w:r w:rsidRPr="00CE0A6D">
        <w:rPr>
          <w:rFonts w:ascii="Times New Roman" w:hAnsi="Times New Roman" w:cs="Times New Roman"/>
          <w:sz w:val="24"/>
          <w:szCs w:val="24"/>
        </w:rPr>
        <w:t>Fax: 82-2-362-7265</w:t>
      </w:r>
    </w:p>
    <w:p w14:paraId="2077DA6E" w14:textId="77777777" w:rsidR="00746EBB" w:rsidRPr="00CE0A6D" w:rsidRDefault="00746EBB" w:rsidP="00BC574F">
      <w:pPr>
        <w:spacing w:after="0" w:line="240" w:lineRule="auto"/>
        <w:rPr>
          <w:rFonts w:ascii="Times New Roman" w:hAnsi="Times New Roman" w:cs="Times New Roman"/>
          <w:sz w:val="24"/>
          <w:szCs w:val="24"/>
        </w:rPr>
      </w:pPr>
      <w:r w:rsidRPr="00CE0A6D">
        <w:rPr>
          <w:rFonts w:ascii="Times New Roman" w:hAnsi="Times New Roman" w:cs="Times New Roman"/>
          <w:sz w:val="24"/>
          <w:szCs w:val="24"/>
        </w:rPr>
        <w:t>E-mail: kwonhj@yonsei.ac.kr. Tel: +82-2-2123-5883</w:t>
      </w:r>
    </w:p>
    <w:p w14:paraId="31037F1C" w14:textId="77777777" w:rsidR="00746EBB" w:rsidRPr="00CE0A6D" w:rsidRDefault="00746EBB" w:rsidP="00310A17">
      <w:pPr>
        <w:wordWrap/>
        <w:spacing w:before="80" w:after="0" w:line="360" w:lineRule="auto"/>
        <w:jc w:val="center"/>
        <w:rPr>
          <w:rFonts w:ascii="Times New Roman" w:hAnsi="Times New Roman" w:cs="Times New Roman"/>
          <w:b/>
          <w:sz w:val="24"/>
          <w:szCs w:val="24"/>
        </w:rPr>
      </w:pPr>
    </w:p>
    <w:p w14:paraId="6E302425" w14:textId="77777777" w:rsidR="00746EBB" w:rsidRPr="00CE0A6D" w:rsidRDefault="00746EBB" w:rsidP="00310A17">
      <w:pPr>
        <w:wordWrap/>
        <w:spacing w:before="80" w:after="0" w:line="360" w:lineRule="auto"/>
        <w:rPr>
          <w:rFonts w:ascii="Times New Roman" w:hAnsi="Times New Roman" w:cs="Times New Roman"/>
          <w:b/>
          <w:sz w:val="24"/>
          <w:szCs w:val="24"/>
        </w:rPr>
      </w:pPr>
      <w:r w:rsidRPr="00CE0A6D">
        <w:rPr>
          <w:rFonts w:ascii="Times New Roman" w:hAnsi="Times New Roman" w:cs="Times New Roman"/>
          <w:b/>
          <w:sz w:val="24"/>
          <w:szCs w:val="24"/>
        </w:rPr>
        <w:t>Materials and Methods</w:t>
      </w:r>
    </w:p>
    <w:p w14:paraId="47E78A84" w14:textId="77777777" w:rsidR="0079382F" w:rsidRPr="00CE0A6D" w:rsidRDefault="0079382F" w:rsidP="00310A17">
      <w:pPr>
        <w:spacing w:line="360" w:lineRule="auto"/>
        <w:rPr>
          <w:rFonts w:ascii="Times New Roman" w:hAnsi="Times New Roman" w:cs="Times New Roman"/>
          <w:b/>
          <w:color w:val="000000" w:themeColor="text1"/>
          <w:sz w:val="24"/>
          <w:szCs w:val="24"/>
        </w:rPr>
      </w:pPr>
      <w:proofErr w:type="spellStart"/>
      <w:proofErr w:type="gramStart"/>
      <w:r w:rsidRPr="00CE0A6D">
        <w:rPr>
          <w:rFonts w:ascii="Times New Roman" w:hAnsi="Times New Roman" w:cs="Times New Roman"/>
          <w:b/>
          <w:color w:val="000000" w:themeColor="text1"/>
          <w:sz w:val="24"/>
          <w:szCs w:val="24"/>
        </w:rPr>
        <w:t>mROS</w:t>
      </w:r>
      <w:proofErr w:type="spellEnd"/>
      <w:proofErr w:type="gramEnd"/>
      <w:r w:rsidRPr="00CE0A6D">
        <w:rPr>
          <w:rFonts w:ascii="Times New Roman" w:hAnsi="Times New Roman" w:cs="Times New Roman"/>
          <w:b/>
          <w:color w:val="000000" w:themeColor="text1"/>
          <w:sz w:val="24"/>
          <w:szCs w:val="24"/>
        </w:rPr>
        <w:t xml:space="preserve"> measurement </w:t>
      </w:r>
    </w:p>
    <w:p w14:paraId="18B9B329" w14:textId="576498A0" w:rsidR="0079382F" w:rsidRPr="00CE0A6D" w:rsidRDefault="0079382F" w:rsidP="00310A17">
      <w:pPr>
        <w:spacing w:line="360" w:lineRule="auto"/>
        <w:ind w:firstLineChars="50" w:firstLine="120"/>
        <w:rPr>
          <w:rFonts w:ascii="Times New Roman" w:hAnsi="Times New Roman" w:cs="Times New Roman"/>
          <w:color w:val="000000" w:themeColor="text1"/>
          <w:sz w:val="24"/>
          <w:szCs w:val="24"/>
        </w:rPr>
      </w:pPr>
      <w:r w:rsidRPr="00CE0A6D">
        <w:rPr>
          <w:rFonts w:ascii="Times New Roman" w:hAnsi="Times New Roman" w:cs="Times New Roman"/>
          <w:color w:val="000000" w:themeColor="text1"/>
          <w:sz w:val="24"/>
          <w:szCs w:val="24"/>
        </w:rPr>
        <w:t xml:space="preserve">Mitochondria ROS levels were assessed using red fluorescence mitochondrial superoxide indicator </w:t>
      </w:r>
      <w:proofErr w:type="spellStart"/>
      <w:r w:rsidRPr="00CE0A6D">
        <w:rPr>
          <w:rFonts w:ascii="Times New Roman" w:hAnsi="Times New Roman" w:cs="Times New Roman"/>
          <w:color w:val="000000" w:themeColor="text1"/>
          <w:sz w:val="24"/>
          <w:szCs w:val="24"/>
        </w:rPr>
        <w:t>MitoSOX</w:t>
      </w:r>
      <w:proofErr w:type="spellEnd"/>
      <w:r w:rsidRPr="00CE0A6D">
        <w:rPr>
          <w:rFonts w:ascii="Times New Roman" w:hAnsi="Times New Roman" w:cs="Times New Roman"/>
          <w:color w:val="000000" w:themeColor="text1"/>
          <w:sz w:val="24"/>
          <w:szCs w:val="24"/>
        </w:rPr>
        <w:t xml:space="preserve"> (Invitrogen, Grand Island, NY). Cells were incubated with 5 </w:t>
      </w:r>
      <w:proofErr w:type="spellStart"/>
      <w:r w:rsidRPr="00CE0A6D">
        <w:rPr>
          <w:rFonts w:ascii="Times New Roman" w:hAnsi="Times New Roman" w:cs="Times New Roman"/>
          <w:color w:val="000000" w:themeColor="text1"/>
          <w:sz w:val="24"/>
          <w:szCs w:val="24"/>
        </w:rPr>
        <w:t>μM</w:t>
      </w:r>
      <w:proofErr w:type="spellEnd"/>
      <w:r w:rsidRPr="00CE0A6D">
        <w:rPr>
          <w:rFonts w:ascii="Times New Roman" w:hAnsi="Times New Roman" w:cs="Times New Roman"/>
          <w:color w:val="000000" w:themeColor="text1"/>
          <w:sz w:val="24"/>
          <w:szCs w:val="24"/>
        </w:rPr>
        <w:t xml:space="preserve"> </w:t>
      </w:r>
      <w:proofErr w:type="spellStart"/>
      <w:r w:rsidRPr="00CE0A6D">
        <w:rPr>
          <w:rFonts w:ascii="Times New Roman" w:hAnsi="Times New Roman" w:cs="Times New Roman"/>
          <w:color w:val="000000" w:themeColor="text1"/>
          <w:sz w:val="24"/>
          <w:szCs w:val="24"/>
        </w:rPr>
        <w:t>MitoSOX</w:t>
      </w:r>
      <w:proofErr w:type="spellEnd"/>
      <w:r w:rsidRPr="00CE0A6D">
        <w:rPr>
          <w:rFonts w:ascii="Times New Roman" w:hAnsi="Times New Roman" w:cs="Times New Roman"/>
          <w:color w:val="000000" w:themeColor="text1"/>
          <w:sz w:val="24"/>
          <w:szCs w:val="24"/>
        </w:rPr>
        <w:t xml:space="preserve"> and Hoechst 33342 (Life Technologies, Grand Island, NY) for 10 min, washed with media or 1X PBS three times and fixed with 4% formaldehyde. </w:t>
      </w:r>
      <w:proofErr w:type="spellStart"/>
      <w:r w:rsidRPr="00CE0A6D">
        <w:rPr>
          <w:rFonts w:ascii="Times New Roman" w:hAnsi="Times New Roman" w:cs="Times New Roman"/>
          <w:color w:val="000000" w:themeColor="text1"/>
          <w:sz w:val="24"/>
          <w:szCs w:val="24"/>
        </w:rPr>
        <w:t>MitoSOX</w:t>
      </w:r>
      <w:proofErr w:type="spellEnd"/>
      <w:r w:rsidRPr="00CE0A6D">
        <w:rPr>
          <w:rFonts w:ascii="Times New Roman" w:hAnsi="Times New Roman" w:cs="Times New Roman"/>
          <w:color w:val="000000" w:themeColor="text1"/>
          <w:sz w:val="24"/>
          <w:szCs w:val="24"/>
        </w:rPr>
        <w:t xml:space="preserve"> and Hoechst staining results were analyzed using a Zeiss LSM 980 confocal microscope (Carl Zeiss </w:t>
      </w:r>
      <w:proofErr w:type="spellStart"/>
      <w:r w:rsidRPr="00CE0A6D">
        <w:rPr>
          <w:rFonts w:ascii="Times New Roman" w:hAnsi="Times New Roman" w:cs="Times New Roman"/>
          <w:color w:val="000000" w:themeColor="text1"/>
          <w:sz w:val="24"/>
          <w:szCs w:val="24"/>
        </w:rPr>
        <w:t>MicroImaging</w:t>
      </w:r>
      <w:proofErr w:type="spellEnd"/>
      <w:r w:rsidRPr="00CE0A6D">
        <w:rPr>
          <w:rFonts w:ascii="Times New Roman" w:hAnsi="Times New Roman" w:cs="Times New Roman"/>
          <w:color w:val="000000" w:themeColor="text1"/>
          <w:sz w:val="24"/>
          <w:szCs w:val="24"/>
        </w:rPr>
        <w:t xml:space="preserve">, Thornwood, NY), and the fluorescence intensity of </w:t>
      </w:r>
      <w:proofErr w:type="spellStart"/>
      <w:r w:rsidRPr="00CE0A6D">
        <w:rPr>
          <w:rFonts w:ascii="Times New Roman" w:hAnsi="Times New Roman" w:cs="Times New Roman"/>
          <w:color w:val="000000" w:themeColor="text1"/>
          <w:sz w:val="24"/>
          <w:szCs w:val="24"/>
        </w:rPr>
        <w:t>MitoSOX</w:t>
      </w:r>
      <w:proofErr w:type="spellEnd"/>
      <w:r w:rsidRPr="00CE0A6D">
        <w:rPr>
          <w:rFonts w:ascii="Times New Roman" w:hAnsi="Times New Roman" w:cs="Times New Roman"/>
          <w:color w:val="000000" w:themeColor="text1"/>
          <w:sz w:val="24"/>
          <w:szCs w:val="24"/>
        </w:rPr>
        <w:t xml:space="preserve"> was measured by using ImageJ software.</w:t>
      </w:r>
    </w:p>
    <w:p w14:paraId="271AF121" w14:textId="77777777" w:rsidR="0079382F" w:rsidRPr="00CE0A6D" w:rsidRDefault="0079382F" w:rsidP="00310A17">
      <w:pPr>
        <w:spacing w:line="360" w:lineRule="auto"/>
        <w:rPr>
          <w:rFonts w:ascii="Times New Roman" w:hAnsi="Times New Roman" w:cs="Times New Roman"/>
          <w:b/>
          <w:color w:val="000000" w:themeColor="text1"/>
          <w:sz w:val="24"/>
          <w:szCs w:val="24"/>
        </w:rPr>
      </w:pPr>
      <w:r w:rsidRPr="00CE0A6D">
        <w:rPr>
          <w:rFonts w:ascii="Times New Roman" w:hAnsi="Times New Roman" w:cs="Times New Roman"/>
          <w:b/>
          <w:color w:val="000000" w:themeColor="text1"/>
          <w:sz w:val="24"/>
          <w:szCs w:val="24"/>
        </w:rPr>
        <w:t>Acridine orange staining</w:t>
      </w:r>
    </w:p>
    <w:p w14:paraId="4FA15288" w14:textId="0DB889D7" w:rsidR="0079382F" w:rsidRPr="00CE0A6D" w:rsidRDefault="0079382F" w:rsidP="00310A17">
      <w:pPr>
        <w:spacing w:line="360" w:lineRule="auto"/>
        <w:ind w:firstLineChars="200" w:firstLine="480"/>
        <w:rPr>
          <w:rFonts w:ascii="Times New Roman" w:hAnsi="Times New Roman" w:cs="Times New Roman"/>
          <w:color w:val="000000" w:themeColor="text1"/>
          <w:sz w:val="24"/>
          <w:szCs w:val="24"/>
        </w:rPr>
      </w:pPr>
      <w:r w:rsidRPr="00CE0A6D">
        <w:rPr>
          <w:rFonts w:ascii="Times New Roman" w:hAnsi="Times New Roman" w:cs="Times New Roman"/>
          <w:color w:val="000000" w:themeColor="text1"/>
          <w:sz w:val="24"/>
          <w:szCs w:val="24"/>
        </w:rPr>
        <w:t>HEK293 and MT cells were grown on 15</w:t>
      </w:r>
      <w:r w:rsidR="005E50FA" w:rsidRPr="00CE0A6D">
        <w:rPr>
          <w:rFonts w:ascii="Times New Roman" w:hAnsi="Times New Roman" w:cs="Times New Roman"/>
          <w:color w:val="000000" w:themeColor="text1"/>
          <w:sz w:val="24"/>
          <w:szCs w:val="24"/>
        </w:rPr>
        <w:t xml:space="preserve"> </w:t>
      </w:r>
      <w:r w:rsidRPr="00CE0A6D">
        <w:rPr>
          <w:rFonts w:ascii="Times New Roman" w:hAnsi="Times New Roman" w:cs="Times New Roman"/>
          <w:color w:val="000000" w:themeColor="text1"/>
          <w:sz w:val="24"/>
          <w:szCs w:val="24"/>
        </w:rPr>
        <w:t>mm coverslips at a density of 1.3x10</w:t>
      </w:r>
      <w:r w:rsidRPr="00CE0A6D">
        <w:rPr>
          <w:rFonts w:ascii="Times New Roman" w:hAnsi="Times New Roman" w:cs="Times New Roman"/>
          <w:color w:val="000000" w:themeColor="text1"/>
          <w:sz w:val="24"/>
          <w:szCs w:val="24"/>
          <w:vertAlign w:val="superscript"/>
        </w:rPr>
        <w:t>5</w:t>
      </w:r>
      <w:r w:rsidRPr="00CE0A6D">
        <w:rPr>
          <w:rFonts w:ascii="Times New Roman" w:hAnsi="Times New Roman" w:cs="Times New Roman"/>
          <w:color w:val="000000" w:themeColor="text1"/>
          <w:sz w:val="24"/>
          <w:szCs w:val="24"/>
        </w:rPr>
        <w:t xml:space="preserve"> cells/well in 6-well plates </w:t>
      </w:r>
      <w:proofErr w:type="gramStart"/>
      <w:r w:rsidRPr="00CE0A6D">
        <w:rPr>
          <w:rFonts w:ascii="Times New Roman" w:hAnsi="Times New Roman" w:cs="Times New Roman"/>
          <w:color w:val="000000" w:themeColor="text1"/>
          <w:sz w:val="24"/>
          <w:szCs w:val="24"/>
        </w:rPr>
        <w:t>The</w:t>
      </w:r>
      <w:proofErr w:type="gramEnd"/>
      <w:r w:rsidRPr="00CE0A6D">
        <w:rPr>
          <w:rFonts w:ascii="Times New Roman" w:hAnsi="Times New Roman" w:cs="Times New Roman"/>
          <w:color w:val="000000" w:themeColor="text1"/>
          <w:sz w:val="24"/>
          <w:szCs w:val="24"/>
        </w:rPr>
        <w:t xml:space="preserve"> cells were then treated with drugs for 24 h, and then treated 5 </w:t>
      </w:r>
      <w:proofErr w:type="spellStart"/>
      <w:r w:rsidRPr="00CE0A6D">
        <w:rPr>
          <w:rFonts w:ascii="Times New Roman" w:hAnsi="Times New Roman" w:cs="Times New Roman"/>
          <w:color w:val="000000" w:themeColor="text1"/>
          <w:sz w:val="24"/>
          <w:szCs w:val="24"/>
        </w:rPr>
        <w:t>μg</w:t>
      </w:r>
      <w:proofErr w:type="spellEnd"/>
      <w:r w:rsidRPr="00CE0A6D">
        <w:rPr>
          <w:rFonts w:ascii="Times New Roman" w:hAnsi="Times New Roman" w:cs="Times New Roman"/>
          <w:color w:val="000000" w:themeColor="text1"/>
          <w:sz w:val="24"/>
          <w:szCs w:val="24"/>
        </w:rPr>
        <w:t xml:space="preserve">/mL AO (Sigma-Aldrich). Nuclei were stained with Hoechst. Then the cells were incubated for 20 min, fixed with 4% PFA, and washed three times with media PBS. Images were obtained using an LSM880 confocal microscope at 400x magnification. Red fluorescence intensity was </w:t>
      </w:r>
      <w:r w:rsidRPr="00CE0A6D">
        <w:rPr>
          <w:rFonts w:ascii="Times New Roman" w:hAnsi="Times New Roman" w:cs="Times New Roman"/>
          <w:color w:val="000000" w:themeColor="text1"/>
          <w:sz w:val="24"/>
          <w:szCs w:val="24"/>
        </w:rPr>
        <w:lastRenderedPageBreak/>
        <w:t>quantified using Image J2 software.</w:t>
      </w:r>
    </w:p>
    <w:p w14:paraId="7AE8198C" w14:textId="77777777" w:rsidR="00C946C6" w:rsidRPr="00CE0A6D" w:rsidRDefault="00C946C6" w:rsidP="00310A17">
      <w:pPr>
        <w:wordWrap/>
        <w:spacing w:before="80" w:after="0" w:line="360" w:lineRule="auto"/>
        <w:rPr>
          <w:rFonts w:ascii="Times New Roman" w:hAnsi="Times New Roman" w:cs="Times New Roman"/>
          <w:b/>
          <w:sz w:val="24"/>
          <w:szCs w:val="24"/>
        </w:rPr>
      </w:pPr>
      <w:r w:rsidRPr="00CE0A6D">
        <w:rPr>
          <w:rFonts w:ascii="Times New Roman" w:hAnsi="Times New Roman" w:cs="Times New Roman"/>
          <w:b/>
          <w:sz w:val="24"/>
          <w:szCs w:val="24"/>
        </w:rPr>
        <w:t>In Vivo Mouse Tumor Xenograft Assay</w:t>
      </w:r>
    </w:p>
    <w:p w14:paraId="35291083" w14:textId="77777777" w:rsidR="00C946C6" w:rsidRPr="00CE0A6D" w:rsidRDefault="00C946C6" w:rsidP="00310A17">
      <w:pPr>
        <w:pStyle w:val="MDPI31text"/>
        <w:spacing w:line="360" w:lineRule="auto"/>
        <w:rPr>
          <w:rFonts w:ascii="Times New Roman" w:hAnsi="Times New Roman"/>
          <w:sz w:val="24"/>
          <w:szCs w:val="24"/>
        </w:rPr>
      </w:pPr>
      <w:r w:rsidRPr="00CE0A6D">
        <w:rPr>
          <w:rFonts w:ascii="Times New Roman" w:hAnsi="Times New Roman"/>
          <w:sz w:val="24"/>
          <w:szCs w:val="24"/>
        </w:rPr>
        <w:t xml:space="preserve">Mice were housed in a pathogen-free facility at the Laboratory Animal Research Center of Yonsei University (Seoul, Korea). These mice were handled in accordance with the Institutional Animal Care and Use Committee (permission number: </w:t>
      </w:r>
      <w:r w:rsidR="009434E6" w:rsidRPr="00CE0A6D">
        <w:rPr>
          <w:rFonts w:ascii="Times New Roman" w:hAnsi="Times New Roman"/>
          <w:sz w:val="24"/>
          <w:szCs w:val="24"/>
        </w:rPr>
        <w:t>IACUC-A-201901-859-01</w:t>
      </w:r>
      <w:r w:rsidRPr="00CE0A6D">
        <w:rPr>
          <w:rFonts w:ascii="Times New Roman" w:hAnsi="Times New Roman"/>
          <w:sz w:val="24"/>
          <w:szCs w:val="24"/>
        </w:rPr>
        <w:t>) and International Guidelines for the Ethical Use of Animals. For intracranial tumor models, 2 × 10</w:t>
      </w:r>
      <w:r w:rsidRPr="00CE0A6D">
        <w:rPr>
          <w:rFonts w:ascii="Times New Roman" w:hAnsi="Times New Roman"/>
          <w:sz w:val="24"/>
          <w:szCs w:val="24"/>
          <w:vertAlign w:val="superscript"/>
        </w:rPr>
        <w:t>5</w:t>
      </w:r>
      <w:r w:rsidRPr="00CE0A6D">
        <w:rPr>
          <w:rFonts w:ascii="Times New Roman" w:hAnsi="Times New Roman"/>
          <w:sz w:val="24"/>
          <w:szCs w:val="24"/>
        </w:rPr>
        <w:t xml:space="preserve"> </w:t>
      </w:r>
      <w:r w:rsidR="009434E6" w:rsidRPr="00CE0A6D">
        <w:rPr>
          <w:rFonts w:ascii="Times New Roman" w:eastAsiaTheme="minorEastAsia" w:hAnsi="Times New Roman"/>
          <w:sz w:val="24"/>
          <w:szCs w:val="24"/>
          <w:lang w:eastAsia="ko-KR"/>
        </w:rPr>
        <w:t>HCT116 cells</w:t>
      </w:r>
      <w:r w:rsidRPr="00CE0A6D">
        <w:rPr>
          <w:rFonts w:ascii="Times New Roman" w:hAnsi="Times New Roman"/>
          <w:sz w:val="24"/>
          <w:szCs w:val="24"/>
        </w:rPr>
        <w:t xml:space="preserve"> were implanted into the right hemispheres of 8–10-wk-old male experimental mice via stereotaxic injection. After 1 week, mice were randomly selected and separated into four groups (four mice per group) and intraperitoneally treated with vehicle or A1938 (10 mg/kg) every two days for 16 days. Tumor volume was calculated according to the formula 0.5 × A × B2, where A is the longest diameter of a tumor, and B is its perpendicular diameter. Vehicle and drugs were dissolved in a </w:t>
      </w:r>
      <w:proofErr w:type="spellStart"/>
      <w:r w:rsidRPr="00CE0A6D">
        <w:rPr>
          <w:rFonts w:ascii="Times New Roman" w:hAnsi="Times New Roman"/>
          <w:sz w:val="24"/>
          <w:szCs w:val="24"/>
        </w:rPr>
        <w:t>saline</w:t>
      </w:r>
      <w:proofErr w:type="gramStart"/>
      <w:r w:rsidRPr="00CE0A6D">
        <w:rPr>
          <w:rFonts w:ascii="Times New Roman" w:hAnsi="Times New Roman"/>
          <w:sz w:val="24"/>
          <w:szCs w:val="24"/>
        </w:rPr>
        <w:t>:Ethanol:Tween</w:t>
      </w:r>
      <w:proofErr w:type="spellEnd"/>
      <w:proofErr w:type="gramEnd"/>
      <w:r w:rsidRPr="00CE0A6D">
        <w:rPr>
          <w:rFonts w:ascii="Times New Roman" w:hAnsi="Times New Roman"/>
          <w:sz w:val="24"/>
          <w:szCs w:val="24"/>
        </w:rPr>
        <w:t xml:space="preserve"> 80 solution at a ratio of 88:2:18. The tumor volume and mouse body weight were measured daily using the following formula: π/6 × length × width × height. After 8 times of drug treatment, mice were sacrificed, and tissue samples were obtained. The tumors were surgically removed and slowly frozen with dry ice (−70 °C).</w:t>
      </w:r>
    </w:p>
    <w:p w14:paraId="036B46CA" w14:textId="77777777" w:rsidR="00C946C6" w:rsidRPr="00CE0A6D" w:rsidRDefault="00C946C6" w:rsidP="00310A17">
      <w:pPr>
        <w:wordWrap/>
        <w:spacing w:before="80" w:after="0" w:line="360" w:lineRule="auto"/>
        <w:rPr>
          <w:rFonts w:ascii="Times New Roman" w:hAnsi="Times New Roman" w:cs="Times New Roman"/>
          <w:b/>
          <w:sz w:val="24"/>
          <w:szCs w:val="24"/>
        </w:rPr>
      </w:pPr>
    </w:p>
    <w:p w14:paraId="458754A7" w14:textId="77777777" w:rsidR="00746EBB" w:rsidRPr="00CE0A6D" w:rsidRDefault="00746EBB" w:rsidP="00310A17">
      <w:pPr>
        <w:wordWrap/>
        <w:spacing w:before="120" w:after="0" w:line="360" w:lineRule="auto"/>
        <w:jc w:val="left"/>
        <w:rPr>
          <w:rFonts w:ascii="Times New Roman" w:hAnsi="Times New Roman" w:cs="Times New Roman"/>
          <w:sz w:val="24"/>
          <w:szCs w:val="24"/>
        </w:rPr>
      </w:pPr>
      <w:r w:rsidRPr="00CE0A6D">
        <w:rPr>
          <w:rFonts w:ascii="Times New Roman" w:hAnsi="Times New Roman" w:cs="Times New Roman"/>
          <w:b/>
          <w:sz w:val="24"/>
          <w:szCs w:val="24"/>
        </w:rPr>
        <w:t>Statistical analysis</w:t>
      </w:r>
    </w:p>
    <w:p w14:paraId="73C75704" w14:textId="49402238" w:rsidR="00746EBB" w:rsidRPr="00CE0A6D" w:rsidRDefault="00746EBB" w:rsidP="00310A17">
      <w:pPr>
        <w:wordWrap/>
        <w:spacing w:before="120" w:after="0" w:line="360" w:lineRule="auto"/>
        <w:jc w:val="left"/>
        <w:rPr>
          <w:rFonts w:ascii="Times New Roman" w:hAnsi="Times New Roman" w:cs="Times New Roman"/>
          <w:b/>
          <w:sz w:val="24"/>
          <w:szCs w:val="24"/>
        </w:rPr>
      </w:pPr>
      <w:r w:rsidRPr="00CE0A6D">
        <w:rPr>
          <w:rFonts w:ascii="Times New Roman" w:hAnsi="Times New Roman" w:cs="Times New Roman"/>
          <w:sz w:val="24"/>
          <w:szCs w:val="24"/>
        </w:rPr>
        <w:t xml:space="preserve">All data are expressed as the means ± SEM with GraphPad Prism (ver. 5.00 for Windows; GraphPad Software, Inc., San Diego, CA). Data were obtained from at least three independent experiments. Statistical analyses were performed using an unpaired, two-tailed Student’s </w:t>
      </w:r>
      <w:r w:rsidRPr="00CE0A6D">
        <w:rPr>
          <w:rFonts w:ascii="Times New Roman" w:hAnsi="Times New Roman" w:cs="Times New Roman"/>
          <w:i/>
          <w:sz w:val="24"/>
          <w:szCs w:val="24"/>
        </w:rPr>
        <w:t>t</w:t>
      </w:r>
      <w:r w:rsidRPr="00CE0A6D">
        <w:rPr>
          <w:rFonts w:ascii="Times New Roman" w:hAnsi="Times New Roman" w:cs="Times New Roman"/>
          <w:sz w:val="24"/>
          <w:szCs w:val="24"/>
        </w:rPr>
        <w:t>-test. P-values less than 0.05 were considered statistically significant (* indicates p &lt; 0.05, ** indicates p &lt; 0.01, *** indicates p &lt; 0.001).</w:t>
      </w:r>
    </w:p>
    <w:p w14:paraId="4162382D" w14:textId="77777777" w:rsidR="00746EBB" w:rsidRPr="00CE0A6D" w:rsidRDefault="00746EBB" w:rsidP="00310A17">
      <w:pPr>
        <w:wordWrap/>
        <w:spacing w:before="80" w:after="0" w:line="360" w:lineRule="auto"/>
        <w:jc w:val="center"/>
        <w:rPr>
          <w:rFonts w:ascii="Times New Roman" w:hAnsi="Times New Roman" w:cs="Times New Roman"/>
          <w:b/>
          <w:sz w:val="24"/>
          <w:szCs w:val="24"/>
        </w:rPr>
      </w:pPr>
    </w:p>
    <w:p w14:paraId="7011FCC6" w14:textId="77777777" w:rsidR="00DC5E24" w:rsidRPr="00CE0A6D" w:rsidRDefault="00DC5E24" w:rsidP="00310A17">
      <w:pPr>
        <w:wordWrap/>
        <w:spacing w:before="80" w:after="0" w:line="360" w:lineRule="auto"/>
        <w:jc w:val="center"/>
        <w:rPr>
          <w:rFonts w:ascii="Times New Roman" w:hAnsi="Times New Roman" w:cs="Times New Roman"/>
          <w:b/>
          <w:sz w:val="24"/>
          <w:szCs w:val="24"/>
        </w:rPr>
      </w:pPr>
    </w:p>
    <w:p w14:paraId="7D1B1D61" w14:textId="77777777" w:rsidR="00BC574F" w:rsidRPr="00CE0A6D" w:rsidRDefault="00BC574F" w:rsidP="00310A17">
      <w:pPr>
        <w:wordWrap/>
        <w:spacing w:before="80" w:after="0" w:line="360" w:lineRule="auto"/>
        <w:jc w:val="center"/>
        <w:rPr>
          <w:rFonts w:ascii="Times New Roman" w:hAnsi="Times New Roman" w:cs="Times New Roman"/>
          <w:b/>
          <w:sz w:val="24"/>
          <w:szCs w:val="24"/>
        </w:rPr>
      </w:pPr>
    </w:p>
    <w:p w14:paraId="14431058" w14:textId="77777777" w:rsidR="00BC574F" w:rsidRPr="00CE0A6D" w:rsidRDefault="00BC574F" w:rsidP="00310A17">
      <w:pPr>
        <w:wordWrap/>
        <w:spacing w:before="80" w:after="0" w:line="360" w:lineRule="auto"/>
        <w:jc w:val="center"/>
        <w:rPr>
          <w:rFonts w:ascii="Times New Roman" w:hAnsi="Times New Roman" w:cs="Times New Roman"/>
          <w:b/>
          <w:sz w:val="24"/>
          <w:szCs w:val="24"/>
        </w:rPr>
      </w:pPr>
    </w:p>
    <w:p w14:paraId="6BD6CE6B" w14:textId="34FA7FBC" w:rsidR="00BC574F" w:rsidRPr="00CE0A6D" w:rsidRDefault="00BC574F" w:rsidP="00310A17">
      <w:pPr>
        <w:wordWrap/>
        <w:spacing w:before="80" w:after="0" w:line="360" w:lineRule="auto"/>
        <w:jc w:val="center"/>
        <w:rPr>
          <w:rFonts w:ascii="Times New Roman" w:hAnsi="Times New Roman" w:cs="Times New Roman"/>
          <w:b/>
          <w:sz w:val="24"/>
          <w:szCs w:val="24"/>
        </w:rPr>
      </w:pPr>
    </w:p>
    <w:p w14:paraId="0903288A" w14:textId="62447A5B" w:rsidR="005E50FA" w:rsidRPr="00CE0A6D" w:rsidRDefault="005E50FA" w:rsidP="00310A17">
      <w:pPr>
        <w:wordWrap/>
        <w:spacing w:before="80" w:after="0" w:line="360" w:lineRule="auto"/>
        <w:jc w:val="center"/>
        <w:rPr>
          <w:rFonts w:ascii="Times New Roman" w:hAnsi="Times New Roman" w:cs="Times New Roman"/>
          <w:b/>
          <w:sz w:val="24"/>
          <w:szCs w:val="24"/>
        </w:rPr>
      </w:pPr>
    </w:p>
    <w:p w14:paraId="7816EA8B" w14:textId="77777777" w:rsidR="005E50FA" w:rsidRPr="00CE0A6D" w:rsidRDefault="005E50FA" w:rsidP="00310A17">
      <w:pPr>
        <w:wordWrap/>
        <w:spacing w:before="80" w:after="0" w:line="360" w:lineRule="auto"/>
        <w:jc w:val="center"/>
        <w:rPr>
          <w:rFonts w:ascii="Times New Roman" w:hAnsi="Times New Roman" w:cs="Times New Roman"/>
          <w:b/>
          <w:sz w:val="24"/>
          <w:szCs w:val="24"/>
        </w:rPr>
      </w:pPr>
    </w:p>
    <w:p w14:paraId="2AB9BF88" w14:textId="77777777" w:rsidR="00310A17" w:rsidRPr="00CE0A6D" w:rsidRDefault="00310A17" w:rsidP="00BC574F">
      <w:pPr>
        <w:wordWrap/>
        <w:spacing w:before="80" w:after="0" w:line="360" w:lineRule="auto"/>
        <w:rPr>
          <w:rFonts w:ascii="Times New Roman" w:hAnsi="Times New Roman" w:cs="Times New Roman"/>
          <w:b/>
          <w:sz w:val="24"/>
          <w:szCs w:val="24"/>
        </w:rPr>
      </w:pPr>
    </w:p>
    <w:p w14:paraId="32F5842C" w14:textId="77777777" w:rsidR="00603DD5" w:rsidRPr="00CE0A6D" w:rsidRDefault="00603DD5" w:rsidP="00310A17">
      <w:pPr>
        <w:wordWrap/>
        <w:spacing w:before="80" w:after="0" w:line="360" w:lineRule="auto"/>
        <w:jc w:val="center"/>
        <w:rPr>
          <w:rFonts w:ascii="Times New Roman" w:hAnsi="Times New Roman" w:cs="Times New Roman"/>
          <w:b/>
          <w:sz w:val="24"/>
          <w:szCs w:val="24"/>
        </w:rPr>
      </w:pPr>
      <w:r w:rsidRPr="00CE0A6D">
        <w:rPr>
          <w:rFonts w:ascii="Times New Roman" w:hAnsi="Times New Roman" w:cs="Times New Roman"/>
          <w:b/>
          <w:sz w:val="24"/>
          <w:szCs w:val="24"/>
        </w:rPr>
        <w:t>Supplementary information</w:t>
      </w:r>
    </w:p>
    <w:p w14:paraId="0FDC5591" w14:textId="77777777" w:rsidR="00603DD5" w:rsidRPr="00310A17" w:rsidRDefault="009D289D" w:rsidP="00310A17">
      <w:pPr>
        <w:pStyle w:val="MDPI61Supplementary"/>
        <w:spacing w:line="360" w:lineRule="auto"/>
        <w:jc w:val="center"/>
      </w:pPr>
      <w:r w:rsidRPr="00310A17">
        <w:rPr>
          <w:noProof/>
          <w:lang w:eastAsia="ko-KR" w:bidi="ar-SA"/>
        </w:rPr>
        <w:drawing>
          <wp:inline distT="0" distB="0" distL="0" distR="0" wp14:anchorId="6E821F45" wp14:editId="10F6824B">
            <wp:extent cx="5462489" cy="2414225"/>
            <wp:effectExtent l="0" t="0" r="5080" b="5715"/>
            <wp:docPr id="51" name="그림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그림 50"/>
                    <pic:cNvPicPr>
                      <a:picLocks noChangeAspect="1"/>
                    </pic:cNvPicPr>
                  </pic:nvPicPr>
                  <pic:blipFill>
                    <a:blip r:embed="rId6"/>
                    <a:stretch>
                      <a:fillRect/>
                    </a:stretch>
                  </pic:blipFill>
                  <pic:spPr>
                    <a:xfrm>
                      <a:off x="0" y="0"/>
                      <a:ext cx="5462489" cy="2414225"/>
                    </a:xfrm>
                    <a:prstGeom prst="rect">
                      <a:avLst/>
                    </a:prstGeom>
                  </pic:spPr>
                </pic:pic>
              </a:graphicData>
            </a:graphic>
          </wp:inline>
        </w:drawing>
      </w:r>
    </w:p>
    <w:p w14:paraId="12CB5D64" w14:textId="3C6D8DFE" w:rsidR="00746EBB" w:rsidRPr="00CE0A6D" w:rsidRDefault="00603DD5" w:rsidP="00310A17">
      <w:pPr>
        <w:pStyle w:val="MDPI61Supplementary"/>
        <w:spacing w:line="360" w:lineRule="auto"/>
        <w:ind w:leftChars="200" w:left="400" w:rightChars="200" w:right="400"/>
        <w:rPr>
          <w:rFonts w:ascii="Times New Roman" w:hAnsi="Times New Roman"/>
          <w:sz w:val="20"/>
        </w:rPr>
      </w:pPr>
      <w:r w:rsidRPr="00CE0A6D">
        <w:rPr>
          <w:rFonts w:ascii="Times New Roman" w:hAnsi="Times New Roman"/>
          <w:b/>
          <w:sz w:val="20"/>
        </w:rPr>
        <w:t xml:space="preserve">Supplementary </w:t>
      </w:r>
      <w:r w:rsidR="005E50FA" w:rsidRPr="00CE0A6D">
        <w:rPr>
          <w:rFonts w:ascii="Times New Roman" w:hAnsi="Times New Roman"/>
          <w:b/>
          <w:sz w:val="20"/>
        </w:rPr>
        <w:t>F</w:t>
      </w:r>
      <w:r w:rsidRPr="00CE0A6D">
        <w:rPr>
          <w:rFonts w:ascii="Times New Roman" w:hAnsi="Times New Roman"/>
          <w:b/>
          <w:sz w:val="20"/>
        </w:rPr>
        <w:t>igure S1</w:t>
      </w:r>
      <w:r w:rsidRPr="00CE0A6D">
        <w:rPr>
          <w:rFonts w:ascii="Times New Roman" w:hAnsi="Times New Roman"/>
          <w:sz w:val="20"/>
        </w:rPr>
        <w:t xml:space="preserve">. </w:t>
      </w:r>
      <w:r w:rsidR="00746EBB" w:rsidRPr="00CE0A6D">
        <w:rPr>
          <w:rFonts w:ascii="Times New Roman" w:hAnsi="Times New Roman"/>
          <w:sz w:val="20"/>
        </w:rPr>
        <w:t xml:space="preserve">The effect of A1938 on </w:t>
      </w:r>
      <w:proofErr w:type="spellStart"/>
      <w:r w:rsidR="00746EBB" w:rsidRPr="00CE0A6D">
        <w:rPr>
          <w:rFonts w:ascii="Times New Roman" w:hAnsi="Times New Roman"/>
          <w:sz w:val="20"/>
        </w:rPr>
        <w:t>mROS</w:t>
      </w:r>
      <w:proofErr w:type="spellEnd"/>
      <w:r w:rsidR="00746EBB" w:rsidRPr="00CE0A6D">
        <w:rPr>
          <w:rFonts w:ascii="Times New Roman" w:hAnsi="Times New Roman"/>
          <w:sz w:val="20"/>
        </w:rPr>
        <w:t xml:space="preserve"> generation. (A) Confocal microscopy images of the </w:t>
      </w:r>
      <w:proofErr w:type="spellStart"/>
      <w:r w:rsidR="00746EBB" w:rsidRPr="00CE0A6D">
        <w:rPr>
          <w:rFonts w:ascii="Times New Roman" w:hAnsi="Times New Roman"/>
          <w:sz w:val="20"/>
        </w:rPr>
        <w:t>MitoSOX</w:t>
      </w:r>
      <w:proofErr w:type="spellEnd"/>
      <w:r w:rsidR="00746EBB" w:rsidRPr="00CE0A6D">
        <w:rPr>
          <w:rFonts w:ascii="Times New Roman" w:hAnsi="Times New Roman"/>
          <w:sz w:val="20"/>
        </w:rPr>
        <w:t xml:space="preserve"> Red fluorescence of </w:t>
      </w:r>
      <w:proofErr w:type="spellStart"/>
      <w:r w:rsidR="00746EBB" w:rsidRPr="00CE0A6D">
        <w:rPr>
          <w:rFonts w:ascii="Times New Roman" w:hAnsi="Times New Roman"/>
          <w:sz w:val="20"/>
        </w:rPr>
        <w:t>mROS</w:t>
      </w:r>
      <w:proofErr w:type="spellEnd"/>
      <w:r w:rsidR="00746EBB" w:rsidRPr="00CE0A6D">
        <w:rPr>
          <w:rFonts w:ascii="Times New Roman" w:hAnsi="Times New Roman"/>
          <w:sz w:val="20"/>
        </w:rPr>
        <w:t xml:space="preserve"> generated in HEK293 and MT cells. A1938, 30 µM. 4 h treatment. Scale bar, 20 </w:t>
      </w:r>
      <w:proofErr w:type="spellStart"/>
      <w:r w:rsidR="00746EBB" w:rsidRPr="00CE0A6D">
        <w:rPr>
          <w:rFonts w:ascii="Times New Roman" w:hAnsi="Times New Roman"/>
          <w:sz w:val="20"/>
        </w:rPr>
        <w:t>μm</w:t>
      </w:r>
      <w:proofErr w:type="spellEnd"/>
      <w:r w:rsidR="00746EBB" w:rsidRPr="00CE0A6D">
        <w:rPr>
          <w:rFonts w:ascii="Times New Roman" w:hAnsi="Times New Roman"/>
          <w:sz w:val="20"/>
        </w:rPr>
        <w:t>. (B) Graph shows mean ± S</w:t>
      </w:r>
      <w:r w:rsidR="0079382F" w:rsidRPr="00CE0A6D">
        <w:rPr>
          <w:rFonts w:ascii="Times New Roman" w:hAnsi="Times New Roman"/>
          <w:sz w:val="20"/>
        </w:rPr>
        <w:t>EM of cells (n = 15).</w:t>
      </w:r>
      <w:r w:rsidR="00746EBB" w:rsidRPr="00CE0A6D">
        <w:rPr>
          <w:rFonts w:ascii="Times New Roman" w:hAnsi="Times New Roman"/>
          <w:sz w:val="20"/>
        </w:rPr>
        <w:t xml:space="preserve"> </w:t>
      </w:r>
      <w:proofErr w:type="gramStart"/>
      <w:r w:rsidR="00746EBB" w:rsidRPr="00CE0A6D">
        <w:rPr>
          <w:rFonts w:ascii="Times New Roman" w:hAnsi="Times New Roman"/>
          <w:sz w:val="20"/>
        </w:rPr>
        <w:t>ns</w:t>
      </w:r>
      <w:proofErr w:type="gramEnd"/>
      <w:r w:rsidR="00746EBB" w:rsidRPr="00CE0A6D">
        <w:rPr>
          <w:rFonts w:ascii="Times New Roman" w:hAnsi="Times New Roman"/>
          <w:sz w:val="20"/>
        </w:rPr>
        <w:t>, ****p &lt; 0.001.</w:t>
      </w:r>
    </w:p>
    <w:p w14:paraId="1ECA8445" w14:textId="79A7B153" w:rsidR="005E0759" w:rsidRDefault="005E0759" w:rsidP="00310A17">
      <w:pPr>
        <w:pStyle w:val="MDPI61Supplementary"/>
        <w:spacing w:line="360" w:lineRule="auto"/>
      </w:pPr>
      <w:r>
        <w:br w:type="page"/>
      </w:r>
    </w:p>
    <w:p w14:paraId="314ABA0F" w14:textId="77777777" w:rsidR="00603DD5" w:rsidRPr="00310A17" w:rsidRDefault="00603DD5" w:rsidP="00310A17">
      <w:pPr>
        <w:pStyle w:val="MDPI61Supplementary"/>
        <w:spacing w:line="360" w:lineRule="auto"/>
      </w:pPr>
    </w:p>
    <w:p w14:paraId="5A4114B8" w14:textId="77777777" w:rsidR="00603DD5" w:rsidRPr="00310A17" w:rsidRDefault="009D289D" w:rsidP="00310A17">
      <w:pPr>
        <w:pStyle w:val="MDPI61Supplementary"/>
        <w:spacing w:line="360" w:lineRule="auto"/>
        <w:jc w:val="center"/>
      </w:pPr>
      <w:r w:rsidRPr="00310A17">
        <w:rPr>
          <w:noProof/>
          <w:lang w:eastAsia="ko-KR" w:bidi="ar-SA"/>
        </w:rPr>
        <w:drawing>
          <wp:inline distT="0" distB="0" distL="0" distR="0" wp14:anchorId="5BF14432" wp14:editId="51D220E8">
            <wp:extent cx="5407621" cy="1871634"/>
            <wp:effectExtent l="0" t="0" r="3175" b="0"/>
            <wp:docPr id="4"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3"/>
                    <pic:cNvPicPr>
                      <a:picLocks noChangeAspect="1"/>
                    </pic:cNvPicPr>
                  </pic:nvPicPr>
                  <pic:blipFill>
                    <a:blip r:embed="rId7"/>
                    <a:stretch>
                      <a:fillRect/>
                    </a:stretch>
                  </pic:blipFill>
                  <pic:spPr>
                    <a:xfrm>
                      <a:off x="0" y="0"/>
                      <a:ext cx="5407621" cy="1871634"/>
                    </a:xfrm>
                    <a:prstGeom prst="rect">
                      <a:avLst/>
                    </a:prstGeom>
                  </pic:spPr>
                </pic:pic>
              </a:graphicData>
            </a:graphic>
          </wp:inline>
        </w:drawing>
      </w:r>
    </w:p>
    <w:p w14:paraId="0DC4C5E4" w14:textId="51ED2655" w:rsidR="00603DD5" w:rsidRPr="00CE0A6D" w:rsidRDefault="00603DD5" w:rsidP="00310A17">
      <w:pPr>
        <w:pStyle w:val="MDPI61Supplementary"/>
        <w:spacing w:line="360" w:lineRule="auto"/>
        <w:ind w:leftChars="200" w:left="400" w:rightChars="200" w:right="400"/>
        <w:rPr>
          <w:rFonts w:ascii="Times New Roman" w:hAnsi="Times New Roman"/>
          <w:sz w:val="20"/>
        </w:rPr>
      </w:pPr>
      <w:r w:rsidRPr="00CE0A6D">
        <w:rPr>
          <w:rFonts w:ascii="Times New Roman" w:hAnsi="Times New Roman"/>
          <w:b/>
          <w:sz w:val="20"/>
        </w:rPr>
        <w:t xml:space="preserve">Supplementary </w:t>
      </w:r>
      <w:r w:rsidR="005E0759" w:rsidRPr="00CE0A6D">
        <w:rPr>
          <w:rFonts w:ascii="Times New Roman" w:hAnsi="Times New Roman"/>
          <w:b/>
          <w:sz w:val="20"/>
        </w:rPr>
        <w:t>F</w:t>
      </w:r>
      <w:r w:rsidRPr="00CE0A6D">
        <w:rPr>
          <w:rFonts w:ascii="Times New Roman" w:hAnsi="Times New Roman"/>
          <w:b/>
          <w:sz w:val="20"/>
        </w:rPr>
        <w:t>igure S2</w:t>
      </w:r>
      <w:r w:rsidRPr="00CE0A6D">
        <w:rPr>
          <w:rFonts w:ascii="Times New Roman" w:hAnsi="Times New Roman"/>
          <w:sz w:val="20"/>
        </w:rPr>
        <w:t xml:space="preserve">: </w:t>
      </w:r>
      <w:r w:rsidR="00E91510" w:rsidRPr="00CE0A6D">
        <w:rPr>
          <w:rFonts w:ascii="Times New Roman" w:hAnsi="Times New Roman"/>
          <w:sz w:val="20"/>
        </w:rPr>
        <w:t xml:space="preserve">A1938 treatment on lysosomal activity in HCT116 cells. (A) HCT116 cells were treated with DMSO control or A1938 30 µM for 24 h. </w:t>
      </w:r>
      <w:proofErr w:type="gramStart"/>
      <w:r w:rsidR="00E91510" w:rsidRPr="00CE0A6D">
        <w:rPr>
          <w:rFonts w:ascii="Times New Roman" w:hAnsi="Times New Roman"/>
          <w:sz w:val="20"/>
        </w:rPr>
        <w:t>Live</w:t>
      </w:r>
      <w:proofErr w:type="gramEnd"/>
      <w:r w:rsidR="00E91510" w:rsidRPr="00CE0A6D">
        <w:rPr>
          <w:rFonts w:ascii="Times New Roman" w:hAnsi="Times New Roman"/>
          <w:sz w:val="20"/>
        </w:rPr>
        <w:t xml:space="preserve"> cells were stained with AO 2 </w:t>
      </w:r>
      <w:proofErr w:type="spellStart"/>
      <w:r w:rsidR="00E91510" w:rsidRPr="00CE0A6D">
        <w:rPr>
          <w:rFonts w:ascii="Times New Roman" w:hAnsi="Times New Roman"/>
          <w:sz w:val="20"/>
        </w:rPr>
        <w:t>μg</w:t>
      </w:r>
      <w:proofErr w:type="spellEnd"/>
      <w:r w:rsidR="00E91510" w:rsidRPr="00CE0A6D">
        <w:rPr>
          <w:rFonts w:ascii="Times New Roman" w:hAnsi="Times New Roman"/>
          <w:sz w:val="20"/>
        </w:rPr>
        <w:t xml:space="preserve">/mL for 25 min, fixed, and examined by confocal fluorescence microscopy. Confocal fluorescence microscopy images of HCT116 cells treated with A1938 in serum free RPMI media. (B) Average AO intensity per cell of HCT116 cells treated with A1938 in </w:t>
      </w:r>
      <w:r w:rsidR="00205434" w:rsidRPr="00CE0A6D">
        <w:rPr>
          <w:rFonts w:ascii="Times New Roman" w:hAnsi="Times New Roman"/>
          <w:sz w:val="20"/>
        </w:rPr>
        <w:t>serum free</w:t>
      </w:r>
      <w:r w:rsidR="00E91510" w:rsidRPr="00CE0A6D">
        <w:rPr>
          <w:rFonts w:ascii="Times New Roman" w:hAnsi="Times New Roman"/>
          <w:sz w:val="20"/>
        </w:rPr>
        <w:t xml:space="preserve"> RPMI media (n &gt; 10).</w:t>
      </w:r>
      <w:r w:rsidR="00795664" w:rsidRPr="00CE0A6D">
        <w:rPr>
          <w:rFonts w:ascii="Times New Roman" w:hAnsi="Times New Roman"/>
          <w:sz w:val="20"/>
        </w:rPr>
        <w:t xml:space="preserve"> Scale bar, 20 </w:t>
      </w:r>
      <w:proofErr w:type="spellStart"/>
      <w:r w:rsidR="00795664" w:rsidRPr="00CE0A6D">
        <w:rPr>
          <w:rFonts w:ascii="Times New Roman" w:hAnsi="Times New Roman"/>
          <w:sz w:val="20"/>
        </w:rPr>
        <w:t>μm</w:t>
      </w:r>
      <w:proofErr w:type="spellEnd"/>
      <w:r w:rsidR="00795664" w:rsidRPr="00CE0A6D">
        <w:rPr>
          <w:rFonts w:ascii="Times New Roman" w:hAnsi="Times New Roman"/>
          <w:sz w:val="20"/>
        </w:rPr>
        <w:t>. ***P &lt; 0.001.</w:t>
      </w:r>
    </w:p>
    <w:p w14:paraId="50E876A5" w14:textId="2295866A" w:rsidR="005E0759" w:rsidRPr="00CE0A6D" w:rsidRDefault="005E0759" w:rsidP="00310A17">
      <w:pPr>
        <w:pStyle w:val="MDPI61Supplementary"/>
        <w:spacing w:line="360" w:lineRule="auto"/>
        <w:ind w:leftChars="200" w:left="400" w:rightChars="200" w:right="400"/>
        <w:rPr>
          <w:rFonts w:ascii="Times New Roman" w:hAnsi="Times New Roman"/>
          <w:sz w:val="20"/>
        </w:rPr>
      </w:pPr>
      <w:r w:rsidRPr="00CE0A6D">
        <w:rPr>
          <w:rFonts w:ascii="Times New Roman" w:hAnsi="Times New Roman"/>
          <w:sz w:val="20"/>
        </w:rPr>
        <w:br w:type="page"/>
      </w:r>
    </w:p>
    <w:p w14:paraId="5D525D9C" w14:textId="77777777" w:rsidR="0079382F" w:rsidRPr="00310A17" w:rsidRDefault="0079382F" w:rsidP="00310A17">
      <w:pPr>
        <w:pStyle w:val="MDPI61Supplementary"/>
        <w:spacing w:line="360" w:lineRule="auto"/>
        <w:ind w:leftChars="200" w:left="400" w:rightChars="200" w:right="400"/>
      </w:pPr>
    </w:p>
    <w:p w14:paraId="011C8857" w14:textId="77777777" w:rsidR="00603DD5" w:rsidRPr="00310A17" w:rsidRDefault="00603DD5" w:rsidP="00310A17">
      <w:pPr>
        <w:pStyle w:val="MDPI61Supplementary"/>
        <w:spacing w:line="360" w:lineRule="auto"/>
        <w:jc w:val="center"/>
      </w:pPr>
      <w:r w:rsidRPr="00310A17">
        <w:rPr>
          <w:noProof/>
          <w:lang w:eastAsia="ko-KR" w:bidi="ar-SA"/>
        </w:rPr>
        <w:drawing>
          <wp:inline distT="0" distB="0" distL="0" distR="0" wp14:anchorId="05454FF5" wp14:editId="4F191E27">
            <wp:extent cx="4663844" cy="1371719"/>
            <wp:effectExtent l="0" t="0" r="3810" b="0"/>
            <wp:docPr id="1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1"/>
                    <pic:cNvPicPr>
                      <a:picLocks noChangeAspect="1"/>
                    </pic:cNvPicPr>
                  </pic:nvPicPr>
                  <pic:blipFill>
                    <a:blip r:embed="rId8"/>
                    <a:stretch>
                      <a:fillRect/>
                    </a:stretch>
                  </pic:blipFill>
                  <pic:spPr>
                    <a:xfrm>
                      <a:off x="0" y="0"/>
                      <a:ext cx="4663844" cy="1371719"/>
                    </a:xfrm>
                    <a:prstGeom prst="rect">
                      <a:avLst/>
                    </a:prstGeom>
                  </pic:spPr>
                </pic:pic>
              </a:graphicData>
            </a:graphic>
          </wp:inline>
        </w:drawing>
      </w:r>
    </w:p>
    <w:p w14:paraId="3EA71067" w14:textId="11E47BA6" w:rsidR="00603DD5" w:rsidRPr="00CE0A6D" w:rsidRDefault="00603DD5" w:rsidP="00310A17">
      <w:pPr>
        <w:pStyle w:val="MDPI61Supplementary"/>
        <w:spacing w:line="360" w:lineRule="auto"/>
        <w:ind w:leftChars="200" w:left="400"/>
        <w:jc w:val="left"/>
        <w:rPr>
          <w:rFonts w:ascii="Times New Roman" w:hAnsi="Times New Roman"/>
        </w:rPr>
      </w:pPr>
      <w:r w:rsidRPr="00CE0A6D">
        <w:rPr>
          <w:rFonts w:ascii="Times New Roman" w:hAnsi="Times New Roman"/>
          <w:b/>
        </w:rPr>
        <w:t xml:space="preserve">Supplementary </w:t>
      </w:r>
      <w:r w:rsidR="005E0759" w:rsidRPr="00CE0A6D">
        <w:rPr>
          <w:rFonts w:ascii="Times New Roman" w:hAnsi="Times New Roman"/>
          <w:b/>
        </w:rPr>
        <w:t>F</w:t>
      </w:r>
      <w:r w:rsidRPr="00CE0A6D">
        <w:rPr>
          <w:rFonts w:ascii="Times New Roman" w:hAnsi="Times New Roman"/>
          <w:b/>
        </w:rPr>
        <w:t>igure S3</w:t>
      </w:r>
      <w:r w:rsidRPr="00CE0A6D">
        <w:rPr>
          <w:rFonts w:ascii="Times New Roman" w:hAnsi="Times New Roman"/>
        </w:rPr>
        <w:t>: UQCRB inhibitor A1938 attenuated HCT116 xenograft tumor growth</w:t>
      </w:r>
      <w:r w:rsidR="0049499F" w:rsidRPr="00CE0A6D">
        <w:rPr>
          <w:rFonts w:ascii="Times New Roman" w:hAnsi="Times New Roman"/>
        </w:rPr>
        <w:t xml:space="preserve">. (A) Representative images of tumors extracted from nude mice bearing HCT116 cells in different groups. (B) Mouse tumor volumes (n = 4/group). </w:t>
      </w:r>
    </w:p>
    <w:p w14:paraId="2A2D0BFF" w14:textId="77777777" w:rsidR="00603DD5" w:rsidRPr="00CE0A6D" w:rsidRDefault="00603DD5" w:rsidP="00310A17">
      <w:pPr>
        <w:pStyle w:val="EndNoteBibliography"/>
        <w:spacing w:line="360" w:lineRule="auto"/>
        <w:rPr>
          <w:rFonts w:ascii="Times New Roman" w:hAnsi="Times New Roman" w:cs="Times New Roman"/>
          <w:szCs w:val="20"/>
        </w:rPr>
      </w:pPr>
    </w:p>
    <w:p w14:paraId="43B46047" w14:textId="77777777" w:rsidR="005E0759" w:rsidRDefault="005E0759" w:rsidP="00310A17">
      <w:pPr>
        <w:pStyle w:val="EndNoteBibliography"/>
        <w:spacing w:line="360" w:lineRule="auto"/>
        <w:jc w:val="center"/>
        <w:rPr>
          <w:rFonts w:ascii="Palatino Linotype" w:hAnsi="Palatino Linotype" w:cs="Times New Roman"/>
          <w:szCs w:val="20"/>
        </w:rPr>
      </w:pPr>
    </w:p>
    <w:p w14:paraId="0C430F75" w14:textId="20BA0D30" w:rsidR="005E0759" w:rsidRDefault="005E0759" w:rsidP="00310A17">
      <w:pPr>
        <w:pStyle w:val="EndNoteBibliography"/>
        <w:spacing w:line="360" w:lineRule="auto"/>
        <w:jc w:val="center"/>
        <w:rPr>
          <w:rFonts w:ascii="Palatino Linotype" w:hAnsi="Palatino Linotype" w:cs="Times New Roman"/>
          <w:szCs w:val="20"/>
        </w:rPr>
      </w:pPr>
    </w:p>
    <w:p w14:paraId="1C98A2F0" w14:textId="66BAADD7" w:rsidR="005E0759" w:rsidRDefault="005E0759" w:rsidP="00310A17">
      <w:pPr>
        <w:pStyle w:val="EndNoteBibliography"/>
        <w:spacing w:line="360" w:lineRule="auto"/>
        <w:jc w:val="center"/>
        <w:rPr>
          <w:rFonts w:ascii="Palatino Linotype" w:hAnsi="Palatino Linotype" w:cs="Times New Roman"/>
          <w:szCs w:val="20"/>
        </w:rPr>
      </w:pPr>
    </w:p>
    <w:p w14:paraId="22ABF284" w14:textId="1DEFCE96" w:rsidR="005E0759" w:rsidRDefault="005E0759" w:rsidP="00310A17">
      <w:pPr>
        <w:pStyle w:val="EndNoteBibliography"/>
        <w:spacing w:line="360" w:lineRule="auto"/>
        <w:jc w:val="center"/>
        <w:rPr>
          <w:rFonts w:ascii="Palatino Linotype" w:hAnsi="Palatino Linotype" w:cs="Times New Roman"/>
          <w:szCs w:val="20"/>
        </w:rPr>
      </w:pPr>
    </w:p>
    <w:p w14:paraId="13D50758" w14:textId="4D4D53CD" w:rsidR="005E0759" w:rsidRDefault="005E0759" w:rsidP="00310A17">
      <w:pPr>
        <w:pStyle w:val="EndNoteBibliography"/>
        <w:spacing w:line="360" w:lineRule="auto"/>
        <w:jc w:val="center"/>
        <w:rPr>
          <w:rFonts w:ascii="Palatino Linotype" w:hAnsi="Palatino Linotype" w:cs="Times New Roman"/>
          <w:szCs w:val="20"/>
        </w:rPr>
      </w:pPr>
    </w:p>
    <w:p w14:paraId="2A94B604" w14:textId="3AFA5F62" w:rsidR="005E0759" w:rsidRDefault="005E0759" w:rsidP="00310A17">
      <w:pPr>
        <w:pStyle w:val="EndNoteBibliography"/>
        <w:spacing w:line="360" w:lineRule="auto"/>
        <w:jc w:val="center"/>
        <w:rPr>
          <w:rFonts w:ascii="Palatino Linotype" w:hAnsi="Palatino Linotype" w:cs="Times New Roman"/>
          <w:szCs w:val="20"/>
        </w:rPr>
      </w:pPr>
    </w:p>
    <w:p w14:paraId="3229FBBC" w14:textId="0EC41A83" w:rsidR="005E0759" w:rsidRDefault="005E0759" w:rsidP="00310A17">
      <w:pPr>
        <w:pStyle w:val="EndNoteBibliography"/>
        <w:spacing w:line="360" w:lineRule="auto"/>
        <w:jc w:val="center"/>
        <w:rPr>
          <w:rFonts w:ascii="Palatino Linotype" w:hAnsi="Palatino Linotype" w:cs="Times New Roman"/>
          <w:szCs w:val="20"/>
        </w:rPr>
      </w:pPr>
    </w:p>
    <w:p w14:paraId="1439BF33" w14:textId="0FFCC59B" w:rsidR="005E0759" w:rsidRDefault="005E0759" w:rsidP="00310A17">
      <w:pPr>
        <w:pStyle w:val="EndNoteBibliography"/>
        <w:spacing w:line="360" w:lineRule="auto"/>
        <w:jc w:val="center"/>
        <w:rPr>
          <w:rFonts w:ascii="Palatino Linotype" w:hAnsi="Palatino Linotype" w:cs="Times New Roman"/>
          <w:szCs w:val="20"/>
        </w:rPr>
      </w:pPr>
    </w:p>
    <w:p w14:paraId="6F357B8F" w14:textId="0388EE3B" w:rsidR="005E0759" w:rsidRDefault="005E0759" w:rsidP="00310A17">
      <w:pPr>
        <w:pStyle w:val="EndNoteBibliography"/>
        <w:spacing w:line="360" w:lineRule="auto"/>
        <w:jc w:val="center"/>
        <w:rPr>
          <w:rFonts w:ascii="Palatino Linotype" w:hAnsi="Palatino Linotype" w:cs="Times New Roman"/>
          <w:szCs w:val="20"/>
        </w:rPr>
      </w:pPr>
    </w:p>
    <w:p w14:paraId="3727FBD1" w14:textId="41ACB720" w:rsidR="005E0759" w:rsidRDefault="005E0759" w:rsidP="00310A17">
      <w:pPr>
        <w:pStyle w:val="EndNoteBibliography"/>
        <w:spacing w:line="360" w:lineRule="auto"/>
        <w:jc w:val="center"/>
        <w:rPr>
          <w:rFonts w:ascii="Palatino Linotype" w:hAnsi="Palatino Linotype" w:cs="Times New Roman"/>
          <w:szCs w:val="20"/>
        </w:rPr>
      </w:pPr>
    </w:p>
    <w:p w14:paraId="19FA1EE5" w14:textId="70F6D0FA" w:rsidR="005E0759" w:rsidRDefault="005E0759" w:rsidP="00310A17">
      <w:pPr>
        <w:pStyle w:val="EndNoteBibliography"/>
        <w:spacing w:line="360" w:lineRule="auto"/>
        <w:jc w:val="center"/>
        <w:rPr>
          <w:rFonts w:ascii="Palatino Linotype" w:hAnsi="Palatino Linotype" w:cs="Times New Roman"/>
          <w:szCs w:val="20"/>
        </w:rPr>
      </w:pPr>
    </w:p>
    <w:p w14:paraId="47BBF903" w14:textId="24F9C9AC" w:rsidR="005E0759" w:rsidRDefault="005E0759" w:rsidP="00310A17">
      <w:pPr>
        <w:pStyle w:val="EndNoteBibliography"/>
        <w:spacing w:line="360" w:lineRule="auto"/>
        <w:jc w:val="center"/>
        <w:rPr>
          <w:rFonts w:ascii="Palatino Linotype" w:hAnsi="Palatino Linotype" w:cs="Times New Roman"/>
          <w:szCs w:val="20"/>
        </w:rPr>
      </w:pPr>
    </w:p>
    <w:p w14:paraId="1DBA9032" w14:textId="54F4AD4B" w:rsidR="005E0759" w:rsidRDefault="005E0759" w:rsidP="00310A17">
      <w:pPr>
        <w:pStyle w:val="EndNoteBibliography"/>
        <w:spacing w:line="360" w:lineRule="auto"/>
        <w:jc w:val="center"/>
        <w:rPr>
          <w:rFonts w:ascii="Palatino Linotype" w:hAnsi="Palatino Linotype" w:cs="Times New Roman"/>
          <w:szCs w:val="20"/>
        </w:rPr>
      </w:pPr>
    </w:p>
    <w:p w14:paraId="1D320D01" w14:textId="14FF7F2F" w:rsidR="00603DD5" w:rsidRPr="00003825" w:rsidRDefault="00603DD5" w:rsidP="00003825">
      <w:pPr>
        <w:pStyle w:val="EndNoteBibliography"/>
        <w:spacing w:line="360" w:lineRule="auto"/>
        <w:jc w:val="left"/>
        <w:rPr>
          <w:rFonts w:ascii="Times New Roman" w:hAnsi="Times New Roman" w:cs="Times New Roman" w:hint="eastAsia"/>
          <w:b/>
          <w:bCs/>
          <w:sz w:val="24"/>
          <w:szCs w:val="24"/>
        </w:rPr>
      </w:pPr>
      <w:bookmarkStart w:id="0" w:name="_GoBack"/>
      <w:bookmarkEnd w:id="0"/>
    </w:p>
    <w:sectPr w:rsidR="00603DD5" w:rsidRPr="00003825">
      <w:footerReference w:type="default" r:id="rId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30753" w14:textId="77777777" w:rsidR="00300144" w:rsidRDefault="00300144" w:rsidP="005E0759">
      <w:pPr>
        <w:spacing w:after="0" w:line="240" w:lineRule="auto"/>
      </w:pPr>
      <w:r>
        <w:separator/>
      </w:r>
    </w:p>
  </w:endnote>
  <w:endnote w:type="continuationSeparator" w:id="0">
    <w:p w14:paraId="2D941BDC" w14:textId="77777777" w:rsidR="00300144" w:rsidRDefault="00300144" w:rsidP="005E0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212487"/>
      <w:docPartObj>
        <w:docPartGallery w:val="Page Numbers (Bottom of Page)"/>
        <w:docPartUnique/>
      </w:docPartObj>
    </w:sdtPr>
    <w:sdtEndPr/>
    <w:sdtContent>
      <w:p w14:paraId="0C90983B" w14:textId="75696575" w:rsidR="005E0759" w:rsidRDefault="005E0759">
        <w:pPr>
          <w:pStyle w:val="a5"/>
          <w:jc w:val="center"/>
        </w:pPr>
        <w:r>
          <w:fldChar w:fldCharType="begin"/>
        </w:r>
        <w:r>
          <w:instrText>PAGE   \* MERGEFORMAT</w:instrText>
        </w:r>
        <w:r>
          <w:fldChar w:fldCharType="separate"/>
        </w:r>
        <w:r w:rsidR="00003825" w:rsidRPr="00003825">
          <w:rPr>
            <w:noProof/>
            <w:lang w:val="ko-KR"/>
          </w:rPr>
          <w:t>5</w:t>
        </w:r>
        <w:r>
          <w:fldChar w:fldCharType="end"/>
        </w:r>
      </w:p>
    </w:sdtContent>
  </w:sdt>
  <w:p w14:paraId="405A9A14" w14:textId="77777777" w:rsidR="005E0759" w:rsidRDefault="005E07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AF2B5" w14:textId="77777777" w:rsidR="00300144" w:rsidRDefault="00300144" w:rsidP="005E0759">
      <w:pPr>
        <w:spacing w:after="0" w:line="240" w:lineRule="auto"/>
      </w:pPr>
      <w:r>
        <w:separator/>
      </w:r>
    </w:p>
  </w:footnote>
  <w:footnote w:type="continuationSeparator" w:id="0">
    <w:p w14:paraId="21E1DE3D" w14:textId="77777777" w:rsidR="00300144" w:rsidRDefault="00300144" w:rsidP="005E07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DD5"/>
    <w:rsid w:val="00003825"/>
    <w:rsid w:val="00205434"/>
    <w:rsid w:val="00300144"/>
    <w:rsid w:val="00310A17"/>
    <w:rsid w:val="0049499F"/>
    <w:rsid w:val="005E0759"/>
    <w:rsid w:val="005E50FA"/>
    <w:rsid w:val="00603DD5"/>
    <w:rsid w:val="00646EEF"/>
    <w:rsid w:val="006E5785"/>
    <w:rsid w:val="00746EBB"/>
    <w:rsid w:val="0079382F"/>
    <w:rsid w:val="00795664"/>
    <w:rsid w:val="007B603D"/>
    <w:rsid w:val="009434E6"/>
    <w:rsid w:val="009D289D"/>
    <w:rsid w:val="00B94101"/>
    <w:rsid w:val="00BC574F"/>
    <w:rsid w:val="00BC7EBD"/>
    <w:rsid w:val="00C65785"/>
    <w:rsid w:val="00C946C6"/>
    <w:rsid w:val="00CE0A6D"/>
    <w:rsid w:val="00DC5E24"/>
    <w:rsid w:val="00E9151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96F6F"/>
  <w15:chartTrackingRefBased/>
  <w15:docId w15:val="{161A9170-23C9-4B88-9170-4D5CAE37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3DD5"/>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Bibliography">
    <w:name w:val="EndNote Bibliography"/>
    <w:basedOn w:val="a"/>
    <w:link w:val="EndNoteBibliographyChar"/>
    <w:rsid w:val="00603DD5"/>
    <w:pPr>
      <w:spacing w:after="200" w:line="480" w:lineRule="auto"/>
    </w:pPr>
    <w:rPr>
      <w:rFonts w:ascii="맑은 고딕" w:eastAsia="맑은 고딕" w:hAnsi="맑은 고딕"/>
      <w:noProof/>
    </w:rPr>
  </w:style>
  <w:style w:type="character" w:customStyle="1" w:styleId="EndNoteBibliographyChar">
    <w:name w:val="EndNote Bibliography Char"/>
    <w:basedOn w:val="a0"/>
    <w:link w:val="EndNoteBibliography"/>
    <w:rsid w:val="00603DD5"/>
    <w:rPr>
      <w:rFonts w:ascii="맑은 고딕" w:eastAsia="맑은 고딕" w:hAnsi="맑은 고딕"/>
      <w:noProof/>
    </w:rPr>
  </w:style>
  <w:style w:type="paragraph" w:customStyle="1" w:styleId="MDPI61Supplementary">
    <w:name w:val="MDPI_6.1_Supplementary"/>
    <w:qFormat/>
    <w:rsid w:val="00603DD5"/>
    <w:pPr>
      <w:spacing w:before="240" w:after="0" w:line="260" w:lineRule="atLeast"/>
    </w:pPr>
    <w:rPr>
      <w:rFonts w:ascii="Palatino Linotype" w:eastAsia="Times New Roman" w:hAnsi="Palatino Linotype" w:cs="Times New Roman"/>
      <w:snapToGrid w:val="0"/>
      <w:color w:val="000000"/>
      <w:kern w:val="0"/>
      <w:sz w:val="18"/>
      <w:szCs w:val="20"/>
      <w:lang w:eastAsia="en-US" w:bidi="en-US"/>
    </w:rPr>
  </w:style>
  <w:style w:type="paragraph" w:customStyle="1" w:styleId="MDPI31text">
    <w:name w:val="MDPI_3.1_text"/>
    <w:qFormat/>
    <w:rsid w:val="00C946C6"/>
    <w:pPr>
      <w:adjustRightInd w:val="0"/>
      <w:snapToGrid w:val="0"/>
      <w:spacing w:after="0" w:line="260" w:lineRule="atLeast"/>
      <w:ind w:firstLine="425"/>
    </w:pPr>
    <w:rPr>
      <w:rFonts w:ascii="Palatino Linotype" w:eastAsia="Times New Roman" w:hAnsi="Palatino Linotype" w:cs="Times New Roman"/>
      <w:snapToGrid w:val="0"/>
      <w:color w:val="000000"/>
      <w:kern w:val="0"/>
      <w:lang w:eastAsia="de-DE" w:bidi="en-US"/>
    </w:rPr>
  </w:style>
  <w:style w:type="paragraph" w:styleId="a3">
    <w:name w:val="Revision"/>
    <w:hidden/>
    <w:uiPriority w:val="99"/>
    <w:semiHidden/>
    <w:rsid w:val="005E50FA"/>
    <w:pPr>
      <w:spacing w:after="0" w:line="240" w:lineRule="auto"/>
      <w:jc w:val="left"/>
    </w:pPr>
  </w:style>
  <w:style w:type="paragraph" w:styleId="a4">
    <w:name w:val="header"/>
    <w:basedOn w:val="a"/>
    <w:link w:val="Char"/>
    <w:uiPriority w:val="99"/>
    <w:unhideWhenUsed/>
    <w:rsid w:val="005E0759"/>
    <w:pPr>
      <w:tabs>
        <w:tab w:val="center" w:pos="4513"/>
        <w:tab w:val="right" w:pos="9026"/>
      </w:tabs>
      <w:snapToGrid w:val="0"/>
    </w:pPr>
  </w:style>
  <w:style w:type="character" w:customStyle="1" w:styleId="Char">
    <w:name w:val="머리글 Char"/>
    <w:basedOn w:val="a0"/>
    <w:link w:val="a4"/>
    <w:uiPriority w:val="99"/>
    <w:rsid w:val="005E0759"/>
  </w:style>
  <w:style w:type="paragraph" w:styleId="a5">
    <w:name w:val="footer"/>
    <w:basedOn w:val="a"/>
    <w:link w:val="Char0"/>
    <w:uiPriority w:val="99"/>
    <w:unhideWhenUsed/>
    <w:rsid w:val="005E0759"/>
    <w:pPr>
      <w:tabs>
        <w:tab w:val="center" w:pos="4513"/>
        <w:tab w:val="right" w:pos="9026"/>
      </w:tabs>
      <w:snapToGrid w:val="0"/>
    </w:pPr>
  </w:style>
  <w:style w:type="character" w:customStyle="1" w:styleId="Char0">
    <w:name w:val="바닥글 Char"/>
    <w:basedOn w:val="a0"/>
    <w:link w:val="a5"/>
    <w:uiPriority w:val="99"/>
    <w:rsid w:val="005E0759"/>
  </w:style>
  <w:style w:type="paragraph" w:styleId="a6">
    <w:name w:val="Balloon Text"/>
    <w:basedOn w:val="a"/>
    <w:link w:val="Char1"/>
    <w:uiPriority w:val="99"/>
    <w:semiHidden/>
    <w:unhideWhenUsed/>
    <w:rsid w:val="00CE0A6D"/>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CE0A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11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675</Words>
  <Characters>3850</Characters>
  <Application>Microsoft Office Word</Application>
  <DocSecurity>0</DocSecurity>
  <Lines>32</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4</cp:revision>
  <dcterms:created xsi:type="dcterms:W3CDTF">2022-01-11T07:06:00Z</dcterms:created>
  <dcterms:modified xsi:type="dcterms:W3CDTF">2022-01-20T16:08:00Z</dcterms:modified>
</cp:coreProperties>
</file>