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014F" w14:textId="77777777" w:rsidR="00DA5E46" w:rsidRDefault="00DA5E46" w:rsidP="00DA5E46">
      <w:pPr>
        <w:pStyle w:val="MDPI62BackMatter"/>
        <w:spacing w:before="240"/>
        <w:ind w:left="0"/>
      </w:pPr>
      <w:r>
        <w:rPr>
          <w:noProof/>
        </w:rPr>
        <w:drawing>
          <wp:inline distT="0" distB="0" distL="0" distR="0" wp14:anchorId="3592F199" wp14:editId="614B552B">
            <wp:extent cx="6645910" cy="3738245"/>
            <wp:effectExtent l="0" t="0" r="2540" b="0"/>
            <wp:docPr id="1809941684" name="グラフィックス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98465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D0CDD" w14:textId="03E037E1" w:rsidR="00DA5E46" w:rsidRPr="00E81904" w:rsidRDefault="00DA5E46" w:rsidP="00D44B8C">
      <w:pPr>
        <w:pStyle w:val="MDPI62BackMatter"/>
        <w:spacing w:before="240"/>
        <w:jc w:val="left"/>
      </w:pPr>
      <w:r w:rsidRPr="00E81904">
        <w:rPr>
          <w:b/>
        </w:rPr>
        <w:t>Figure S</w:t>
      </w:r>
      <w:r w:rsidRPr="00D44B8C">
        <w:rPr>
          <w:rFonts w:eastAsia="游明朝" w:cs="游明朝"/>
          <w:b/>
        </w:rPr>
        <w:t>1</w:t>
      </w:r>
      <w:r w:rsidRPr="00E81904">
        <w:rPr>
          <w:b/>
        </w:rPr>
        <w:t>.</w:t>
      </w:r>
      <w:r w:rsidRPr="00E81904">
        <w:t xml:space="preserve"> The biofilm formation of </w:t>
      </w:r>
      <w:r w:rsidRPr="00E81904">
        <w:rPr>
          <w:i/>
        </w:rPr>
        <w:t>C. albicans</w:t>
      </w:r>
      <w:r w:rsidRPr="00E81904">
        <w:t xml:space="preserve"> HB-10 treated with lactate, </w:t>
      </w:r>
      <w:r w:rsidRPr="00D44B8C">
        <w:rPr>
          <w:bCs/>
        </w:rPr>
        <w:t>hydrogen</w:t>
      </w:r>
      <w:r w:rsidRPr="00E81904">
        <w:t xml:space="preserve"> peroxide</w:t>
      </w:r>
      <w:r>
        <w:t>,</w:t>
      </w:r>
      <w:r w:rsidRPr="00E81904">
        <w:t xml:space="preserve"> or </w:t>
      </w:r>
      <w:r>
        <w:t xml:space="preserve">a </w:t>
      </w:r>
      <w:r w:rsidRPr="00E81904">
        <w:t>combin</w:t>
      </w:r>
      <w:r>
        <w:t>ation of</w:t>
      </w:r>
      <w:r w:rsidRPr="00E81904">
        <w:t xml:space="preserve"> lactate and </w:t>
      </w:r>
      <w:r w:rsidRPr="00D44B8C">
        <w:rPr>
          <w:bCs/>
        </w:rPr>
        <w:t>hydrogen</w:t>
      </w:r>
      <w:r w:rsidRPr="00E81904">
        <w:t xml:space="preserve"> peroxide</w:t>
      </w:r>
    </w:p>
    <w:p w14:paraId="52A359F8" w14:textId="615DC80B" w:rsidR="00DA5E46" w:rsidRDefault="00DA5E46" w:rsidP="00DA5E46">
      <w:pPr>
        <w:pStyle w:val="MDPI62BackMatter"/>
        <w:spacing w:before="240"/>
      </w:pPr>
      <w:r>
        <w:t xml:space="preserve">The biofilm formation of </w:t>
      </w:r>
      <w:r>
        <w:rPr>
          <w:i/>
        </w:rPr>
        <w:t>C. albicans</w:t>
      </w:r>
      <w:r>
        <w:t xml:space="preserve"> HB-10 treated with lactate, </w:t>
      </w:r>
      <w:r w:rsidRPr="00D44B8C">
        <w:rPr>
          <w:bCs/>
        </w:rPr>
        <w:t>hydrogen</w:t>
      </w:r>
      <w:r>
        <w:t xml:space="preserve"> peroxide, or a combination of </w:t>
      </w:r>
      <w:r w:rsidRPr="00BF5C24">
        <w:t xml:space="preserve">both, </w:t>
      </w:r>
      <w:r>
        <w:t>was used to</w:t>
      </w:r>
      <w:r w:rsidRPr="00BF5C24">
        <w:t xml:space="preserve"> </w:t>
      </w:r>
      <w:r>
        <w:t>measure WST-1 and was exhibited by the box whisker plots.</w:t>
      </w:r>
    </w:p>
    <w:p w14:paraId="5FBF5735" w14:textId="77777777" w:rsidR="00DA5E46" w:rsidRDefault="00DA5E46" w:rsidP="00DA5E46">
      <w:pPr>
        <w:pStyle w:val="MDPI62BackMatter"/>
        <w:spacing w:before="240"/>
        <w:ind w:left="0"/>
      </w:pPr>
      <w:r>
        <w:rPr>
          <w:noProof/>
        </w:rPr>
        <w:drawing>
          <wp:inline distT="0" distB="0" distL="0" distR="0" wp14:anchorId="220F439D" wp14:editId="3EA1B494">
            <wp:extent cx="6438900" cy="3738245"/>
            <wp:effectExtent l="0" t="0" r="0" b="0"/>
            <wp:docPr id="8" name="グラフィックス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6705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7D78" w14:textId="77777777" w:rsidR="00DA5E46" w:rsidRPr="00E81904" w:rsidRDefault="00DA5E46" w:rsidP="00D44B8C">
      <w:pPr>
        <w:pStyle w:val="MDPI62BackMatter"/>
        <w:jc w:val="left"/>
        <w:rPr>
          <w:szCs w:val="18"/>
        </w:rPr>
      </w:pPr>
      <w:r w:rsidRPr="00E81904">
        <w:rPr>
          <w:b/>
          <w:szCs w:val="18"/>
        </w:rPr>
        <w:lastRenderedPageBreak/>
        <w:t>Figure S</w:t>
      </w:r>
      <w:r w:rsidRPr="00D44B8C">
        <w:rPr>
          <w:rFonts w:eastAsia="游明朝" w:cs="游明朝"/>
          <w:b/>
          <w:szCs w:val="18"/>
        </w:rPr>
        <w:t>2.</w:t>
      </w:r>
      <w:r w:rsidRPr="00E81904">
        <w:rPr>
          <w:b/>
          <w:szCs w:val="18"/>
        </w:rPr>
        <w:t xml:space="preserve"> </w:t>
      </w:r>
      <w:r w:rsidRPr="00E81904">
        <w:rPr>
          <w:szCs w:val="18"/>
        </w:rPr>
        <w:t>The hyphal formation observed under light microscope.</w:t>
      </w:r>
    </w:p>
    <w:p w14:paraId="64B7500A" w14:textId="65D03B9D" w:rsidR="00DA5E46" w:rsidRPr="00E81904" w:rsidRDefault="00DA5E46" w:rsidP="00D44B8C">
      <w:pPr>
        <w:pStyle w:val="MDPI62BackMatter"/>
        <w:jc w:val="left"/>
        <w:rPr>
          <w:b/>
          <w:szCs w:val="18"/>
        </w:rPr>
      </w:pPr>
      <w:r w:rsidRPr="00E81904">
        <w:rPr>
          <w:szCs w:val="18"/>
        </w:rPr>
        <w:t xml:space="preserve">Under </w:t>
      </w:r>
      <w:r>
        <w:rPr>
          <w:szCs w:val="18"/>
        </w:rPr>
        <w:t xml:space="preserve">the </w:t>
      </w:r>
      <w:r w:rsidRPr="00E81904">
        <w:rPr>
          <w:szCs w:val="18"/>
        </w:rPr>
        <w:t xml:space="preserve">light microscope, hyphae, </w:t>
      </w:r>
      <w:proofErr w:type="spellStart"/>
      <w:r w:rsidRPr="00E81904">
        <w:rPr>
          <w:szCs w:val="18"/>
        </w:rPr>
        <w:t>pseudohyphal</w:t>
      </w:r>
      <w:proofErr w:type="spellEnd"/>
      <w:r w:rsidRPr="00E81904">
        <w:rPr>
          <w:szCs w:val="18"/>
        </w:rPr>
        <w:t>, and yeast forms were distinguished</w:t>
      </w:r>
    </w:p>
    <w:p w14:paraId="67867B9A" w14:textId="77777777" w:rsidR="00DA5E46" w:rsidRDefault="00DA5E46" w:rsidP="00DA5E46">
      <w:pPr>
        <w:spacing w:line="240" w:lineRule="auto"/>
        <w:jc w:val="left"/>
        <w:rPr>
          <w:b/>
          <w:sz w:val="18"/>
        </w:rPr>
      </w:pPr>
      <w:r>
        <w:rPr>
          <w:rFonts w:ascii="Calibri" w:eastAsia="Calibri" w:hAnsi="Calibri" w:cs="Calibri"/>
        </w:rPr>
        <w:br w:type="page"/>
      </w:r>
    </w:p>
    <w:p w14:paraId="2D40B955" w14:textId="77777777" w:rsidR="00DA5E46" w:rsidRDefault="00DA5E46" w:rsidP="00DA5E46">
      <w:pPr>
        <w:pStyle w:val="MDPI62BackMatter"/>
        <w:ind w:left="0"/>
        <w:rPr>
          <w:b/>
        </w:rPr>
      </w:pPr>
      <w:r>
        <w:rPr>
          <w:b/>
        </w:rPr>
        <w:lastRenderedPageBreak/>
        <w:t xml:space="preserve">Table S1. </w:t>
      </w:r>
      <w:r w:rsidRPr="00D44B8C">
        <w:rPr>
          <w:bCs/>
        </w:rPr>
        <w:t xml:space="preserve">Characteristics of </w:t>
      </w:r>
      <w:r w:rsidRPr="00D44B8C">
        <w:rPr>
          <w:bCs/>
          <w:i/>
        </w:rPr>
        <w:t>Lactobacillus</w:t>
      </w:r>
      <w:r>
        <w:rPr>
          <w:bCs/>
          <w:i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915"/>
        <w:gridCol w:w="1129"/>
        <w:gridCol w:w="1991"/>
        <w:gridCol w:w="1340"/>
        <w:gridCol w:w="2181"/>
      </w:tblGrid>
      <w:tr w:rsidR="00DA5E46" w14:paraId="4C736C99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712CB6C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No.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1712A409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Genus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12BB0C8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Species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429B562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Strain denomination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0F204A72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Isolation date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64D4A2B8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Origin</w:t>
            </w:r>
          </w:p>
        </w:tc>
      </w:tr>
      <w:tr w:rsidR="00DA5E46" w14:paraId="6234F419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19F7D0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448BF4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B9DB9E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2B3449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3-1-1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819FF8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2014/1/20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E2E9EC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19267C7A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855C8B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3C04D5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922C08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B001C7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3-1-2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410516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2014/1/20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6CF602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2A85AFFA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820E50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6C0388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D0449C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E4E418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0F5B3D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2014/1/20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2C09ED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7BEDC3BC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BCCC6E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FB8429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Limosilactobacillus</w:t>
            </w:r>
            <w:proofErr w:type="spellEnd"/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09D776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vaginalis</w:t>
            </w:r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9B970A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FE5E48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2014/1/20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73CF8A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5BD47D1C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7B04FF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7B94A8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Lacticaseibacillus</w:t>
            </w:r>
            <w:proofErr w:type="spellEnd"/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02F222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rhamnosus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0FDAEB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4E37AD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BA9434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745A6314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D07C6F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4258F6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5B9669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A5F7BD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14-2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1DCCF9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4D58F4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238823B2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97D952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78FDB9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AA815E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31C0DA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16-2-1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C02C88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79463C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6B5E329C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CE2A79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403062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8D03EF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DCA39F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16-2-2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7DBC49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AD3F32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55209CEB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C87586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514A0F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92D3A7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CE7BF9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20-2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76BA34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D21FF3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00B1E697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30D5EF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8C279C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D87A30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D480A6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23-1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58017F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2014/1/28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3E50E2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38E4F02F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E7E554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55A361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6999B5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jensenii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3A6395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0B3920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2014/4/28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9B4CFA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57207DA7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DEFAFD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4F936E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D79C6E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jensenii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990E04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28-3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BB7211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2014/4/28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13BC02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64990B39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816349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CAA569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388854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jensenii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D300E4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D606C3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2014/4/28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CE622D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3126DB55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50705B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F34D6A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EDCD19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E22002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F2C418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2014/4/28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599E9D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353505CA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B90DBE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50FEE6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Limosilactobacillus</w:t>
            </w:r>
            <w:proofErr w:type="spellEnd"/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4FA556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vaginalis</w:t>
            </w:r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86774F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30-2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9BEBD7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2014/4/28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B35E4A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52F778F6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2BE61B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277DD7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136763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722958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A8C96C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2014/4/28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43ED68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0A1B4686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E84876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30C191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7EA454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72FD63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32-2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6F94C3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AAAF7F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6458DF54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6D3CAC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BD82F4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5596C5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85CC05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F0CE76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2D350B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7FA5F4A9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7C8EC7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7E4C67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45B24E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D63E97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34-1-1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2C020A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573C01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77FBA95F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A7F2CE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20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1A829A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114FDE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31F6A6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34-1-2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D03A04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4E5ABC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113F4656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9DA1DE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577AF9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155436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4C6679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35-1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03F50B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DC6C9B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0DDADD78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A046B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085909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Limosilactobacillus</w:t>
            </w:r>
            <w:proofErr w:type="spellEnd"/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4C71C8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vaginalis</w:t>
            </w:r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B5D261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54D370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4067CC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6C0C90A6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6F0EB3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23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93B527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9987FD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02C130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45-3-1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BA24D4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23C369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3B376C89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1613BC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FFEEA3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72A6CC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75DA2B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45-3-2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3F7957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1ED0A6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36828CED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4BA3C0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D5F0BD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816364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CEE046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49-1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7EBB76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EA9C80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76E3CDC0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65434D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D3CDB1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86EEA4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gasseri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7E06A1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52-2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D154D6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2014/7/28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B06371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  <w:tr w:rsidR="00DA5E46" w14:paraId="5F9080CA" w14:textId="77777777" w:rsidTr="00F32793">
        <w:trPr>
          <w:trHeight w:val="390"/>
        </w:trPr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1C592794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35010BD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Lactobacillus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19EF06F" w14:textId="77777777" w:rsidR="00DA5E46" w:rsidRDefault="00DA5E46" w:rsidP="00F32793">
            <w:pPr>
              <w:spacing w:line="240" w:lineRule="auto"/>
              <w:jc w:val="left"/>
              <w:rPr>
                <w:i/>
                <w:color w:val="auto"/>
                <w:sz w:val="24"/>
              </w:rPr>
            </w:pPr>
            <w:proofErr w:type="spellStart"/>
            <w:r>
              <w:rPr>
                <w:i/>
                <w:color w:val="auto"/>
                <w:sz w:val="24"/>
              </w:rPr>
              <w:t>crispatus</w:t>
            </w:r>
            <w:proofErr w:type="spellEnd"/>
          </w:p>
        </w:tc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97AC0FE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53-1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554AB4FA" w14:textId="77777777" w:rsidR="00DA5E46" w:rsidRDefault="00DA5E46" w:rsidP="00F32793">
            <w:pPr>
              <w:spacing w:line="240" w:lineRule="auto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2014/9/8</w:t>
            </w:r>
          </w:p>
        </w:tc>
        <w:tc>
          <w:tcPr>
            <w:tcW w:w="2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2E0DB975" w14:textId="77777777" w:rsidR="00DA5E46" w:rsidRDefault="00DA5E46" w:rsidP="00F32793">
            <w:pPr>
              <w:spacing w:line="24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Human vaginal discharge</w:t>
            </w:r>
          </w:p>
        </w:tc>
      </w:tr>
    </w:tbl>
    <w:p w14:paraId="45A9A391" w14:textId="77777777" w:rsidR="00DA5E46" w:rsidRDefault="00DA5E46" w:rsidP="00DA5E46">
      <w:pPr>
        <w:spacing w:line="240" w:lineRule="auto"/>
        <w:jc w:val="left"/>
        <w:rPr>
          <w:b/>
          <w:sz w:val="18"/>
        </w:rPr>
      </w:pPr>
      <w:r>
        <w:rPr>
          <w:rFonts w:ascii="Calibri" w:eastAsia="Calibri" w:hAnsi="Calibri" w:cs="Calibri"/>
        </w:rPr>
        <w:br w:type="page"/>
      </w:r>
    </w:p>
    <w:p w14:paraId="17F4D7E1" w14:textId="77777777" w:rsidR="00DA5E46" w:rsidRDefault="00DA5E46" w:rsidP="00DA5E46">
      <w:pPr>
        <w:pStyle w:val="MDPI62BackMatter"/>
        <w:ind w:left="0"/>
        <w:rPr>
          <w:bCs/>
        </w:rPr>
      </w:pPr>
      <w:r>
        <w:rPr>
          <w:b/>
        </w:rPr>
        <w:lastRenderedPageBreak/>
        <w:t xml:space="preserve">Table S2. </w:t>
      </w:r>
      <w:r w:rsidRPr="00D44B8C">
        <w:rPr>
          <w:bCs/>
        </w:rPr>
        <w:t>Primers used in this study.</w:t>
      </w:r>
    </w:p>
    <w:p w14:paraId="76F31D3F" w14:textId="77777777" w:rsidR="00F766C1" w:rsidRDefault="00F766C1" w:rsidP="00DA5E46">
      <w:pPr>
        <w:pStyle w:val="MDPI62BackMatter"/>
        <w:ind w:left="0"/>
        <w:rPr>
          <w:b/>
        </w:rPr>
      </w:pP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6"/>
        <w:gridCol w:w="3994"/>
        <w:gridCol w:w="597"/>
        <w:gridCol w:w="819"/>
        <w:gridCol w:w="1266"/>
      </w:tblGrid>
      <w:tr w:rsidR="00DA5E46" w14:paraId="2DE7874B" w14:textId="77777777" w:rsidTr="00F766C1">
        <w:trPr>
          <w:trHeight w:val="320"/>
        </w:trPr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2ED0F8C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Target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B7A3F14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Sequence (5'-3')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BD2DE93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Tm (°C)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3B16E12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Length (bp)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D852A6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Reference</w:t>
            </w:r>
          </w:p>
        </w:tc>
      </w:tr>
      <w:tr w:rsidR="00DA5E46" w14:paraId="176D8659" w14:textId="77777777" w:rsidTr="00F766C1">
        <w:trPr>
          <w:trHeight w:val="320"/>
        </w:trPr>
        <w:tc>
          <w:tcPr>
            <w:tcW w:w="7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3E0BAF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ECE1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2FE55" w14:textId="77777777" w:rsidR="00DA5E46" w:rsidRDefault="00DA5E46" w:rsidP="00F32793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Forward: CCAGAAATTGTTGCTCGTGTTGCCA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3E0D7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62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056967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140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A97153" w14:textId="3671E850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Lee et al. [42] [42]</w:t>
            </w:r>
          </w:p>
        </w:tc>
      </w:tr>
      <w:tr w:rsidR="00DA5E46" w14:paraId="09C58B94" w14:textId="77777777" w:rsidTr="00F766C1">
        <w:trPr>
          <w:trHeight w:val="310"/>
        </w:trPr>
        <w:tc>
          <w:tcPr>
            <w:tcW w:w="7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FC7CE49" w14:textId="77777777" w:rsidR="00DA5E46" w:rsidRDefault="00DA5E46" w:rsidP="00F32793"/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41AB14" w14:textId="4AEA1353" w:rsidR="00DA5E46" w:rsidRDefault="00DA5E46" w:rsidP="00F3279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Reverse: TCCAGGACGCCATCAAAAACGTTAG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4CC899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61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DB88779" w14:textId="77777777" w:rsidR="00DA5E46" w:rsidRDefault="00DA5E46" w:rsidP="00F32793"/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320A65" w14:textId="77777777" w:rsidR="00DA5E46" w:rsidRDefault="00DA5E46" w:rsidP="00F32793"/>
        </w:tc>
      </w:tr>
      <w:tr w:rsidR="00DA5E46" w14:paraId="4A141C73" w14:textId="77777777" w:rsidTr="00F766C1">
        <w:trPr>
          <w:trHeight w:val="320"/>
        </w:trPr>
        <w:tc>
          <w:tcPr>
            <w:tcW w:w="7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8859CB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HWP1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9C751" w14:textId="77777777" w:rsidR="00DA5E46" w:rsidRDefault="00DA5E46" w:rsidP="00F32793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Forward: TTGTTTGCGTCATCAAGACTTTG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050F5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56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7E9B5F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73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1B7995" w14:textId="77777777" w:rsidR="00DA5E46" w:rsidRDefault="00DA5E46" w:rsidP="00F32793"/>
        </w:tc>
      </w:tr>
      <w:tr w:rsidR="00DA5E46" w14:paraId="2313EE4D" w14:textId="77777777" w:rsidTr="00F766C1">
        <w:trPr>
          <w:trHeight w:val="320"/>
        </w:trPr>
        <w:tc>
          <w:tcPr>
            <w:tcW w:w="7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944105" w14:textId="77777777" w:rsidR="00DA5E46" w:rsidRDefault="00DA5E46" w:rsidP="00F32793"/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8F1D1B" w14:textId="77777777" w:rsidR="00DA5E46" w:rsidRDefault="00DA5E46" w:rsidP="00F32793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Reverse : GTCTTCATCAGCAGTAACACAACCA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5C68CE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59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F2D7D88" w14:textId="77777777" w:rsidR="00DA5E46" w:rsidRDefault="00DA5E46" w:rsidP="00F32793"/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3583F3" w14:textId="77777777" w:rsidR="00DA5E46" w:rsidRDefault="00DA5E46" w:rsidP="00F32793"/>
        </w:tc>
      </w:tr>
      <w:tr w:rsidR="00DA5E46" w14:paraId="0E21F5B8" w14:textId="77777777" w:rsidTr="00F766C1">
        <w:trPr>
          <w:trHeight w:val="320"/>
        </w:trPr>
        <w:tc>
          <w:tcPr>
            <w:tcW w:w="7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A9BE76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YWP1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CA170" w14:textId="77777777" w:rsidR="00DA5E46" w:rsidRDefault="00DA5E46" w:rsidP="00F3279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Forward: GTTCCATTTTTCCAAGTTCATTTAG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A2718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53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4AA2A8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170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4EBFD3" w14:textId="77777777" w:rsidR="00DA5E46" w:rsidRDefault="00DA5E46" w:rsidP="00F32793"/>
        </w:tc>
      </w:tr>
      <w:tr w:rsidR="00DA5E46" w14:paraId="464C8D9C" w14:textId="77777777" w:rsidTr="00F766C1">
        <w:trPr>
          <w:trHeight w:val="320"/>
        </w:trPr>
        <w:tc>
          <w:tcPr>
            <w:tcW w:w="7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7DC552E" w14:textId="77777777" w:rsidR="00DA5E46" w:rsidRDefault="00DA5E46" w:rsidP="00F32793"/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BCAE89" w14:textId="77777777" w:rsidR="00DA5E46" w:rsidRDefault="00DA5E46" w:rsidP="00F32793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Reverse : TCAAGAGTAGAACCTTCAAGAGCAG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809C07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58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7EEA5B6" w14:textId="77777777" w:rsidR="00DA5E46" w:rsidRDefault="00DA5E46" w:rsidP="00F32793"/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95829E7" w14:textId="77777777" w:rsidR="00DA5E46" w:rsidRDefault="00DA5E46" w:rsidP="00F32793"/>
        </w:tc>
      </w:tr>
      <w:tr w:rsidR="00DA5E46" w14:paraId="5D205B3C" w14:textId="77777777" w:rsidTr="00F766C1">
        <w:trPr>
          <w:trHeight w:val="320"/>
        </w:trPr>
        <w:tc>
          <w:tcPr>
            <w:tcW w:w="7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1E17BE8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ACT1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B2BC7" w14:textId="77777777" w:rsidR="00DA5E46" w:rsidRDefault="00DA5E46" w:rsidP="00F32793">
            <w:pPr>
              <w:spacing w:line="240" w:lineRule="auto"/>
              <w:jc w:val="left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Forward: GTTGGTGATGAAGCCCAATC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B497C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55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C2F02DF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79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8E0346" w14:textId="0452E314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Gunsaluset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al. [43]</w:t>
            </w:r>
          </w:p>
        </w:tc>
      </w:tr>
      <w:tr w:rsidR="00DA5E46" w14:paraId="44D835C0" w14:textId="77777777" w:rsidTr="00F766C1">
        <w:trPr>
          <w:trHeight w:val="320"/>
        </w:trPr>
        <w:tc>
          <w:tcPr>
            <w:tcW w:w="7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D58FF96" w14:textId="77777777" w:rsidR="00DA5E46" w:rsidRDefault="00DA5E46" w:rsidP="00F32793"/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A5201D3" w14:textId="7ADE1BBA" w:rsidR="00DA5E46" w:rsidRDefault="00DA5E46" w:rsidP="00F32793">
            <w:pPr>
              <w:spacing w:line="240" w:lineRule="auto"/>
              <w:jc w:val="left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Reverse: CCCAGTTGGAAACAATACCG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71CB772" w14:textId="77777777" w:rsidR="00DA5E46" w:rsidRDefault="00DA5E46" w:rsidP="00F327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55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3B6684F" w14:textId="77777777" w:rsidR="00DA5E46" w:rsidRDefault="00DA5E46" w:rsidP="00F32793"/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7CC54A7" w14:textId="77777777" w:rsidR="00DA5E46" w:rsidRDefault="00DA5E46" w:rsidP="00F32793"/>
        </w:tc>
      </w:tr>
    </w:tbl>
    <w:p w14:paraId="67ADDF00" w14:textId="39040489" w:rsidR="00B667FC" w:rsidRDefault="00B667FC"/>
    <w:sectPr w:rsidR="00B66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7366" w14:textId="77777777" w:rsidR="00D44B8C" w:rsidRDefault="00D44B8C" w:rsidP="00D44B8C">
      <w:pPr>
        <w:spacing w:line="240" w:lineRule="auto"/>
      </w:pPr>
      <w:r>
        <w:separator/>
      </w:r>
    </w:p>
  </w:endnote>
  <w:endnote w:type="continuationSeparator" w:id="0">
    <w:p w14:paraId="2DACBBA3" w14:textId="77777777" w:rsidR="00D44B8C" w:rsidRDefault="00D44B8C" w:rsidP="00D44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0E8B" w14:textId="77777777" w:rsidR="00D44B8C" w:rsidRDefault="00D44B8C" w:rsidP="00D44B8C">
      <w:pPr>
        <w:spacing w:line="240" w:lineRule="auto"/>
      </w:pPr>
      <w:r>
        <w:separator/>
      </w:r>
    </w:p>
  </w:footnote>
  <w:footnote w:type="continuationSeparator" w:id="0">
    <w:p w14:paraId="44CAD9DB" w14:textId="77777777" w:rsidR="00D44B8C" w:rsidRDefault="00D44B8C" w:rsidP="00D44B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45"/>
    <w:rsid w:val="00500145"/>
    <w:rsid w:val="00B656E2"/>
    <w:rsid w:val="00B667FC"/>
    <w:rsid w:val="00D44B8C"/>
    <w:rsid w:val="00D70493"/>
    <w:rsid w:val="00DA5E46"/>
    <w:rsid w:val="00F7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2355C"/>
  <w15:chartTrackingRefBased/>
  <w15:docId w15:val="{F48D39A1-EF47-4EDC-BBAB-3804A31F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E46"/>
    <w:pPr>
      <w:spacing w:after="0" w:line="260" w:lineRule="atLeast"/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62BackMatter">
    <w:name w:val="MDPI_6.2_BackMatter"/>
    <w:rsid w:val="00DA5E46"/>
    <w:pPr>
      <w:snapToGrid w:val="0"/>
      <w:spacing w:after="120"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20"/>
      <w:lang w:val="en-US" w:eastAsia="zh-CN"/>
    </w:rPr>
  </w:style>
  <w:style w:type="character" w:styleId="a3">
    <w:name w:val="annotation reference"/>
    <w:rsid w:val="00DA5E46"/>
    <w:rPr>
      <w:sz w:val="21"/>
    </w:rPr>
  </w:style>
  <w:style w:type="paragraph" w:styleId="a4">
    <w:name w:val="annotation text"/>
    <w:basedOn w:val="a"/>
    <w:link w:val="a5"/>
    <w:rsid w:val="00DA5E46"/>
  </w:style>
  <w:style w:type="character" w:customStyle="1" w:styleId="a5">
    <w:name w:val="コメント文字列 (文字)"/>
    <w:basedOn w:val="a0"/>
    <w:link w:val="a4"/>
    <w:rsid w:val="00DA5E46"/>
    <w:rPr>
      <w:rFonts w:ascii="Palatino Linotype" w:eastAsia="Palatino Linotype" w:hAnsi="Palatino Linotype" w:cs="Palatino Linotype"/>
      <w:color w:val="000000"/>
      <w:sz w:val="20"/>
      <w:szCs w:val="20"/>
      <w:lang w:val="en-US" w:eastAsia="zh-CN"/>
    </w:rPr>
  </w:style>
  <w:style w:type="paragraph" w:styleId="a6">
    <w:name w:val="Revision"/>
    <w:hidden/>
    <w:uiPriority w:val="99"/>
    <w:semiHidden/>
    <w:rsid w:val="00B656E2"/>
    <w:pPr>
      <w:spacing w:after="0" w:line="240" w:lineRule="auto"/>
    </w:pPr>
    <w:rPr>
      <w:rFonts w:ascii="Palatino Linotype" w:eastAsia="Palatino Linotype" w:hAnsi="Palatino Linotype" w:cs="Palatino Linotype"/>
      <w:color w:val="000000"/>
      <w:sz w:val="20"/>
      <w:szCs w:val="20"/>
      <w:lang w:val="en-US" w:eastAsia="zh-CN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B656E2"/>
    <w:pPr>
      <w:spacing w:line="240" w:lineRule="auto"/>
    </w:pPr>
    <w:rPr>
      <w:b/>
      <w:bCs/>
    </w:rPr>
  </w:style>
  <w:style w:type="character" w:customStyle="1" w:styleId="a8">
    <w:name w:val="コメント内容 (文字)"/>
    <w:basedOn w:val="a5"/>
    <w:link w:val="a7"/>
    <w:uiPriority w:val="99"/>
    <w:semiHidden/>
    <w:rsid w:val="00B656E2"/>
    <w:rPr>
      <w:rFonts w:ascii="Palatino Linotype" w:eastAsia="Palatino Linotype" w:hAnsi="Palatino Linotype" w:cs="Palatino Linotype"/>
      <w:b/>
      <w:bCs/>
      <w:color w:val="000000"/>
      <w:sz w:val="20"/>
      <w:szCs w:val="20"/>
      <w:lang w:val="en-US" w:eastAsia="zh-CN"/>
    </w:rPr>
  </w:style>
  <w:style w:type="paragraph" w:styleId="a9">
    <w:name w:val="header"/>
    <w:basedOn w:val="a"/>
    <w:link w:val="aa"/>
    <w:uiPriority w:val="99"/>
    <w:unhideWhenUsed/>
    <w:rsid w:val="00D44B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44B8C"/>
    <w:rPr>
      <w:rFonts w:ascii="Palatino Linotype" w:eastAsia="Palatino Linotype" w:hAnsi="Palatino Linotype" w:cs="Palatino Linotype"/>
      <w:color w:val="000000"/>
      <w:sz w:val="20"/>
      <w:szCs w:val="20"/>
      <w:lang w:val="en-US" w:eastAsia="zh-CN"/>
    </w:rPr>
  </w:style>
  <w:style w:type="paragraph" w:styleId="ab">
    <w:name w:val="footer"/>
    <w:basedOn w:val="a"/>
    <w:link w:val="ac"/>
    <w:uiPriority w:val="99"/>
    <w:unhideWhenUsed/>
    <w:rsid w:val="00D44B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44B8C"/>
    <w:rPr>
      <w:rFonts w:ascii="Palatino Linotype" w:eastAsia="Palatino Linotype" w:hAnsi="Palatino Linotype" w:cs="Palatino Linotype"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tomonori.takano@marianna-u.ac.jp</dc:creator>
  <cp:keywords/>
  <dc:description/>
  <cp:lastModifiedBy>tomonori.takano@marianna-u.ac.jp</cp:lastModifiedBy>
  <cp:revision>2</cp:revision>
  <dcterms:created xsi:type="dcterms:W3CDTF">2022-09-26T04:30:00Z</dcterms:created>
  <dcterms:modified xsi:type="dcterms:W3CDTF">2022-09-26T04:30:00Z</dcterms:modified>
</cp:coreProperties>
</file>