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ECBC" w14:textId="77777777" w:rsidR="00081F88" w:rsidRPr="003B1AF1" w:rsidRDefault="00081F88" w:rsidP="00B96713">
      <w:pPr>
        <w:pStyle w:val="MDPI12title"/>
        <w:jc w:val="center"/>
      </w:pPr>
      <w:r>
        <w:t>Mutational landscape</w:t>
      </w:r>
      <w:r w:rsidRPr="00BA7CC9">
        <w:t xml:space="preserve"> of bladder cancer in Mexican patients: </w:t>
      </w:r>
      <w:r w:rsidRPr="00BA7CC9">
        <w:rPr>
          <w:i/>
        </w:rPr>
        <w:t>KMT2D</w:t>
      </w:r>
      <w:r w:rsidRPr="00BA7CC9">
        <w:t xml:space="preserve"> mutations and chr11q15.5 amplifications are associated with muscle invasion</w:t>
      </w:r>
    </w:p>
    <w:p w14:paraId="31A5DD69" w14:textId="047DCD22" w:rsidR="00081F88" w:rsidRDefault="00081F88" w:rsidP="00B96713">
      <w:pPr>
        <w:jc w:val="center"/>
      </w:pPr>
      <w:r w:rsidRPr="00D02A2F">
        <w:t>María D. Pérez</w:t>
      </w:r>
      <w:r>
        <w:t>-</w:t>
      </w:r>
      <w:r w:rsidRPr="00D02A2F">
        <w:t>Montiel</w:t>
      </w:r>
      <w:r w:rsidRPr="00D02A2F">
        <w:rPr>
          <w:vertAlign w:val="superscript"/>
        </w:rPr>
        <w:t>1</w:t>
      </w:r>
      <w:r w:rsidRPr="00D02A2F">
        <w:t>, Dennis Cerrato-Izaguirre</w:t>
      </w:r>
      <w:r w:rsidRPr="00D02A2F">
        <w:rPr>
          <w:vertAlign w:val="superscript"/>
        </w:rPr>
        <w:t>2,3</w:t>
      </w:r>
      <w:r w:rsidR="00792696">
        <w:t>, Yes</w:t>
      </w:r>
      <w:r w:rsidRPr="00D02A2F">
        <w:t>ennia Sánchez-Pérez</w:t>
      </w:r>
      <w:r>
        <w:rPr>
          <w:vertAlign w:val="superscript"/>
        </w:rPr>
        <w:t>3</w:t>
      </w:r>
      <w:r w:rsidR="00792696">
        <w:t>, Jose</w:t>
      </w:r>
      <w:r w:rsidRPr="00D02A2F">
        <w:t xml:space="preserve"> Diaz-Chavez</w:t>
      </w:r>
      <w:r>
        <w:rPr>
          <w:vertAlign w:val="superscript"/>
        </w:rPr>
        <w:t>3</w:t>
      </w:r>
      <w:r w:rsidRPr="00D02A2F">
        <w:t>, Carlo Cortés-González</w:t>
      </w:r>
      <w:r>
        <w:rPr>
          <w:vertAlign w:val="superscript"/>
        </w:rPr>
        <w:t>3</w:t>
      </w:r>
      <w:r w:rsidRPr="00D02A2F">
        <w:t>, Jairo A. Rubio</w:t>
      </w:r>
      <w:r>
        <w:rPr>
          <w:vertAlign w:val="superscript"/>
        </w:rPr>
        <w:t>3</w:t>
      </w:r>
      <w:r w:rsidRPr="00D02A2F">
        <w:t>, Miguel Jiménez-Ríos</w:t>
      </w:r>
      <w:r w:rsidRPr="00D02A2F">
        <w:rPr>
          <w:vertAlign w:val="superscript"/>
        </w:rPr>
        <w:t>4</w:t>
      </w:r>
      <w:r w:rsidRPr="00D02A2F">
        <w:t>, Luis A. Herrera</w:t>
      </w:r>
      <w:r w:rsidRPr="00D02A2F">
        <w:rPr>
          <w:vertAlign w:val="superscript"/>
        </w:rPr>
        <w:t>5</w:t>
      </w:r>
      <w:r w:rsidRPr="00D02A2F">
        <w:t>, Anna Scavuzzo</w:t>
      </w:r>
      <w:r w:rsidRPr="00D02A2F">
        <w:rPr>
          <w:vertAlign w:val="superscript"/>
        </w:rPr>
        <w:t>4</w:t>
      </w:r>
      <w:r w:rsidRPr="00D02A2F">
        <w:t>, Abelardo Meneses-García</w:t>
      </w:r>
      <w:r>
        <w:rPr>
          <w:vertAlign w:val="superscript"/>
        </w:rPr>
        <w:t>7</w:t>
      </w:r>
      <w:r w:rsidRPr="00D02A2F">
        <w:t>, Ricardo Hernández-Martínez</w:t>
      </w:r>
      <w:r w:rsidRPr="00D02A2F">
        <w:rPr>
          <w:vertAlign w:val="superscript"/>
        </w:rPr>
        <w:t>3</w:t>
      </w:r>
      <w:r w:rsidRPr="00D02A2F">
        <w:t>, Felipe Vaca-Paniagua</w:t>
      </w:r>
      <w:r>
        <w:rPr>
          <w:vertAlign w:val="superscript"/>
        </w:rPr>
        <w:t>8</w:t>
      </w:r>
      <w:r w:rsidRPr="00D02A2F">
        <w:t>, Andrea Ramírez</w:t>
      </w:r>
      <w:r>
        <w:rPr>
          <w:vertAlign w:val="superscript"/>
        </w:rPr>
        <w:t>9</w:t>
      </w:r>
      <w:r w:rsidRPr="00D02A2F">
        <w:t>,</w:t>
      </w:r>
      <w:r>
        <w:t xml:space="preserve"> </w:t>
      </w:r>
      <w:r w:rsidR="00792696">
        <w:t>Alicia Orozco</w:t>
      </w:r>
      <w:r>
        <w:rPr>
          <w:vertAlign w:val="superscript"/>
        </w:rPr>
        <w:t>9</w:t>
      </w:r>
      <w:r w:rsidRPr="00D02A2F">
        <w:t>, David Cantú-de-León</w:t>
      </w:r>
      <w:r w:rsidRPr="00D02A2F">
        <w:rPr>
          <w:vertAlign w:val="superscript"/>
        </w:rPr>
        <w:t>6</w:t>
      </w:r>
      <w:r w:rsidRPr="00D02A2F">
        <w:t>,</w:t>
      </w:r>
      <w:r>
        <w:t xml:space="preserve"> </w:t>
      </w:r>
      <w:r w:rsidRPr="00D02A2F">
        <w:t>Diddier Prada</w:t>
      </w:r>
      <w:r w:rsidR="00792696">
        <w:rPr>
          <w:vertAlign w:val="superscript"/>
        </w:rPr>
        <w:t>3</w:t>
      </w:r>
      <w:r w:rsidR="00792696" w:rsidRPr="00D02A2F">
        <w:rPr>
          <w:vertAlign w:val="superscript"/>
        </w:rPr>
        <w:t>,</w:t>
      </w:r>
      <w:r w:rsidR="00792696">
        <w:rPr>
          <w:vertAlign w:val="superscript"/>
        </w:rPr>
        <w:t>10</w:t>
      </w:r>
      <w:r w:rsidR="000F2622">
        <w:t>.</w:t>
      </w:r>
    </w:p>
    <w:p w14:paraId="730F9111" w14:textId="77777777" w:rsidR="00B96713" w:rsidRDefault="00B96713" w:rsidP="00B96713">
      <w:pPr>
        <w:jc w:val="center"/>
        <w:rPr>
          <w:lang w:val="en-US"/>
        </w:rPr>
      </w:pPr>
      <w:r w:rsidRPr="009D1AF3">
        <w:rPr>
          <w:noProof/>
        </w:rPr>
        <w:lastRenderedPageBreak/>
        <w:drawing>
          <wp:inline distT="0" distB="0" distL="0" distR="0" wp14:anchorId="42FA2E1F" wp14:editId="33BE7568">
            <wp:extent cx="4397433" cy="7453800"/>
            <wp:effectExtent l="0" t="0" r="0" b="1270"/>
            <wp:docPr id="4" name="Imagen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Diagram&#10;&#10;Description automatically generated"/>
                    <pic:cNvPicPr>
                      <a:picLocks noChangeAspect="1"/>
                    </pic:cNvPicPr>
                  </pic:nvPicPr>
                  <pic:blipFill>
                    <a:blip r:embed="rId6"/>
                    <a:stretch>
                      <a:fillRect/>
                    </a:stretch>
                  </pic:blipFill>
                  <pic:spPr>
                    <a:xfrm>
                      <a:off x="0" y="0"/>
                      <a:ext cx="4422317" cy="7495979"/>
                    </a:xfrm>
                    <a:prstGeom prst="rect">
                      <a:avLst/>
                    </a:prstGeom>
                  </pic:spPr>
                </pic:pic>
              </a:graphicData>
            </a:graphic>
          </wp:inline>
        </w:drawing>
      </w:r>
    </w:p>
    <w:p w14:paraId="373D3A81" w14:textId="790D16FA" w:rsidR="00B96713" w:rsidRPr="001F4837" w:rsidRDefault="00B96713" w:rsidP="00B96713">
      <w:pPr>
        <w:pStyle w:val="MDPI51figurecaption"/>
        <w:suppressAutoHyphens/>
        <w:ind w:left="0"/>
        <w:rPr>
          <w:rStyle w:val="MDPI31textCar"/>
        </w:rPr>
      </w:pPr>
      <w:r w:rsidRPr="001F4837">
        <w:rPr>
          <w:rFonts w:eastAsiaTheme="minorEastAsia"/>
          <w:sz w:val="20"/>
        </w:rPr>
        <w:t xml:space="preserve">Supplementary </w:t>
      </w:r>
      <w:r>
        <w:rPr>
          <w:rFonts w:eastAsiaTheme="minorEastAsia"/>
          <w:sz w:val="20"/>
        </w:rPr>
        <w:t>S1</w:t>
      </w:r>
      <w:r w:rsidRPr="001F4837">
        <w:rPr>
          <w:rFonts w:eastAsiaTheme="minorEastAsia"/>
          <w:sz w:val="20"/>
        </w:rPr>
        <w:t>. Overall survival of the patients with bladder cancer with other clinical features. a) Kaplan-Meier curve of the overall survival</w:t>
      </w:r>
      <w:r w:rsidRPr="001F4837">
        <w:rPr>
          <w:sz w:val="20"/>
        </w:rPr>
        <w:t xml:space="preserve"> </w:t>
      </w:r>
      <w:r w:rsidRPr="001F4837">
        <w:rPr>
          <w:rFonts w:eastAsiaTheme="minorEastAsia"/>
          <w:sz w:val="20"/>
        </w:rPr>
        <w:t xml:space="preserve">by histological grade of histological, b) smokers and c) sex. </w:t>
      </w:r>
      <w:r w:rsidRPr="001F4837">
        <w:rPr>
          <w:rFonts w:eastAsiaTheme="minorHAnsi" w:cstheme="minorBidi"/>
          <w:sz w:val="20"/>
          <w:lang w:eastAsia="en-US"/>
        </w:rPr>
        <w:t>No signific</w:t>
      </w:r>
      <w:r w:rsidRPr="001F4837">
        <w:rPr>
          <w:sz w:val="20"/>
        </w:rPr>
        <w:t>ant differences exist using</w:t>
      </w:r>
      <w:r w:rsidRPr="001F4837">
        <w:rPr>
          <w:i/>
          <w:sz w:val="20"/>
        </w:rPr>
        <w:t xml:space="preserve"> </w:t>
      </w:r>
      <w:r w:rsidRPr="00792696">
        <w:rPr>
          <w:sz w:val="20"/>
        </w:rPr>
        <w:t>the</w:t>
      </w:r>
      <w:r>
        <w:rPr>
          <w:rStyle w:val="MDPI31textCar"/>
        </w:rPr>
        <w:t xml:space="preserve"> </w:t>
      </w:r>
      <w:r w:rsidRPr="001F4837">
        <w:rPr>
          <w:rStyle w:val="MDPI31textCar"/>
        </w:rPr>
        <w:t>Log Rank test</w:t>
      </w:r>
      <w:r>
        <w:rPr>
          <w:rStyle w:val="MDPI31textCar"/>
        </w:rPr>
        <w:t>.</w:t>
      </w:r>
    </w:p>
    <w:p w14:paraId="693349B2" w14:textId="6F9F2247" w:rsidR="00B96713" w:rsidRPr="003B261D" w:rsidRDefault="00B96713" w:rsidP="002D56E8">
      <w:pPr>
        <w:rPr>
          <w:lang w:val="es-ES"/>
        </w:rPr>
      </w:pPr>
    </w:p>
    <w:p w14:paraId="46F2FE38" w14:textId="77777777" w:rsidR="00B96713" w:rsidRDefault="00B96713" w:rsidP="002D56E8"/>
    <w:p w14:paraId="432BDB63" w14:textId="77777777" w:rsidR="00081F88" w:rsidRDefault="009D1AF3" w:rsidP="002D56E8">
      <w:r w:rsidRPr="009D1AF3">
        <w:rPr>
          <w:noProof/>
        </w:rPr>
        <w:drawing>
          <wp:inline distT="0" distB="0" distL="0" distR="0" wp14:anchorId="428EC457" wp14:editId="7A0F07EE">
            <wp:extent cx="5612130" cy="4384040"/>
            <wp:effectExtent l="0" t="0" r="762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7"/>
                    <a:stretch>
                      <a:fillRect/>
                    </a:stretch>
                  </pic:blipFill>
                  <pic:spPr>
                    <a:xfrm>
                      <a:off x="0" y="0"/>
                      <a:ext cx="5612130" cy="4384040"/>
                    </a:xfrm>
                    <a:prstGeom prst="rect">
                      <a:avLst/>
                    </a:prstGeom>
                  </pic:spPr>
                </pic:pic>
              </a:graphicData>
            </a:graphic>
          </wp:inline>
        </w:drawing>
      </w:r>
    </w:p>
    <w:p w14:paraId="048C416E" w14:textId="77777777" w:rsidR="00081F88" w:rsidRDefault="00081F88" w:rsidP="002D56E8"/>
    <w:p w14:paraId="13B6D1FC" w14:textId="1A2C4683" w:rsidR="002D56E8" w:rsidRPr="001F4837" w:rsidRDefault="002D56E8" w:rsidP="002D56E8">
      <w:pPr>
        <w:rPr>
          <w:rFonts w:ascii="Palatino Linotype" w:hAnsi="Palatino Linotype"/>
          <w:sz w:val="20"/>
          <w:szCs w:val="20"/>
          <w:lang w:val="en-US"/>
        </w:rPr>
      </w:pPr>
      <w:r w:rsidRPr="001F4837">
        <w:rPr>
          <w:rFonts w:ascii="Palatino Linotype" w:hAnsi="Palatino Linotype"/>
          <w:sz w:val="20"/>
          <w:szCs w:val="20"/>
          <w:lang w:val="en-US"/>
        </w:rPr>
        <w:t>Supplementary S</w:t>
      </w:r>
      <w:r w:rsidR="00B96713">
        <w:rPr>
          <w:rFonts w:ascii="Palatino Linotype" w:hAnsi="Palatino Linotype"/>
          <w:sz w:val="20"/>
          <w:szCs w:val="20"/>
          <w:lang w:val="en-US"/>
        </w:rPr>
        <w:t>2</w:t>
      </w:r>
      <w:r w:rsidRPr="001F4837">
        <w:rPr>
          <w:rFonts w:ascii="Palatino Linotype" w:hAnsi="Palatino Linotype"/>
          <w:sz w:val="20"/>
          <w:szCs w:val="20"/>
          <w:lang w:val="en-US"/>
        </w:rPr>
        <w:t xml:space="preserve">: Relationship between TMB value and clinical features. a) Comparison of TMB value with the muscular invasion. In red when the muscular invasion is present (Muscle Invasive Bladder Cancer). In blue without muscular invasion (Non-Muscle Invasive Bladder Cancer) b) Comparison of TMB value with histological grade. c) Comparison of TMB value if the people are smokers or not. D) Comparison of TMB value by sex. Each dot shows individual data. </w:t>
      </w:r>
      <w:r w:rsidRPr="001F4837">
        <w:rPr>
          <w:rFonts w:ascii="Palatino Linotype" w:hAnsi="Palatino Linotype"/>
          <w:i/>
          <w:sz w:val="20"/>
          <w:szCs w:val="20"/>
          <w:lang w:val="en-US"/>
        </w:rPr>
        <w:t>p-</w:t>
      </w:r>
      <w:r w:rsidRPr="00792696">
        <w:rPr>
          <w:rFonts w:ascii="Palatino Linotype" w:hAnsi="Palatino Linotype"/>
          <w:sz w:val="20"/>
          <w:szCs w:val="20"/>
          <w:lang w:val="en-US"/>
        </w:rPr>
        <w:t>values</w:t>
      </w:r>
      <w:r w:rsidRPr="001F4837">
        <w:rPr>
          <w:rFonts w:ascii="Palatino Linotype" w:hAnsi="Palatino Linotype"/>
          <w:sz w:val="20"/>
          <w:szCs w:val="20"/>
          <w:lang w:val="en-US"/>
        </w:rPr>
        <w:t xml:space="preserve"> were calculated using</w:t>
      </w:r>
      <w:r w:rsidR="00D80A20" w:rsidRPr="001F4837">
        <w:rPr>
          <w:rFonts w:ascii="Palatino Linotype" w:hAnsi="Palatino Linotype"/>
          <w:sz w:val="20"/>
          <w:szCs w:val="20"/>
          <w:lang w:val="en-US"/>
        </w:rPr>
        <w:t xml:space="preserve"> the Mann-Whitney U test</w:t>
      </w:r>
      <w:r w:rsidRPr="001F4837">
        <w:rPr>
          <w:rFonts w:ascii="Palatino Linotype" w:hAnsi="Palatino Linotype"/>
          <w:sz w:val="20"/>
          <w:szCs w:val="20"/>
          <w:lang w:val="en-US"/>
        </w:rPr>
        <w:t xml:space="preserve">.  </w:t>
      </w:r>
      <w:r w:rsidRPr="001F4837">
        <w:rPr>
          <w:rFonts w:ascii="Palatino Linotype" w:hAnsi="Palatino Linotype"/>
          <w:sz w:val="20"/>
          <w:szCs w:val="20"/>
          <w:lang w:val="en-US"/>
        </w:rPr>
        <w:tab/>
      </w:r>
    </w:p>
    <w:p w14:paraId="67A26CCA" w14:textId="77777777" w:rsidR="002D56E8" w:rsidRDefault="002D56E8">
      <w:pPr>
        <w:rPr>
          <w:lang w:val="en-US"/>
        </w:rPr>
      </w:pPr>
    </w:p>
    <w:p w14:paraId="5D345CB8" w14:textId="77777777" w:rsidR="002D56E8" w:rsidRDefault="002D56E8">
      <w:pPr>
        <w:rPr>
          <w:lang w:val="en-US"/>
        </w:rPr>
      </w:pPr>
    </w:p>
    <w:p w14:paraId="3CD5E8CB" w14:textId="77777777" w:rsidR="00081F88" w:rsidRDefault="00081F88">
      <w:pPr>
        <w:rPr>
          <w:lang w:val="en-US"/>
        </w:rPr>
      </w:pPr>
      <w:r w:rsidRPr="00C83BD0">
        <w:rPr>
          <w:noProof/>
          <w:lang w:eastAsia="es-MX"/>
        </w:rPr>
        <w:lastRenderedPageBreak/>
        <w:drawing>
          <wp:anchor distT="0" distB="0" distL="114300" distR="114300" simplePos="0" relativeHeight="251659264" behindDoc="0" locked="0" layoutInCell="1" allowOverlap="1" wp14:anchorId="2DB03CDC" wp14:editId="5D1B8016">
            <wp:simplePos x="0" y="0"/>
            <wp:positionH relativeFrom="column">
              <wp:posOffset>0</wp:posOffset>
            </wp:positionH>
            <wp:positionV relativeFrom="paragraph">
              <wp:posOffset>285750</wp:posOffset>
            </wp:positionV>
            <wp:extent cx="6410960" cy="5769719"/>
            <wp:effectExtent l="0" t="0" r="8890" b="254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10960" cy="5769719"/>
                    </a:xfrm>
                    <a:prstGeom prst="rect">
                      <a:avLst/>
                    </a:prstGeom>
                  </pic:spPr>
                </pic:pic>
              </a:graphicData>
            </a:graphic>
          </wp:anchor>
        </w:drawing>
      </w:r>
    </w:p>
    <w:p w14:paraId="75508770" w14:textId="77777777" w:rsidR="00081F88" w:rsidRDefault="00081F88">
      <w:pPr>
        <w:rPr>
          <w:lang w:val="en-US"/>
        </w:rPr>
      </w:pPr>
    </w:p>
    <w:p w14:paraId="2D68CFC5" w14:textId="71E130C4" w:rsidR="00C83BD0" w:rsidRPr="001F4837" w:rsidRDefault="00C83BD0" w:rsidP="00C83BD0">
      <w:pPr>
        <w:spacing w:after="0" w:line="240" w:lineRule="auto"/>
        <w:rPr>
          <w:rFonts w:ascii="Palatino Linotype" w:hAnsi="Palatino Linotype"/>
          <w:sz w:val="20"/>
          <w:szCs w:val="20"/>
          <w:lang w:val="en-US"/>
        </w:rPr>
      </w:pPr>
      <w:r w:rsidRPr="001F4837">
        <w:rPr>
          <w:rFonts w:ascii="Palatino Linotype" w:hAnsi="Palatino Linotype"/>
          <w:sz w:val="20"/>
          <w:szCs w:val="20"/>
          <w:lang w:val="en-US"/>
        </w:rPr>
        <w:t xml:space="preserve">Supplementary </w:t>
      </w:r>
      <w:r w:rsidR="00B96713">
        <w:rPr>
          <w:rFonts w:ascii="Palatino Linotype" w:hAnsi="Palatino Linotype"/>
          <w:sz w:val="20"/>
          <w:szCs w:val="20"/>
          <w:lang w:val="en-US"/>
        </w:rPr>
        <w:t>S2</w:t>
      </w:r>
      <w:r w:rsidRPr="001F4837">
        <w:rPr>
          <w:rFonts w:ascii="Palatino Linotype" w:hAnsi="Palatino Linotype"/>
          <w:sz w:val="20"/>
          <w:szCs w:val="20"/>
          <w:lang w:val="en-US"/>
        </w:rPr>
        <w:t xml:space="preserve">: Association between mutational signature contribution and clinical characteristics of patients with bladder cancer of the SBS01, SBS02, SBS05, SBS13, and SBS016. Watch the mutation SB05 is statistically significant with previous reports.  Each dot shows individual data. </w:t>
      </w:r>
      <w:r w:rsidRPr="00792696">
        <w:rPr>
          <w:rFonts w:ascii="Palatino Linotype" w:hAnsi="Palatino Linotype"/>
          <w:i/>
          <w:sz w:val="20"/>
          <w:szCs w:val="20"/>
          <w:lang w:val="en-US"/>
        </w:rPr>
        <w:t>p</w:t>
      </w:r>
      <w:r w:rsidRPr="001F4837">
        <w:rPr>
          <w:rFonts w:ascii="Palatino Linotype" w:hAnsi="Palatino Linotype"/>
          <w:sz w:val="20"/>
          <w:szCs w:val="20"/>
          <w:lang w:val="en-US"/>
        </w:rPr>
        <w:t xml:space="preserve">-values were calculated using the Mann-Whitney U test. </w:t>
      </w:r>
    </w:p>
    <w:p w14:paraId="28F78A9D" w14:textId="77777777" w:rsidR="002D56E8" w:rsidRDefault="002D56E8">
      <w:pPr>
        <w:rPr>
          <w:lang w:val="en-US"/>
        </w:rPr>
      </w:pPr>
    </w:p>
    <w:p w14:paraId="3B8D7EE7" w14:textId="77777777" w:rsidR="00EC62DC" w:rsidRDefault="00EC62DC">
      <w:pPr>
        <w:rPr>
          <w:lang w:val="en-US"/>
        </w:rPr>
      </w:pPr>
    </w:p>
    <w:p w14:paraId="3E4A43E7" w14:textId="77777777" w:rsidR="00EC62DC" w:rsidRDefault="00EC62DC">
      <w:pPr>
        <w:rPr>
          <w:lang w:val="en-US"/>
        </w:rPr>
      </w:pPr>
    </w:p>
    <w:p w14:paraId="1B37B105" w14:textId="77777777" w:rsidR="00B61CD8" w:rsidRPr="002D56E8" w:rsidRDefault="00B61CD8" w:rsidP="00B61CD8">
      <w:pPr>
        <w:rPr>
          <w:lang w:val="en-US"/>
        </w:rPr>
      </w:pPr>
    </w:p>
    <w:sectPr w:rsidR="00B61CD8" w:rsidRPr="002D56E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AA58" w14:textId="77777777" w:rsidR="00095D61" w:rsidRDefault="00095D61" w:rsidP="00081F88">
      <w:pPr>
        <w:spacing w:after="0" w:line="240" w:lineRule="auto"/>
      </w:pPr>
      <w:r>
        <w:separator/>
      </w:r>
    </w:p>
  </w:endnote>
  <w:endnote w:type="continuationSeparator" w:id="0">
    <w:p w14:paraId="446F950B" w14:textId="77777777" w:rsidR="00095D61" w:rsidRDefault="00095D61" w:rsidP="0008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995C" w14:textId="77777777" w:rsidR="00095D61" w:rsidRDefault="00095D61" w:rsidP="00081F88">
      <w:pPr>
        <w:spacing w:after="0" w:line="240" w:lineRule="auto"/>
      </w:pPr>
      <w:r>
        <w:separator/>
      </w:r>
    </w:p>
  </w:footnote>
  <w:footnote w:type="continuationSeparator" w:id="0">
    <w:p w14:paraId="3BF91D15" w14:textId="77777777" w:rsidR="00095D61" w:rsidRDefault="00095D61" w:rsidP="00081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02"/>
    <w:rsid w:val="00081F88"/>
    <w:rsid w:val="00095D61"/>
    <w:rsid w:val="000F2622"/>
    <w:rsid w:val="001F4837"/>
    <w:rsid w:val="002D56E8"/>
    <w:rsid w:val="003B261D"/>
    <w:rsid w:val="003E213D"/>
    <w:rsid w:val="00492C0A"/>
    <w:rsid w:val="00555006"/>
    <w:rsid w:val="00601B38"/>
    <w:rsid w:val="006512CD"/>
    <w:rsid w:val="006B69B0"/>
    <w:rsid w:val="00792696"/>
    <w:rsid w:val="007D7F8C"/>
    <w:rsid w:val="009D1AF3"/>
    <w:rsid w:val="00AE138B"/>
    <w:rsid w:val="00AE7CEE"/>
    <w:rsid w:val="00B06302"/>
    <w:rsid w:val="00B61CD8"/>
    <w:rsid w:val="00B96713"/>
    <w:rsid w:val="00C83BD0"/>
    <w:rsid w:val="00CD61E2"/>
    <w:rsid w:val="00D803CF"/>
    <w:rsid w:val="00D80A20"/>
    <w:rsid w:val="00E01DC5"/>
    <w:rsid w:val="00EC6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C2E0"/>
  <w15:chartTrackingRefBased/>
  <w15:docId w15:val="{543B01B7-EF60-42B3-A220-D48AE266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F88"/>
    <w:pPr>
      <w:tabs>
        <w:tab w:val="center" w:pos="4419"/>
        <w:tab w:val="right" w:pos="8838"/>
      </w:tabs>
      <w:spacing w:after="0" w:line="240" w:lineRule="auto"/>
    </w:pPr>
  </w:style>
  <w:style w:type="character" w:customStyle="1" w:styleId="HeaderChar">
    <w:name w:val="Header Char"/>
    <w:basedOn w:val="DefaultParagraphFont"/>
    <w:link w:val="Header"/>
    <w:uiPriority w:val="99"/>
    <w:rsid w:val="00081F88"/>
  </w:style>
  <w:style w:type="paragraph" w:styleId="Footer">
    <w:name w:val="footer"/>
    <w:basedOn w:val="Normal"/>
    <w:link w:val="FooterChar"/>
    <w:uiPriority w:val="99"/>
    <w:unhideWhenUsed/>
    <w:rsid w:val="00081F88"/>
    <w:pPr>
      <w:tabs>
        <w:tab w:val="center" w:pos="4419"/>
        <w:tab w:val="right" w:pos="8838"/>
      </w:tabs>
      <w:spacing w:after="0" w:line="240" w:lineRule="auto"/>
    </w:pPr>
  </w:style>
  <w:style w:type="character" w:customStyle="1" w:styleId="FooterChar">
    <w:name w:val="Footer Char"/>
    <w:basedOn w:val="DefaultParagraphFont"/>
    <w:link w:val="Footer"/>
    <w:uiPriority w:val="99"/>
    <w:rsid w:val="00081F88"/>
  </w:style>
  <w:style w:type="paragraph" w:customStyle="1" w:styleId="MDPI11articletype">
    <w:name w:val="MDPI_1.1_article_type"/>
    <w:next w:val="Normal"/>
    <w:qFormat/>
    <w:rsid w:val="00081F88"/>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Normal"/>
    <w:qFormat/>
    <w:rsid w:val="00081F88"/>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styleId="NormalWeb">
    <w:name w:val="Normal (Web)"/>
    <w:basedOn w:val="Normal"/>
    <w:uiPriority w:val="99"/>
    <w:semiHidden/>
    <w:unhideWhenUsed/>
    <w:rsid w:val="00B61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DPI31text">
    <w:name w:val="MDPI_3.1_text"/>
    <w:link w:val="MDPI31textCar"/>
    <w:qFormat/>
    <w:rsid w:val="00601B38"/>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51figurecaption">
    <w:name w:val="MDPI_5.1_figure_caption"/>
    <w:qFormat/>
    <w:rsid w:val="00601B38"/>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character" w:customStyle="1" w:styleId="MDPI31textCar">
    <w:name w:val="MDPI_3.1_text Car"/>
    <w:basedOn w:val="DefaultParagraphFont"/>
    <w:link w:val="MDPI31text"/>
    <w:rsid w:val="00601B38"/>
    <w:rPr>
      <w:rFonts w:ascii="Palatino Linotype" w:eastAsia="Times New Roman" w:hAnsi="Palatino Linotype" w:cs="Times New Roman"/>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4342">
      <w:bodyDiv w:val="1"/>
      <w:marLeft w:val="0"/>
      <w:marRight w:val="0"/>
      <w:marTop w:val="0"/>
      <w:marBottom w:val="0"/>
      <w:divBdr>
        <w:top w:val="none" w:sz="0" w:space="0" w:color="auto"/>
        <w:left w:val="none" w:sz="0" w:space="0" w:color="auto"/>
        <w:bottom w:val="none" w:sz="0" w:space="0" w:color="auto"/>
        <w:right w:val="none" w:sz="0" w:space="0" w:color="auto"/>
      </w:divBdr>
    </w:div>
    <w:div w:id="1181159559">
      <w:bodyDiv w:val="1"/>
      <w:marLeft w:val="0"/>
      <w:marRight w:val="0"/>
      <w:marTop w:val="0"/>
      <w:marBottom w:val="0"/>
      <w:divBdr>
        <w:top w:val="none" w:sz="0" w:space="0" w:color="auto"/>
        <w:left w:val="none" w:sz="0" w:space="0" w:color="auto"/>
        <w:bottom w:val="none" w:sz="0" w:space="0" w:color="auto"/>
        <w:right w:val="none" w:sz="0" w:space="0" w:color="auto"/>
      </w:divBdr>
    </w:div>
    <w:div w:id="1328678428">
      <w:bodyDiv w:val="1"/>
      <w:marLeft w:val="0"/>
      <w:marRight w:val="0"/>
      <w:marTop w:val="0"/>
      <w:marBottom w:val="0"/>
      <w:divBdr>
        <w:top w:val="none" w:sz="0" w:space="0" w:color="auto"/>
        <w:left w:val="none" w:sz="0" w:space="0" w:color="auto"/>
        <w:bottom w:val="none" w:sz="0" w:space="0" w:color="auto"/>
        <w:right w:val="none" w:sz="0" w:space="0" w:color="auto"/>
      </w:divBdr>
    </w:div>
    <w:div w:id="15494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1391</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RH</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Prada Ortega, Diddier G.</cp:lastModifiedBy>
  <cp:revision>2</cp:revision>
  <dcterms:created xsi:type="dcterms:W3CDTF">2022-10-23T19:56:00Z</dcterms:created>
  <dcterms:modified xsi:type="dcterms:W3CDTF">2022-10-23T19:56:00Z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90f7ea78-f4c0-47f3-82a6-4ed12ce0ac24</vt:lpwstr>
  </property>
</Properties>
</file>