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5E4B1" w14:textId="66D7A0CB" w:rsidR="00542C0A" w:rsidRPr="00525E91" w:rsidRDefault="001C3B9C" w:rsidP="55A8B799">
      <w:pPr>
        <w:spacing w:before="360"/>
        <w:rPr>
          <w:rFonts w:ascii="Palatino Linotype" w:eastAsia="Times New Roman" w:hAnsi="Palatino Linotype" w:cs="Times New Roman"/>
          <w:b/>
          <w:bCs/>
          <w:snapToGrid w:val="0"/>
          <w:sz w:val="20"/>
          <w:szCs w:val="20"/>
          <w:lang w:val="en-US" w:eastAsia="de-DE" w:bidi="en-US"/>
        </w:rPr>
      </w:pPr>
      <w:r w:rsidRPr="00525E91">
        <w:rPr>
          <w:rFonts w:ascii="Palatino Linotype" w:eastAsia="Times New Roman" w:hAnsi="Palatino Linotype" w:cs="Times New Roman"/>
          <w:b/>
          <w:bCs/>
          <w:snapToGrid w:val="0"/>
          <w:sz w:val="20"/>
          <w:szCs w:val="20"/>
          <w:lang w:val="en-US" w:eastAsia="de-DE" w:bidi="en-US"/>
        </w:rPr>
        <w:t>Supplementary Data</w:t>
      </w:r>
    </w:p>
    <w:p w14:paraId="78A7A37B" w14:textId="2DBC4F2E" w:rsidR="0062591A" w:rsidRPr="00525E91" w:rsidRDefault="0062591A" w:rsidP="001C3B9C">
      <w:pPr>
        <w:spacing w:before="360"/>
        <w:rPr>
          <w:rFonts w:ascii="Palatino Linotype" w:eastAsia="Times New Roman" w:hAnsi="Palatino Linotype" w:cs="Times New Roman"/>
          <w:b/>
          <w:snapToGrid w:val="0"/>
          <w:sz w:val="20"/>
          <w:lang w:val="en-US" w:eastAsia="de-DE" w:bidi="en-US"/>
        </w:rPr>
      </w:pPr>
      <w:r w:rsidRPr="00525E91">
        <w:rPr>
          <w:rFonts w:ascii="Palatino Linotype" w:eastAsia="Times New Roman" w:hAnsi="Palatino Linotype" w:cs="Times New Roman"/>
          <w:b/>
          <w:noProof/>
          <w:snapToGrid w:val="0"/>
          <w:sz w:val="20"/>
          <w:lang w:val="en-US" w:eastAsia="de-DE" w:bidi="en-US"/>
        </w:rPr>
        <w:drawing>
          <wp:inline distT="0" distB="0" distL="0" distR="0" wp14:anchorId="37047779" wp14:editId="47AA42BA">
            <wp:extent cx="4545370" cy="6772275"/>
            <wp:effectExtent l="0" t="0" r="7620" b="0"/>
            <wp:docPr id="146399518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531" cy="6800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5FA8B" w14:textId="2849EE3E" w:rsidR="009371FC" w:rsidRPr="00525E91" w:rsidRDefault="009371FC" w:rsidP="55A8B799">
      <w:pPr>
        <w:pStyle w:val="MDPI51figurecaption"/>
        <w:ind w:left="0"/>
        <w:rPr>
          <w:color w:val="auto"/>
        </w:rPr>
      </w:pPr>
      <w:bookmarkStart w:id="0" w:name="_Hlk111804155"/>
      <w:r w:rsidRPr="00525E91">
        <w:rPr>
          <w:b/>
          <w:bCs/>
          <w:color w:val="auto"/>
        </w:rPr>
        <w:t xml:space="preserve">Figure </w:t>
      </w:r>
      <w:r w:rsidR="00A154FF" w:rsidRPr="00525E91">
        <w:rPr>
          <w:b/>
          <w:bCs/>
          <w:color w:val="auto"/>
        </w:rPr>
        <w:t>S</w:t>
      </w:r>
      <w:r w:rsidRPr="00525E91">
        <w:rPr>
          <w:b/>
          <w:bCs/>
          <w:color w:val="auto"/>
        </w:rPr>
        <w:t>1. Effect of DUX4 induction on LHCN</w:t>
      </w:r>
      <w:r w:rsidR="69ED70DE" w:rsidRPr="00525E91">
        <w:rPr>
          <w:b/>
          <w:bCs/>
          <w:color w:val="auto"/>
        </w:rPr>
        <w:t>-</w:t>
      </w:r>
      <w:r w:rsidR="1D85B2A7" w:rsidRPr="00525E91">
        <w:rPr>
          <w:b/>
          <w:bCs/>
          <w:color w:val="auto"/>
        </w:rPr>
        <w:t>M2</w:t>
      </w:r>
      <w:r w:rsidRPr="00525E91">
        <w:rPr>
          <w:b/>
          <w:bCs/>
          <w:color w:val="auto"/>
        </w:rPr>
        <w:t xml:space="preserve"> and LHCN</w:t>
      </w:r>
      <w:r w:rsidR="50BDFBA9" w:rsidRPr="00525E91">
        <w:rPr>
          <w:b/>
          <w:bCs/>
          <w:color w:val="auto"/>
        </w:rPr>
        <w:t>-M2</w:t>
      </w:r>
      <w:r w:rsidRPr="00525E91">
        <w:rPr>
          <w:b/>
          <w:bCs/>
          <w:color w:val="auto"/>
        </w:rPr>
        <w:t xml:space="preserve"> iDUX4 cell viability</w:t>
      </w:r>
      <w:r w:rsidRPr="00525E91">
        <w:rPr>
          <w:color w:val="auto"/>
        </w:rPr>
        <w:t xml:space="preserve">. </w:t>
      </w:r>
      <w:r w:rsidRPr="00525E91">
        <w:rPr>
          <w:b/>
          <w:bCs/>
          <w:color w:val="auto"/>
        </w:rPr>
        <w:t>A-D</w:t>
      </w:r>
      <w:r w:rsidRPr="00525E91">
        <w:rPr>
          <w:color w:val="auto"/>
        </w:rPr>
        <w:t>. MTT (A-B) and</w:t>
      </w:r>
      <w:r w:rsidRPr="00525E91">
        <w:rPr>
          <w:b/>
          <w:bCs/>
          <w:color w:val="auto"/>
        </w:rPr>
        <w:t xml:space="preserve"> </w:t>
      </w:r>
      <w:r w:rsidRPr="00525E91">
        <w:rPr>
          <w:color w:val="auto"/>
        </w:rPr>
        <w:t>CCK8 (C-D) tests were performed 24h after induction of DUX4 expression with increasing doses of doxycycline (DOX, ng/ml).</w:t>
      </w:r>
      <w:r w:rsidR="00C05E7C" w:rsidRPr="00525E91">
        <w:rPr>
          <w:color w:val="auto"/>
        </w:rPr>
        <w:t xml:space="preserve"> </w:t>
      </w:r>
      <w:r w:rsidR="000D3149" w:rsidRPr="00525E91">
        <w:rPr>
          <w:color w:val="auto"/>
        </w:rPr>
        <w:t>M</w:t>
      </w:r>
      <w:r w:rsidR="00C05E7C" w:rsidRPr="00525E91">
        <w:rPr>
          <w:color w:val="auto"/>
        </w:rPr>
        <w:t xml:space="preserve">ean </w:t>
      </w:r>
      <w:r w:rsidR="00386BD0" w:rsidRPr="00525E91">
        <w:rPr>
          <w:color w:val="auto"/>
        </w:rPr>
        <w:t>±</w:t>
      </w:r>
      <w:r w:rsidR="00C05E7C" w:rsidRPr="00525E91">
        <w:rPr>
          <w:color w:val="auto"/>
        </w:rPr>
        <w:t xml:space="preserve"> SEM, *p&lt;0.05, **p&lt;0.01, One-way ANOVA with Holm Sidak post hoc test </w:t>
      </w:r>
      <w:r w:rsidR="00C05E7C" w:rsidRPr="00525E91">
        <w:rPr>
          <w:i/>
          <w:iCs/>
          <w:color w:val="auto"/>
        </w:rPr>
        <w:t>vs</w:t>
      </w:r>
      <w:r w:rsidR="00C05E7C" w:rsidRPr="00525E91">
        <w:rPr>
          <w:color w:val="auto"/>
        </w:rPr>
        <w:t xml:space="preserve"> control (DOX: 0 ng/ml).</w:t>
      </w:r>
      <w:r w:rsidRPr="00525E91">
        <w:rPr>
          <w:b/>
          <w:bCs/>
          <w:color w:val="auto"/>
        </w:rPr>
        <w:t xml:space="preserve"> E</w:t>
      </w:r>
      <w:r w:rsidRPr="00525E91">
        <w:rPr>
          <w:color w:val="auto"/>
        </w:rPr>
        <w:t>. Quantification of DUX4 positive (DUX4</w:t>
      </w:r>
      <w:r w:rsidRPr="00525E91">
        <w:rPr>
          <w:color w:val="auto"/>
          <w:vertAlign w:val="superscript"/>
        </w:rPr>
        <w:t>+</w:t>
      </w:r>
      <w:r w:rsidRPr="00525E91">
        <w:rPr>
          <w:color w:val="auto"/>
        </w:rPr>
        <w:t xml:space="preserve">) nuclei normalized to the total number of nuclei (DAPI) 24h after induction of DUX4 expression with increasing doses of DOX. </w:t>
      </w:r>
      <w:r w:rsidR="000D3149" w:rsidRPr="00525E91">
        <w:rPr>
          <w:color w:val="auto"/>
        </w:rPr>
        <w:t>M</w:t>
      </w:r>
      <w:r w:rsidRPr="00525E91">
        <w:rPr>
          <w:color w:val="auto"/>
        </w:rPr>
        <w:t xml:space="preserve">ean </w:t>
      </w:r>
      <w:r w:rsidR="00386BD0" w:rsidRPr="00525E91">
        <w:rPr>
          <w:color w:val="auto"/>
        </w:rPr>
        <w:t>±</w:t>
      </w:r>
      <w:r w:rsidRPr="00525E91">
        <w:rPr>
          <w:color w:val="auto"/>
        </w:rPr>
        <w:t xml:space="preserve"> SEM, *p&lt;0.05, **p&lt;0.01, </w:t>
      </w:r>
      <w:r w:rsidR="0051069B" w:rsidRPr="00525E91">
        <w:rPr>
          <w:color w:val="auto"/>
        </w:rPr>
        <w:t>One-way</w:t>
      </w:r>
      <w:r w:rsidRPr="00525E91">
        <w:rPr>
          <w:color w:val="auto"/>
        </w:rPr>
        <w:t xml:space="preserve"> ANOVA with Holm Sidak post hoc test </w:t>
      </w:r>
      <w:r w:rsidRPr="00525E91">
        <w:rPr>
          <w:i/>
          <w:iCs/>
          <w:color w:val="auto"/>
        </w:rPr>
        <w:t>vs</w:t>
      </w:r>
      <w:r w:rsidRPr="00525E91">
        <w:rPr>
          <w:color w:val="auto"/>
        </w:rPr>
        <w:t xml:space="preserve"> control (DOX: 0 ng/ml). </w:t>
      </w:r>
      <w:r w:rsidRPr="00525E91">
        <w:rPr>
          <w:b/>
          <w:bCs/>
          <w:color w:val="auto"/>
        </w:rPr>
        <w:t>F.</w:t>
      </w:r>
      <w:r w:rsidRPr="00525E91">
        <w:rPr>
          <w:color w:val="auto"/>
        </w:rPr>
        <w:t xml:space="preserve"> Representative field showing DUX4</w:t>
      </w:r>
      <w:r w:rsidRPr="00525E91">
        <w:rPr>
          <w:color w:val="auto"/>
          <w:vertAlign w:val="superscript"/>
        </w:rPr>
        <w:t>+</w:t>
      </w:r>
      <w:r w:rsidRPr="00525E91">
        <w:rPr>
          <w:color w:val="auto"/>
        </w:rPr>
        <w:t xml:space="preserve"> nuclei </w:t>
      </w:r>
      <w:r w:rsidR="20D8CE26" w:rsidRPr="00525E91">
        <w:rPr>
          <w:color w:val="auto"/>
        </w:rPr>
        <w:t xml:space="preserve">detected </w:t>
      </w:r>
      <w:r w:rsidRPr="00525E91">
        <w:rPr>
          <w:color w:val="auto"/>
        </w:rPr>
        <w:t xml:space="preserve"> by immunofluorescence</w:t>
      </w:r>
      <w:r w:rsidR="5B8B7B89" w:rsidRPr="00525E91">
        <w:rPr>
          <w:color w:val="auto"/>
        </w:rPr>
        <w:t xml:space="preserve"> (green)</w:t>
      </w:r>
      <w:r w:rsidR="04C54B93" w:rsidRPr="00525E91">
        <w:rPr>
          <w:color w:val="auto"/>
        </w:rPr>
        <w:t xml:space="preserve"> as </w:t>
      </w:r>
      <w:r w:rsidR="7EE2E750" w:rsidRPr="00525E91">
        <w:rPr>
          <w:color w:val="auto"/>
        </w:rPr>
        <w:t>described</w:t>
      </w:r>
      <w:r w:rsidR="04C54B93" w:rsidRPr="00525E91">
        <w:rPr>
          <w:color w:val="auto"/>
        </w:rPr>
        <w:t xml:space="preserve"> in Figure 1</w:t>
      </w:r>
      <w:r w:rsidRPr="00525E91">
        <w:rPr>
          <w:color w:val="auto"/>
        </w:rPr>
        <w:t xml:space="preserve">. DAPI was used to </w:t>
      </w:r>
      <w:r w:rsidR="055614BB" w:rsidRPr="00525E91">
        <w:rPr>
          <w:color w:val="auto"/>
        </w:rPr>
        <w:t>stain</w:t>
      </w:r>
      <w:r w:rsidRPr="00525E91">
        <w:rPr>
          <w:color w:val="auto"/>
        </w:rPr>
        <w:t xml:space="preserve"> nuclei (blue).</w:t>
      </w:r>
      <w:r w:rsidR="00335691" w:rsidRPr="00525E91">
        <w:rPr>
          <w:color w:val="auto"/>
        </w:rPr>
        <w:t xml:space="preserve"> Scale = 100µm.</w:t>
      </w:r>
      <w:r w:rsidRPr="00525E91">
        <w:rPr>
          <w:color w:val="auto"/>
        </w:rPr>
        <w:t xml:space="preserve"> Experiments were performed on 3 independent cultures, each in triplicate</w:t>
      </w:r>
      <w:bookmarkEnd w:id="0"/>
      <w:r w:rsidR="00012D4A" w:rsidRPr="00525E91">
        <w:rPr>
          <w:color w:val="auto"/>
        </w:rPr>
        <w:t>.</w:t>
      </w:r>
    </w:p>
    <w:p w14:paraId="6C5D7F80" w14:textId="77777777" w:rsidR="008960CE" w:rsidRPr="00525E91" w:rsidRDefault="008960CE" w:rsidP="008960CE">
      <w:pPr>
        <w:pStyle w:val="MDPI52figure"/>
        <w:rPr>
          <w:color w:val="auto"/>
        </w:rPr>
      </w:pPr>
      <w:r w:rsidRPr="00525E91">
        <w:rPr>
          <w:noProof/>
          <w:color w:val="auto"/>
        </w:rPr>
        <w:lastRenderedPageBreak/>
        <w:drawing>
          <wp:inline distT="0" distB="0" distL="0" distR="0" wp14:anchorId="5C0FE86C" wp14:editId="0E6BC6DB">
            <wp:extent cx="5688072" cy="4724400"/>
            <wp:effectExtent l="0" t="0" r="8255" b="0"/>
            <wp:docPr id="14" name="Graphique 14" descr="Une image contenant capture d’écran, Caractère coloré, ligne, fenê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que 14" descr="Une image contenant capture d’écran, Caractère coloré, ligne, fenêtr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025" cy="473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149D5" w14:textId="7168CD72" w:rsidR="008960CE" w:rsidRPr="00525E91" w:rsidRDefault="008960CE" w:rsidP="00D55792">
      <w:pPr>
        <w:pStyle w:val="MDPI51figurecaption"/>
        <w:tabs>
          <w:tab w:val="left" w:pos="2835"/>
        </w:tabs>
        <w:ind w:left="0"/>
        <w:rPr>
          <w:color w:val="auto"/>
        </w:rPr>
      </w:pPr>
      <w:r w:rsidRPr="00525E91">
        <w:rPr>
          <w:b/>
          <w:bCs/>
          <w:color w:val="auto"/>
        </w:rPr>
        <w:t xml:space="preserve">Figure </w:t>
      </w:r>
      <w:r w:rsidR="0062591A" w:rsidRPr="00525E91">
        <w:rPr>
          <w:b/>
          <w:bCs/>
          <w:color w:val="auto"/>
        </w:rPr>
        <w:t>S2</w:t>
      </w:r>
      <w:r w:rsidRPr="00525E91">
        <w:rPr>
          <w:b/>
          <w:bCs/>
          <w:color w:val="auto"/>
        </w:rPr>
        <w:t>. No effect of DUX4 expression</w:t>
      </w:r>
      <w:r w:rsidR="00B12ED8" w:rsidRPr="00525E91">
        <w:rPr>
          <w:b/>
          <w:bCs/>
          <w:color w:val="auto"/>
        </w:rPr>
        <w:t xml:space="preserve"> </w:t>
      </w:r>
      <w:r w:rsidRPr="00525E91">
        <w:rPr>
          <w:b/>
          <w:bCs/>
          <w:color w:val="auto"/>
        </w:rPr>
        <w:t xml:space="preserve">on the </w:t>
      </w:r>
      <w:r w:rsidRPr="00525E91">
        <w:rPr>
          <w:b/>
          <w:bCs/>
          <w:i/>
          <w:iCs/>
          <w:color w:val="auto"/>
        </w:rPr>
        <w:t>Hif1α</w:t>
      </w:r>
      <w:r w:rsidRPr="00525E91">
        <w:rPr>
          <w:b/>
          <w:bCs/>
          <w:color w:val="auto"/>
        </w:rPr>
        <w:t xml:space="preserve"> pathway in the DUX4 IMEP murine model with a low dose of DUX4 expression.</w:t>
      </w:r>
      <w:r w:rsidRPr="00525E91">
        <w:rPr>
          <w:color w:val="auto"/>
        </w:rPr>
        <w:t xml:space="preserve"> </w:t>
      </w:r>
      <w:r w:rsidRPr="00525E91">
        <w:rPr>
          <w:b/>
          <w:bCs/>
          <w:color w:val="auto"/>
        </w:rPr>
        <w:t>A</w:t>
      </w:r>
      <w:r w:rsidRPr="00525E91">
        <w:rPr>
          <w:color w:val="auto"/>
        </w:rPr>
        <w:t xml:space="preserve">. Experiment time courses. </w:t>
      </w:r>
      <w:r w:rsidRPr="00525E91">
        <w:rPr>
          <w:b/>
          <w:bCs/>
          <w:color w:val="auto"/>
        </w:rPr>
        <w:t>B</w:t>
      </w:r>
      <w:r w:rsidRPr="00525E91">
        <w:rPr>
          <w:color w:val="auto"/>
        </w:rPr>
        <w:t>.</w:t>
      </w:r>
      <w:r w:rsidRPr="00525E91">
        <w:rPr>
          <w:rFonts w:eastAsia="SimSun"/>
          <w:color w:val="auto"/>
          <w:sz w:val="20"/>
          <w:lang w:eastAsia="zh-CN" w:bidi="ar-SA"/>
        </w:rPr>
        <w:t xml:space="preserve"> </w:t>
      </w:r>
      <w:bookmarkStart w:id="1" w:name="_Hlk112245697"/>
      <w:r w:rsidRPr="00525E91">
        <w:rPr>
          <w:color w:val="auto"/>
        </w:rPr>
        <w:t xml:space="preserve">Representative sections of TA electroporated with 5 µg of </w:t>
      </w:r>
      <w:r w:rsidRPr="00525E91">
        <w:rPr>
          <w:i/>
          <w:iCs/>
          <w:color w:val="auto"/>
        </w:rPr>
        <w:t>pCIneo</w:t>
      </w:r>
      <w:r w:rsidRPr="00525E91">
        <w:rPr>
          <w:color w:val="auto"/>
        </w:rPr>
        <w:t xml:space="preserve"> (left column)</w:t>
      </w:r>
      <w:r w:rsidRPr="00525E91">
        <w:rPr>
          <w:i/>
          <w:iCs/>
          <w:color w:val="auto"/>
        </w:rPr>
        <w:t xml:space="preserve"> </w:t>
      </w:r>
      <w:r w:rsidRPr="00525E91">
        <w:rPr>
          <w:color w:val="auto"/>
        </w:rPr>
        <w:t xml:space="preserve">or </w:t>
      </w:r>
      <w:r w:rsidRPr="00525E91">
        <w:rPr>
          <w:i/>
          <w:iCs/>
          <w:color w:val="auto"/>
        </w:rPr>
        <w:t>pCIneo-DUX4</w:t>
      </w:r>
      <w:r w:rsidRPr="00525E91">
        <w:rPr>
          <w:color w:val="auto"/>
        </w:rPr>
        <w:t xml:space="preserve"> (right column) plasmids at 7-, 14- and 21-days post-injection. </w:t>
      </w:r>
      <w:r w:rsidRPr="00525E91">
        <w:rPr>
          <w:rFonts w:ascii="Wingdings" w:eastAsia="Wingdings" w:hAnsi="Wingdings" w:cs="Wingdings"/>
          <w:color w:val="auto"/>
        </w:rPr>
        <w:t>è</w:t>
      </w:r>
      <w:r w:rsidRPr="00525E91">
        <w:rPr>
          <w:color w:val="auto"/>
        </w:rPr>
        <w:t>Fibrosis,</w:t>
      </w:r>
      <w:r w:rsidR="00064935" w:rsidRPr="00525E91">
        <w:rPr>
          <w:color w:val="auto"/>
        </w:rPr>
        <w:t xml:space="preserve"> </w:t>
      </w:r>
      <w:r w:rsidRPr="00525E91">
        <w:rPr>
          <w:rFonts w:ascii="Wingdings" w:eastAsia="Wingdings" w:hAnsi="Wingdings" w:cs="Wingdings"/>
          <w:color w:val="auto"/>
        </w:rPr>
        <w:t>è</w:t>
      </w:r>
      <w:r w:rsidRPr="00525E91">
        <w:rPr>
          <w:color w:val="auto"/>
        </w:rPr>
        <w:t xml:space="preserve">Central nuclei, </w:t>
      </w:r>
      <w:r w:rsidRPr="00525E91">
        <w:rPr>
          <w:rFonts w:ascii="Wingdings" w:eastAsia="Wingdings" w:hAnsi="Wingdings" w:cs="Wingdings"/>
          <w:color w:val="auto"/>
        </w:rPr>
        <w:t>è</w:t>
      </w:r>
      <w:r w:rsidR="67001190" w:rsidRPr="00525E91">
        <w:rPr>
          <w:color w:val="auto"/>
        </w:rPr>
        <w:t>A</w:t>
      </w:r>
      <w:r w:rsidRPr="00525E91">
        <w:rPr>
          <w:color w:val="auto"/>
        </w:rPr>
        <w:t>trophic fibers. Scale = 100µm for 20</w:t>
      </w:r>
      <w:r w:rsidR="2F45F4E5" w:rsidRPr="00525E91">
        <w:rPr>
          <w:color w:val="auto"/>
        </w:rPr>
        <w:t>-</w:t>
      </w:r>
      <w:r w:rsidRPr="00525E91">
        <w:rPr>
          <w:color w:val="auto"/>
        </w:rPr>
        <w:t>X and 50 µm for 40</w:t>
      </w:r>
      <w:r w:rsidR="4EC27F46" w:rsidRPr="00525E91">
        <w:rPr>
          <w:color w:val="auto"/>
        </w:rPr>
        <w:t>-</w:t>
      </w:r>
      <w:r w:rsidRPr="00525E91">
        <w:rPr>
          <w:color w:val="auto"/>
        </w:rPr>
        <w:t xml:space="preserve">X magnification. </w:t>
      </w:r>
      <w:bookmarkEnd w:id="1"/>
      <w:r w:rsidRPr="00525E91">
        <w:rPr>
          <w:b/>
          <w:bCs/>
          <w:color w:val="auto"/>
        </w:rPr>
        <w:t>C</w:t>
      </w:r>
      <w:r w:rsidRPr="00525E91">
        <w:rPr>
          <w:color w:val="auto"/>
        </w:rPr>
        <w:t xml:space="preserve">. Dose–response of plasmid amount </w:t>
      </w:r>
      <w:r w:rsidRPr="00525E91">
        <w:rPr>
          <w:i/>
          <w:iCs/>
          <w:color w:val="auto"/>
        </w:rPr>
        <w:t xml:space="preserve">vs </w:t>
      </w:r>
      <w:r w:rsidRPr="00525E91">
        <w:rPr>
          <w:color w:val="auto"/>
        </w:rPr>
        <w:t>muscle lesion area in mouse TA, 1-week post-IMEP procedure. The lesion area percentage was evaluated on total cryosection of medial and proximal part of TA electroporated with different doses of a DUX4 expression plasmid (</w:t>
      </w:r>
      <w:r w:rsidRPr="00525E91">
        <w:rPr>
          <w:i/>
          <w:iCs/>
          <w:color w:val="auto"/>
        </w:rPr>
        <w:t>pCIneo-DUX4</w:t>
      </w:r>
      <w:r w:rsidRPr="00525E91">
        <w:rPr>
          <w:color w:val="auto"/>
        </w:rPr>
        <w:t xml:space="preserve">). The results obtained from saline solution injected groups and </w:t>
      </w:r>
      <w:r w:rsidRPr="00525E91">
        <w:rPr>
          <w:i/>
          <w:iCs/>
          <w:color w:val="auto"/>
        </w:rPr>
        <w:t>pCIneo</w:t>
      </w:r>
      <w:r w:rsidRPr="00525E91">
        <w:rPr>
          <w:color w:val="auto"/>
        </w:rPr>
        <w:t xml:space="preserve"> group were pooled into a single control group, as no statistical difference could be highlighted between groups </w:t>
      </w:r>
      <w:r w:rsidR="7C6D0895" w:rsidRPr="00525E91">
        <w:rPr>
          <w:color w:val="auto"/>
        </w:rPr>
        <w:t>at any</w:t>
      </w:r>
      <w:r w:rsidR="7C6D0895" w:rsidRPr="00525E91">
        <w:rPr>
          <w:b/>
          <w:bCs/>
          <w:color w:val="auto"/>
        </w:rPr>
        <w:t xml:space="preserve"> </w:t>
      </w:r>
      <w:r w:rsidRPr="00525E91">
        <w:rPr>
          <w:color w:val="auto"/>
        </w:rPr>
        <w:t xml:space="preserve">time point. * p&lt; 0,05, ** p&lt; 0,01, ***p&lt;0,001, Kruskal Wallis followed by Dunn's post hoc test. </w:t>
      </w:r>
      <w:r w:rsidRPr="00525E91">
        <w:rPr>
          <w:color w:val="auto"/>
          <w:lang w:val="pt-PT"/>
        </w:rPr>
        <w:t xml:space="preserve">Control group n=10, 0,5 µg and 1µg n=2, 5µg n=6, 10 µg n=7, 20µg n=8, 40µg n=4. </w:t>
      </w:r>
      <w:r w:rsidRPr="00525E91">
        <w:rPr>
          <w:b/>
          <w:bCs/>
          <w:color w:val="auto"/>
        </w:rPr>
        <w:t>D</w:t>
      </w:r>
      <w:r w:rsidRPr="00525E91">
        <w:rPr>
          <w:color w:val="auto"/>
        </w:rPr>
        <w:t xml:space="preserve">. Effect of DUX4 expression on </w:t>
      </w:r>
      <w:r w:rsidRPr="00525E91">
        <w:rPr>
          <w:i/>
          <w:iCs/>
          <w:color w:val="auto"/>
        </w:rPr>
        <w:t>Wfdc3</w:t>
      </w:r>
      <w:r w:rsidRPr="00525E91">
        <w:rPr>
          <w:color w:val="auto"/>
        </w:rPr>
        <w:t xml:space="preserve"> </w:t>
      </w:r>
      <w:r w:rsidRPr="00525E91">
        <w:rPr>
          <w:i/>
          <w:iCs/>
          <w:color w:val="auto"/>
        </w:rPr>
        <w:t>mRNA</w:t>
      </w:r>
      <w:r w:rsidRPr="00525E91">
        <w:rPr>
          <w:color w:val="auto"/>
        </w:rPr>
        <w:t xml:space="preserve"> level in the IMEP model. </w:t>
      </w:r>
      <w:r w:rsidR="5BBF7B2E" w:rsidRPr="00525E91">
        <w:rPr>
          <w:color w:val="auto"/>
        </w:rPr>
        <w:t xml:space="preserve">RT-qPCR </w:t>
      </w:r>
      <w:r w:rsidR="6CE9A630" w:rsidRPr="00525E91">
        <w:rPr>
          <w:color w:val="auto"/>
        </w:rPr>
        <w:t>q</w:t>
      </w:r>
      <w:r w:rsidRPr="00525E91">
        <w:rPr>
          <w:color w:val="auto"/>
        </w:rPr>
        <w:t xml:space="preserve">uantifications were normalized to </w:t>
      </w:r>
      <w:r w:rsidRPr="00525E91">
        <w:rPr>
          <w:i/>
          <w:iCs/>
          <w:color w:val="auto"/>
        </w:rPr>
        <w:t>Rplp0</w:t>
      </w:r>
      <w:r w:rsidRPr="00525E91">
        <w:rPr>
          <w:color w:val="auto"/>
        </w:rPr>
        <w:t xml:space="preserve">. * p&lt; 0,05, ** p&lt; 0,01; Kruskal Wallis followed by a Dunn’s post-hoc test. For 1- and 3-day group: </w:t>
      </w:r>
      <w:r w:rsidRPr="00525E91">
        <w:rPr>
          <w:i/>
          <w:iCs/>
          <w:color w:val="auto"/>
        </w:rPr>
        <w:t>pCIneo-DUX4</w:t>
      </w:r>
      <w:r w:rsidRPr="00525E91">
        <w:rPr>
          <w:color w:val="auto"/>
        </w:rPr>
        <w:t xml:space="preserve"> n=4, </w:t>
      </w:r>
      <w:r w:rsidRPr="00525E91">
        <w:rPr>
          <w:i/>
          <w:iCs/>
          <w:color w:val="auto"/>
        </w:rPr>
        <w:t>pCIneo</w:t>
      </w:r>
      <w:r w:rsidRPr="00525E91">
        <w:rPr>
          <w:color w:val="auto"/>
        </w:rPr>
        <w:t xml:space="preserve"> n=6, saline n=2. For 7- and 14-day groups: </w:t>
      </w:r>
      <w:r w:rsidRPr="00525E91">
        <w:rPr>
          <w:i/>
          <w:iCs/>
          <w:color w:val="auto"/>
        </w:rPr>
        <w:t>pCIneo-DUX4</w:t>
      </w:r>
      <w:r w:rsidRPr="00525E91">
        <w:rPr>
          <w:color w:val="auto"/>
        </w:rPr>
        <w:t xml:space="preserve"> n=3, </w:t>
      </w:r>
      <w:r w:rsidRPr="00525E91">
        <w:rPr>
          <w:i/>
          <w:iCs/>
          <w:color w:val="auto"/>
        </w:rPr>
        <w:t>pCIneo</w:t>
      </w:r>
      <w:r w:rsidRPr="00525E91">
        <w:rPr>
          <w:color w:val="auto"/>
        </w:rPr>
        <w:t xml:space="preserve"> n=3, saline n=4. For the 21-day group: </w:t>
      </w:r>
      <w:r w:rsidRPr="00525E91">
        <w:rPr>
          <w:i/>
          <w:iCs/>
          <w:color w:val="auto"/>
        </w:rPr>
        <w:t>pCIneo-DUX4</w:t>
      </w:r>
      <w:r w:rsidRPr="00525E91">
        <w:rPr>
          <w:color w:val="auto"/>
        </w:rPr>
        <w:t xml:space="preserve"> n=3, </w:t>
      </w:r>
      <w:r w:rsidRPr="00525E91">
        <w:rPr>
          <w:i/>
          <w:iCs/>
          <w:color w:val="auto"/>
        </w:rPr>
        <w:t>pCIneo</w:t>
      </w:r>
      <w:r w:rsidRPr="00525E91">
        <w:rPr>
          <w:color w:val="auto"/>
        </w:rPr>
        <w:t xml:space="preserve"> n=4, saline n=4. </w:t>
      </w:r>
      <w:r w:rsidR="0EF0612C" w:rsidRPr="00525E91">
        <w:rPr>
          <w:color w:val="auto"/>
        </w:rPr>
        <w:t>The r</w:t>
      </w:r>
      <w:bookmarkStart w:id="2" w:name="OLE_LINK2"/>
      <w:r w:rsidRPr="00525E91">
        <w:rPr>
          <w:color w:val="auto"/>
        </w:rPr>
        <w:t xml:space="preserve">esults obtained from saline solution injected groups and </w:t>
      </w:r>
      <w:r w:rsidRPr="00525E91">
        <w:rPr>
          <w:i/>
          <w:iCs/>
          <w:color w:val="auto"/>
        </w:rPr>
        <w:t>pCIneo</w:t>
      </w:r>
      <w:r w:rsidRPr="00525E91">
        <w:rPr>
          <w:color w:val="auto"/>
        </w:rPr>
        <w:t xml:space="preserve"> group were pooled into a single control group, as no statistical difference could be highlighted between groups </w:t>
      </w:r>
      <w:r w:rsidR="50D3EA0E" w:rsidRPr="00525E91">
        <w:rPr>
          <w:color w:val="auto"/>
        </w:rPr>
        <w:t>at any</w:t>
      </w:r>
      <w:r w:rsidRPr="00525E91">
        <w:rPr>
          <w:color w:val="auto"/>
        </w:rPr>
        <w:t xml:space="preserve"> time point. </w:t>
      </w:r>
      <w:bookmarkEnd w:id="2"/>
      <w:r w:rsidRPr="00525E91">
        <w:rPr>
          <w:b/>
          <w:bCs/>
          <w:color w:val="auto"/>
        </w:rPr>
        <w:t>E</w:t>
      </w:r>
      <w:r w:rsidRPr="00525E91">
        <w:rPr>
          <w:color w:val="auto"/>
        </w:rPr>
        <w:t xml:space="preserve">. Effect of DUX4 induction on </w:t>
      </w:r>
      <w:r w:rsidRPr="00525E91">
        <w:rPr>
          <w:i/>
          <w:iCs/>
          <w:color w:val="auto"/>
        </w:rPr>
        <w:t>Hif1α</w:t>
      </w:r>
      <w:r w:rsidRPr="00525E91">
        <w:rPr>
          <w:color w:val="auto"/>
        </w:rPr>
        <w:t xml:space="preserve"> </w:t>
      </w:r>
      <w:r w:rsidRPr="00525E91">
        <w:rPr>
          <w:i/>
          <w:iCs/>
          <w:color w:val="auto"/>
        </w:rPr>
        <w:t>mRNA</w:t>
      </w:r>
      <w:r w:rsidRPr="00525E91">
        <w:rPr>
          <w:color w:val="auto"/>
        </w:rPr>
        <w:t xml:space="preserve"> level in the IMEP model. </w:t>
      </w:r>
      <w:r w:rsidR="75C42F5E" w:rsidRPr="00525E91">
        <w:rPr>
          <w:color w:val="auto"/>
        </w:rPr>
        <w:t>RT-qPCR</w:t>
      </w:r>
      <w:r w:rsidR="00B12ED8" w:rsidRPr="00525E91">
        <w:rPr>
          <w:color w:val="auto"/>
        </w:rPr>
        <w:t xml:space="preserve"> </w:t>
      </w:r>
      <w:r w:rsidRPr="00525E91">
        <w:rPr>
          <w:color w:val="auto"/>
        </w:rPr>
        <w:t xml:space="preserve">normalized to </w:t>
      </w:r>
      <w:r w:rsidRPr="00525E91">
        <w:rPr>
          <w:i/>
          <w:iCs/>
          <w:color w:val="auto"/>
        </w:rPr>
        <w:t>Rplp0</w:t>
      </w:r>
      <w:r w:rsidRPr="00525E91">
        <w:rPr>
          <w:color w:val="auto"/>
        </w:rPr>
        <w:t xml:space="preserve"> gene. *p&lt; 0,05, **p&lt; 0,01; Kruskal Wallis followed by a Dunn’s post-hoc test. For 1- and 3-day group: </w:t>
      </w:r>
      <w:r w:rsidRPr="00525E91">
        <w:rPr>
          <w:i/>
          <w:iCs/>
          <w:color w:val="auto"/>
        </w:rPr>
        <w:t>pCIneo-DUX4</w:t>
      </w:r>
      <w:r w:rsidRPr="00525E91">
        <w:rPr>
          <w:color w:val="auto"/>
        </w:rPr>
        <w:t xml:space="preserve"> n=4, </w:t>
      </w:r>
      <w:r w:rsidRPr="00525E91">
        <w:rPr>
          <w:i/>
          <w:iCs/>
          <w:color w:val="auto"/>
        </w:rPr>
        <w:t>pCIneo</w:t>
      </w:r>
      <w:r w:rsidRPr="00525E91">
        <w:rPr>
          <w:color w:val="auto"/>
        </w:rPr>
        <w:t xml:space="preserve"> n=6. For 7- and 14-days group: </w:t>
      </w:r>
      <w:r w:rsidRPr="00525E91">
        <w:rPr>
          <w:i/>
          <w:iCs/>
          <w:color w:val="auto"/>
        </w:rPr>
        <w:t>pCIneo-DUX4</w:t>
      </w:r>
      <w:r w:rsidRPr="00525E91">
        <w:rPr>
          <w:color w:val="auto"/>
        </w:rPr>
        <w:t xml:space="preserve"> n=3, </w:t>
      </w:r>
      <w:r w:rsidRPr="00525E91">
        <w:rPr>
          <w:i/>
          <w:iCs/>
          <w:color w:val="auto"/>
        </w:rPr>
        <w:t>pCIneo</w:t>
      </w:r>
      <w:r w:rsidRPr="00525E91">
        <w:rPr>
          <w:color w:val="auto"/>
        </w:rPr>
        <w:t xml:space="preserve"> n=4. For the 21-day group: </w:t>
      </w:r>
      <w:r w:rsidRPr="00525E91">
        <w:rPr>
          <w:i/>
          <w:iCs/>
          <w:color w:val="auto"/>
        </w:rPr>
        <w:t>pCIneo-DUX4</w:t>
      </w:r>
      <w:r w:rsidRPr="00525E91">
        <w:rPr>
          <w:color w:val="auto"/>
        </w:rPr>
        <w:t xml:space="preserve"> n=3, </w:t>
      </w:r>
      <w:r w:rsidRPr="00525E91">
        <w:rPr>
          <w:i/>
          <w:iCs/>
          <w:color w:val="auto"/>
        </w:rPr>
        <w:t>pCIneo</w:t>
      </w:r>
      <w:r w:rsidRPr="00525E91">
        <w:rPr>
          <w:color w:val="auto"/>
        </w:rPr>
        <w:t xml:space="preserve"> n=4. Results obtained from saline solution injected groups from all time points, were pooled together, as no statistical difference could be highlighted between groups </w:t>
      </w:r>
      <w:r w:rsidR="66273BA9" w:rsidRPr="00525E91">
        <w:rPr>
          <w:color w:val="auto"/>
        </w:rPr>
        <w:t>at any</w:t>
      </w:r>
      <w:r w:rsidRPr="00525E91">
        <w:rPr>
          <w:color w:val="auto"/>
        </w:rPr>
        <w:t xml:space="preserve"> time point for all tested genes, saline group n=14.</w:t>
      </w:r>
    </w:p>
    <w:p w14:paraId="18AA65CB" w14:textId="77777777" w:rsidR="008960CE" w:rsidRPr="00525E91" w:rsidRDefault="008960CE" w:rsidP="008960CE">
      <w:pPr>
        <w:rPr>
          <w:lang w:val="en-US"/>
        </w:rPr>
      </w:pPr>
    </w:p>
    <w:p w14:paraId="37FCDEFF" w14:textId="77777777" w:rsidR="008960CE" w:rsidRPr="00525E91" w:rsidRDefault="008960CE" w:rsidP="007E0919">
      <w:pPr>
        <w:pStyle w:val="MDPI51figurecaption"/>
        <w:ind w:left="0"/>
        <w:rPr>
          <w:color w:val="auto"/>
        </w:rPr>
      </w:pPr>
    </w:p>
    <w:p w14:paraId="23345416" w14:textId="05C46293" w:rsidR="008960CE" w:rsidRPr="00525E91" w:rsidRDefault="00637824" w:rsidP="007E0919">
      <w:pPr>
        <w:pStyle w:val="MDPI51figurecaption"/>
        <w:ind w:left="0"/>
        <w:rPr>
          <w:color w:val="auto"/>
        </w:rPr>
      </w:pPr>
      <w:r w:rsidRPr="00525E91">
        <w:rPr>
          <w:noProof/>
          <w:color w:val="auto"/>
        </w:rPr>
        <w:lastRenderedPageBreak/>
        <w:drawing>
          <wp:inline distT="0" distB="0" distL="0" distR="0" wp14:anchorId="32ABF3B5" wp14:editId="15D266C6">
            <wp:extent cx="4496904" cy="2150693"/>
            <wp:effectExtent l="0" t="0" r="0" b="2540"/>
            <wp:docPr id="1566323919" name="Image 1" descr="Une image contenant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323919" name="Image 1" descr="Une image contenant horlog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087" cy="217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93242" w14:textId="6000BAAB" w:rsidR="006B25FD" w:rsidRPr="00525E91" w:rsidRDefault="00B234E4" w:rsidP="007E0919">
      <w:pPr>
        <w:pStyle w:val="MDPI51figurecaption"/>
        <w:ind w:left="0"/>
        <w:rPr>
          <w:color w:val="auto"/>
          <w:lang w:val="pt-PT"/>
        </w:rPr>
      </w:pPr>
      <w:r w:rsidRPr="00525E91">
        <w:rPr>
          <w:b/>
          <w:bCs/>
          <w:color w:val="auto"/>
        </w:rPr>
        <w:t xml:space="preserve">Figure </w:t>
      </w:r>
      <w:r w:rsidR="001E788D" w:rsidRPr="00525E91">
        <w:rPr>
          <w:b/>
          <w:bCs/>
          <w:color w:val="auto"/>
        </w:rPr>
        <w:t>S</w:t>
      </w:r>
      <w:r w:rsidR="0062591A" w:rsidRPr="00525E91">
        <w:rPr>
          <w:b/>
          <w:bCs/>
          <w:color w:val="auto"/>
        </w:rPr>
        <w:t>3</w:t>
      </w:r>
      <w:r w:rsidR="001E788D" w:rsidRPr="00525E91">
        <w:rPr>
          <w:b/>
          <w:bCs/>
          <w:color w:val="auto"/>
        </w:rPr>
        <w:t>.</w:t>
      </w:r>
      <w:r w:rsidR="001E788D" w:rsidRPr="00525E91">
        <w:rPr>
          <w:color w:val="auto"/>
        </w:rPr>
        <w:t xml:space="preserve"> </w:t>
      </w:r>
      <w:r w:rsidR="00AC3CAF" w:rsidRPr="00525E91">
        <w:rPr>
          <w:b/>
          <w:bCs/>
          <w:color w:val="auto"/>
        </w:rPr>
        <w:t>Efficiency of siRNA</w:t>
      </w:r>
      <w:r w:rsidR="7B10008C" w:rsidRPr="00525E91">
        <w:rPr>
          <w:b/>
          <w:bCs/>
          <w:color w:val="auto"/>
        </w:rPr>
        <w:t>s</w:t>
      </w:r>
      <w:r w:rsidR="00AC3CAF" w:rsidRPr="00525E91">
        <w:rPr>
          <w:b/>
          <w:bCs/>
          <w:color w:val="auto"/>
        </w:rPr>
        <w:t xml:space="preserve"> directed against </w:t>
      </w:r>
      <w:r w:rsidR="00AC3CAF" w:rsidRPr="00525E91">
        <w:rPr>
          <w:b/>
          <w:bCs/>
          <w:i/>
          <w:iCs/>
          <w:color w:val="auto"/>
        </w:rPr>
        <w:t>Hif1α</w:t>
      </w:r>
      <w:r w:rsidR="00AC3CAF" w:rsidRPr="00525E91">
        <w:rPr>
          <w:b/>
          <w:bCs/>
          <w:color w:val="auto"/>
        </w:rPr>
        <w:t xml:space="preserve"> mRNA (</w:t>
      </w:r>
      <w:r w:rsidR="00AC3CAF" w:rsidRPr="00525E91">
        <w:rPr>
          <w:b/>
          <w:bCs/>
          <w:i/>
          <w:iCs/>
          <w:color w:val="auto"/>
        </w:rPr>
        <w:t>siHIF</w:t>
      </w:r>
      <w:r w:rsidR="00AC3CAF" w:rsidRPr="00525E91">
        <w:rPr>
          <w:b/>
          <w:bCs/>
          <w:color w:val="auto"/>
        </w:rPr>
        <w:t>): dose</w:t>
      </w:r>
      <w:r w:rsidR="00131164" w:rsidRPr="00525E91">
        <w:rPr>
          <w:b/>
          <w:bCs/>
          <w:color w:val="auto"/>
        </w:rPr>
        <w:t>-</w:t>
      </w:r>
      <w:r w:rsidR="00AC3CAF" w:rsidRPr="00525E91">
        <w:rPr>
          <w:b/>
          <w:bCs/>
          <w:color w:val="auto"/>
        </w:rPr>
        <w:t>response analysis.</w:t>
      </w:r>
      <w:r w:rsidR="001F2E6B" w:rsidRPr="00525E91">
        <w:rPr>
          <w:color w:val="auto"/>
        </w:rPr>
        <w:t xml:space="preserve"> The TA muscle was electroporated with either saline solution, </w:t>
      </w:r>
      <w:r w:rsidR="001F2E6B" w:rsidRPr="00525E91">
        <w:rPr>
          <w:i/>
          <w:iCs/>
          <w:color w:val="auto"/>
        </w:rPr>
        <w:t>siCTL</w:t>
      </w:r>
      <w:r w:rsidR="001F2E6B" w:rsidRPr="00525E91">
        <w:rPr>
          <w:color w:val="auto"/>
        </w:rPr>
        <w:t xml:space="preserve"> or </w:t>
      </w:r>
      <w:r w:rsidR="001F2E6B" w:rsidRPr="00525E91">
        <w:rPr>
          <w:i/>
          <w:iCs/>
          <w:color w:val="auto"/>
        </w:rPr>
        <w:t>siHIF</w:t>
      </w:r>
      <w:r w:rsidR="001F2E6B" w:rsidRPr="00525E91">
        <w:rPr>
          <w:color w:val="auto"/>
        </w:rPr>
        <w:t xml:space="preserve">. </w:t>
      </w:r>
      <w:r w:rsidR="716F0269" w:rsidRPr="00525E91">
        <w:rPr>
          <w:i/>
          <w:iCs/>
          <w:color w:val="auto"/>
        </w:rPr>
        <w:t>The Hif1α</w:t>
      </w:r>
      <w:r w:rsidR="001F2E6B" w:rsidRPr="00525E91">
        <w:rPr>
          <w:color w:val="auto"/>
        </w:rPr>
        <w:t xml:space="preserve"> </w:t>
      </w:r>
      <w:r w:rsidR="001F2E6B" w:rsidRPr="00525E91">
        <w:rPr>
          <w:i/>
          <w:iCs/>
          <w:color w:val="auto"/>
        </w:rPr>
        <w:t>mRNA</w:t>
      </w:r>
      <w:r w:rsidR="001F2E6B" w:rsidRPr="00525E91">
        <w:rPr>
          <w:color w:val="auto"/>
        </w:rPr>
        <w:t xml:space="preserve"> level was quantified by RT-qPCR and normalized to </w:t>
      </w:r>
      <w:r w:rsidR="001F2E6B" w:rsidRPr="00525E91">
        <w:rPr>
          <w:i/>
          <w:iCs/>
          <w:color w:val="auto"/>
        </w:rPr>
        <w:t>Rplp0</w:t>
      </w:r>
      <w:r w:rsidR="001F2E6B" w:rsidRPr="00525E91">
        <w:rPr>
          <w:color w:val="auto"/>
        </w:rPr>
        <w:t>. *p&lt;0.05, **</w:t>
      </w:r>
      <w:r w:rsidR="00FC705E" w:rsidRPr="00525E91">
        <w:rPr>
          <w:color w:val="auto"/>
        </w:rPr>
        <w:t>*</w:t>
      </w:r>
      <w:r w:rsidR="001F2E6B" w:rsidRPr="00525E91">
        <w:rPr>
          <w:color w:val="auto"/>
        </w:rPr>
        <w:t>p&lt;0.</w:t>
      </w:r>
      <w:r w:rsidR="00FC705E" w:rsidRPr="00525E91">
        <w:rPr>
          <w:color w:val="auto"/>
        </w:rPr>
        <w:t>0</w:t>
      </w:r>
      <w:r w:rsidR="001F2E6B" w:rsidRPr="00525E91">
        <w:rPr>
          <w:color w:val="auto"/>
        </w:rPr>
        <w:t xml:space="preserve">01, Kruskal Wallis followed by a Dunn’s post-hoc test. </w:t>
      </w:r>
      <w:r w:rsidR="001F2E6B" w:rsidRPr="00525E91">
        <w:rPr>
          <w:color w:val="auto"/>
          <w:lang w:val="pt-PT"/>
        </w:rPr>
        <w:t xml:space="preserve">Saline </w:t>
      </w:r>
      <w:r w:rsidR="00131164" w:rsidRPr="00525E91">
        <w:rPr>
          <w:color w:val="auto"/>
          <w:lang w:val="pt-PT"/>
        </w:rPr>
        <w:t xml:space="preserve">: </w:t>
      </w:r>
      <w:r w:rsidR="001F2E6B" w:rsidRPr="00525E91">
        <w:rPr>
          <w:color w:val="auto"/>
          <w:lang w:val="pt-PT"/>
        </w:rPr>
        <w:t xml:space="preserve">n=10, </w:t>
      </w:r>
      <w:r w:rsidR="008C44A9" w:rsidRPr="00525E91">
        <w:rPr>
          <w:color w:val="auto"/>
          <w:lang w:val="pt-PT"/>
        </w:rPr>
        <w:t xml:space="preserve">0.005 µg, 0.01 µg, 0.05 µg, 0.5 µg and 1 µg </w:t>
      </w:r>
      <w:r w:rsidR="00131164" w:rsidRPr="00525E91">
        <w:rPr>
          <w:color w:val="auto"/>
          <w:lang w:val="pt-PT"/>
        </w:rPr>
        <w:t xml:space="preserve">: </w:t>
      </w:r>
      <w:r w:rsidR="008C44A9" w:rsidRPr="00525E91">
        <w:rPr>
          <w:color w:val="auto"/>
          <w:lang w:val="pt-PT"/>
        </w:rPr>
        <w:t xml:space="preserve">n=4, </w:t>
      </w:r>
      <w:r w:rsidR="001F2E6B" w:rsidRPr="00525E91">
        <w:rPr>
          <w:color w:val="auto"/>
          <w:lang w:val="pt-PT"/>
        </w:rPr>
        <w:t xml:space="preserve">2µg </w:t>
      </w:r>
      <w:r w:rsidR="00131164" w:rsidRPr="00525E91">
        <w:rPr>
          <w:color w:val="auto"/>
          <w:lang w:val="pt-PT"/>
        </w:rPr>
        <w:t xml:space="preserve">: </w:t>
      </w:r>
      <w:r w:rsidR="001F2E6B" w:rsidRPr="00525E91">
        <w:rPr>
          <w:color w:val="auto"/>
          <w:lang w:val="pt-PT"/>
        </w:rPr>
        <w:t>n=10.</w:t>
      </w:r>
    </w:p>
    <w:sectPr w:rsidR="006B25FD" w:rsidRPr="00525E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1FC"/>
    <w:rsid w:val="00012D4A"/>
    <w:rsid w:val="00064935"/>
    <w:rsid w:val="000D3149"/>
    <w:rsid w:val="00131164"/>
    <w:rsid w:val="001C3B9C"/>
    <w:rsid w:val="001E788D"/>
    <w:rsid w:val="001F2E6B"/>
    <w:rsid w:val="00335691"/>
    <w:rsid w:val="00386BD0"/>
    <w:rsid w:val="00432D6C"/>
    <w:rsid w:val="0051069B"/>
    <w:rsid w:val="00525E91"/>
    <w:rsid w:val="00542C0A"/>
    <w:rsid w:val="0062591A"/>
    <w:rsid w:val="00637824"/>
    <w:rsid w:val="006B25FD"/>
    <w:rsid w:val="007E0919"/>
    <w:rsid w:val="008447A5"/>
    <w:rsid w:val="008960CE"/>
    <w:rsid w:val="008C44A9"/>
    <w:rsid w:val="009371FC"/>
    <w:rsid w:val="009D48C0"/>
    <w:rsid w:val="00A154FF"/>
    <w:rsid w:val="00A5798D"/>
    <w:rsid w:val="00AC3CAF"/>
    <w:rsid w:val="00B12ED8"/>
    <w:rsid w:val="00B234E4"/>
    <w:rsid w:val="00B652E1"/>
    <w:rsid w:val="00C05E7C"/>
    <w:rsid w:val="00C30202"/>
    <w:rsid w:val="00C54FBD"/>
    <w:rsid w:val="00D55792"/>
    <w:rsid w:val="00F02DA4"/>
    <w:rsid w:val="00FC705E"/>
    <w:rsid w:val="0119E77C"/>
    <w:rsid w:val="02B5B7DD"/>
    <w:rsid w:val="04C54B93"/>
    <w:rsid w:val="055614BB"/>
    <w:rsid w:val="0DCA3E12"/>
    <w:rsid w:val="0EF0612C"/>
    <w:rsid w:val="1A00B3AC"/>
    <w:rsid w:val="1D85B2A7"/>
    <w:rsid w:val="20D8CE26"/>
    <w:rsid w:val="2370D5AE"/>
    <w:rsid w:val="2D5665BE"/>
    <w:rsid w:val="2F45F4E5"/>
    <w:rsid w:val="3229D6E1"/>
    <w:rsid w:val="482A8685"/>
    <w:rsid w:val="4EC27F46"/>
    <w:rsid w:val="50BDFBA9"/>
    <w:rsid w:val="50D3EA0E"/>
    <w:rsid w:val="55A8B799"/>
    <w:rsid w:val="5ABC59FA"/>
    <w:rsid w:val="5B8B7B89"/>
    <w:rsid w:val="5BBF7B2E"/>
    <w:rsid w:val="5DC739FC"/>
    <w:rsid w:val="602C2DAE"/>
    <w:rsid w:val="64D1725F"/>
    <w:rsid w:val="66273BA9"/>
    <w:rsid w:val="67001190"/>
    <w:rsid w:val="69ED70DE"/>
    <w:rsid w:val="6CE9A630"/>
    <w:rsid w:val="716F0269"/>
    <w:rsid w:val="74548CD0"/>
    <w:rsid w:val="75C42F5E"/>
    <w:rsid w:val="76231C2F"/>
    <w:rsid w:val="7B10008C"/>
    <w:rsid w:val="7C6D0895"/>
    <w:rsid w:val="7EE2E750"/>
    <w:rsid w:val="7EEF3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9450AA"/>
  <w15:chartTrackingRefBased/>
  <w15:docId w15:val="{4AAC29C6-F9D3-4178-8A01-907A8BF56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DPI51figurecaption">
    <w:name w:val="MDPI_5.1_figure_caption"/>
    <w:qFormat/>
    <w:rsid w:val="009371FC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106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069B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B234E4"/>
    <w:pPr>
      <w:spacing w:after="0" w:line="240" w:lineRule="auto"/>
    </w:pPr>
  </w:style>
  <w:style w:type="paragraph" w:customStyle="1" w:styleId="MDPI52figure">
    <w:name w:val="MDPI_5.2_figure"/>
    <w:qFormat/>
    <w:rsid w:val="008960CE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44A5E29048204E86D17B6101276514" ma:contentTypeVersion="12" ma:contentTypeDescription="Crée un document." ma:contentTypeScope="" ma:versionID="9ec71c833632378e0d91f2d76657b0ef">
  <xsd:schema xmlns:xsd="http://www.w3.org/2001/XMLSchema" xmlns:xs="http://www.w3.org/2001/XMLSchema" xmlns:p="http://schemas.microsoft.com/office/2006/metadata/properties" xmlns:ns2="f234ec75-1853-4652-9d03-3046b61b3509" xmlns:ns3="df74033c-0aed-4fa2-8d0d-249363c103f1" targetNamespace="http://schemas.microsoft.com/office/2006/metadata/properties" ma:root="true" ma:fieldsID="2b08040f32df436ef398e34df592ae73" ns2:_="" ns3:_="">
    <xsd:import namespace="f234ec75-1853-4652-9d03-3046b61b3509"/>
    <xsd:import namespace="df74033c-0aed-4fa2-8d0d-249363c103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34ec75-1853-4652-9d03-3046b61b3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alises d’images" ma:readOnly="false" ma:fieldId="{5cf76f15-5ced-4ddc-b409-7134ff3c332f}" ma:taxonomyMulti="true" ma:sspId="9011953a-c381-489f-99f2-2153285bf2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74033c-0aed-4fa2-8d0d-249363c103f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6153a78-1c44-4d20-aa8a-f7c1cf51344f}" ma:internalName="TaxCatchAll" ma:showField="CatchAllData" ma:web="df74033c-0aed-4fa2-8d0d-249363c103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74033c-0aed-4fa2-8d0d-249363c103f1" xsi:nil="true"/>
    <lcf76f155ced4ddcb4097134ff3c332f xmlns="f234ec75-1853-4652-9d03-3046b61b3509">
      <Terms xmlns="http://schemas.microsoft.com/office/infopath/2007/PartnerControls"/>
    </lcf76f155ced4ddcb4097134ff3c332f>
    <SharedWithUsers xmlns="df74033c-0aed-4fa2-8d0d-249363c103f1">
      <UserInfo>
        <DisplayName>Alexandra BELAYEW</DisplayName>
        <AccountId>12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296AE28-CF74-4011-8446-1ADC0F898A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4B620D-E347-4D7F-BA08-193325F35C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34ec75-1853-4652-9d03-3046b61b3509"/>
    <ds:schemaRef ds:uri="df74033c-0aed-4fa2-8d0d-249363c103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11A414-0923-45DC-90EB-FF65E48AD22A}">
  <ds:schemaRefs>
    <ds:schemaRef ds:uri="http://schemas.microsoft.com/office/2006/metadata/properties"/>
    <ds:schemaRef ds:uri="http://schemas.microsoft.com/office/infopath/2007/PartnerControls"/>
    <ds:schemaRef ds:uri="df74033c-0aed-4fa2-8d0d-249363c103f1"/>
    <ds:schemaRef ds:uri="f234ec75-1853-4652-9d03-3046b61b350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558</Words>
  <Characters>2882</Characters>
  <Application>Microsoft Office Word</Application>
  <DocSecurity>0</DocSecurity>
  <Lines>38</Lines>
  <Paragraphs>4</Paragraphs>
  <ScaleCrop>false</ScaleCrop>
  <Company>Hewlett-Packard</Company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Thuy-Hàng NGUYEN</dc:creator>
  <cp:keywords/>
  <dc:description/>
  <cp:lastModifiedBy>Alexandra TASSIN</cp:lastModifiedBy>
  <cp:revision>4</cp:revision>
  <dcterms:created xsi:type="dcterms:W3CDTF">2024-01-26T13:54:00Z</dcterms:created>
  <dcterms:modified xsi:type="dcterms:W3CDTF">2024-01-26T13:55:00Z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0x0101005144A5E29048204E86D17B6101276514</vt:lpwstr>
  </property>
  <property fmtid="{D5CDD505-2E9C-101B-9397-08002B2CF9AE}" pid="3" name="MediaServiceImageTags">
    <vt:lpwstr/>
  </property>
  <property fmtid="{D5CDD505-2E9C-101B-9397-08002B2CF9AE}" pid="4" name="GrammarlyDocumentId">
    <vt:lpwstr>b21ee47b5b838fefec0e65ebc37c05437f1d7c3ec1fd4ba7349a471720860560</vt:lpwstr>
  </property>
</Properties>
</file>