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13E9" w14:textId="77777777" w:rsidR="00862472" w:rsidRPr="003008B4" w:rsidRDefault="003B01A3" w:rsidP="007B7966">
      <w:pPr>
        <w:bidi w:val="0"/>
        <w:rPr>
          <w:rFonts w:ascii="Palatino Linotype" w:hAnsi="Palatino Linotype"/>
          <w:b/>
          <w:bCs/>
          <w:color w:val="FF0000"/>
        </w:rPr>
      </w:pPr>
      <w:r w:rsidRPr="003008B4">
        <w:rPr>
          <w:rFonts w:ascii="Palatino Linotype" w:hAnsi="Palatino Linotype"/>
          <w:b/>
          <w:bCs/>
          <w:color w:val="FF0000"/>
        </w:rPr>
        <w:t>Supplementary file S1: Detailed search formula in various databases</w:t>
      </w:r>
    </w:p>
    <w:p w14:paraId="2AC8C03E" w14:textId="77777777" w:rsidR="003B01A3" w:rsidRDefault="003B01A3" w:rsidP="003B01A3">
      <w:pPr>
        <w:bidi w:val="0"/>
        <w:rPr>
          <w:rFonts w:ascii="Palatino Linotype" w:hAnsi="Palatino Linotype"/>
        </w:rPr>
      </w:pPr>
    </w:p>
    <w:p w14:paraId="7283D8F8" w14:textId="77777777" w:rsidR="003B01A3" w:rsidRDefault="003B01A3" w:rsidP="003B01A3">
      <w:pPr>
        <w:bidi w:val="0"/>
        <w:rPr>
          <w:rFonts w:ascii="Palatino Linotype" w:hAnsi="Palatino Linotype"/>
        </w:rPr>
      </w:pPr>
      <w:r>
        <w:rPr>
          <w:rFonts w:ascii="Palatino Linotype" w:hAnsi="Palatino Linotype"/>
        </w:rPr>
        <w:t>PubMed search strategy:</w:t>
      </w:r>
    </w:p>
    <w:p w14:paraId="4727A91D" w14:textId="77777777" w:rsidR="003B01A3" w:rsidRPr="003B01A3" w:rsidRDefault="003B01A3" w:rsidP="003B01A3">
      <w:pPr>
        <w:bidi w:val="0"/>
        <w:rPr>
          <w:rFonts w:ascii="Palatino Linotype" w:hAnsi="Palatino Linotype"/>
        </w:rPr>
      </w:pPr>
    </w:p>
    <w:tbl>
      <w:tblPr>
        <w:tblStyle w:val="TableGrid"/>
        <w:tblW w:w="0" w:type="auto"/>
        <w:tblLook w:val="04A0" w:firstRow="1" w:lastRow="0" w:firstColumn="1" w:lastColumn="0" w:noHBand="0" w:noVBand="1"/>
      </w:tblPr>
      <w:tblGrid>
        <w:gridCol w:w="918"/>
        <w:gridCol w:w="6734"/>
        <w:gridCol w:w="978"/>
      </w:tblGrid>
      <w:tr w:rsidR="00594C21" w:rsidRPr="003B01A3" w14:paraId="1B4191BB" w14:textId="77777777" w:rsidTr="00594C21">
        <w:tc>
          <w:tcPr>
            <w:tcW w:w="0" w:type="auto"/>
            <w:vAlign w:val="center"/>
          </w:tcPr>
          <w:p w14:paraId="578FA3A9" w14:textId="77777777" w:rsidR="00594C21" w:rsidRPr="003B01A3" w:rsidRDefault="00594C21" w:rsidP="00594C21">
            <w:pPr>
              <w:bidi w:val="0"/>
              <w:jc w:val="center"/>
              <w:rPr>
                <w:rFonts w:ascii="Palatino Linotype" w:hAnsi="Palatino Linotype"/>
              </w:rPr>
            </w:pPr>
            <w:r w:rsidRPr="003B01A3">
              <w:rPr>
                <w:rFonts w:ascii="Palatino Linotype" w:hAnsi="Palatino Linotype"/>
              </w:rPr>
              <w:t>Search</w:t>
            </w:r>
          </w:p>
        </w:tc>
        <w:tc>
          <w:tcPr>
            <w:tcW w:w="0" w:type="auto"/>
            <w:vAlign w:val="center"/>
          </w:tcPr>
          <w:p w14:paraId="3C867A57" w14:textId="77777777" w:rsidR="00594C21" w:rsidRPr="003B01A3" w:rsidRDefault="00594C21" w:rsidP="00594C21">
            <w:pPr>
              <w:shd w:val="clear" w:color="auto" w:fill="FFFFFF"/>
              <w:bidi w:val="0"/>
              <w:jc w:val="center"/>
              <w:rPr>
                <w:rFonts w:ascii="Palatino Linotype" w:eastAsia="Times New Roman" w:hAnsi="Palatino Linotype" w:cs="Arial"/>
                <w:color w:val="222222"/>
              </w:rPr>
            </w:pPr>
            <w:r w:rsidRPr="003B01A3">
              <w:rPr>
                <w:rFonts w:ascii="Palatino Linotype" w:eastAsia="Times New Roman" w:hAnsi="Palatino Linotype" w:cs="Arial"/>
                <w:color w:val="222222"/>
              </w:rPr>
              <w:t>Query</w:t>
            </w:r>
          </w:p>
        </w:tc>
        <w:tc>
          <w:tcPr>
            <w:tcW w:w="0" w:type="auto"/>
            <w:vAlign w:val="center"/>
          </w:tcPr>
          <w:p w14:paraId="0E101D52" w14:textId="77777777" w:rsidR="00594C21" w:rsidRPr="003B01A3" w:rsidRDefault="00594C21" w:rsidP="00594C21">
            <w:pPr>
              <w:bidi w:val="0"/>
              <w:jc w:val="center"/>
              <w:rPr>
                <w:rFonts w:ascii="Palatino Linotype" w:hAnsi="Palatino Linotype"/>
              </w:rPr>
            </w:pPr>
            <w:r w:rsidRPr="003B01A3">
              <w:rPr>
                <w:rFonts w:ascii="Palatino Linotype" w:hAnsi="Palatino Linotype"/>
              </w:rPr>
              <w:t>No. of hits</w:t>
            </w:r>
          </w:p>
        </w:tc>
      </w:tr>
      <w:tr w:rsidR="00594C21" w:rsidRPr="003B01A3" w14:paraId="31206618" w14:textId="77777777" w:rsidTr="00594C21">
        <w:tc>
          <w:tcPr>
            <w:tcW w:w="0" w:type="auto"/>
            <w:vAlign w:val="center"/>
          </w:tcPr>
          <w:p w14:paraId="3D807C97" w14:textId="77777777" w:rsidR="00594C21" w:rsidRPr="003B01A3" w:rsidRDefault="00594C21" w:rsidP="00594C21">
            <w:pPr>
              <w:bidi w:val="0"/>
              <w:jc w:val="center"/>
              <w:rPr>
                <w:rFonts w:ascii="Palatino Linotype" w:hAnsi="Palatino Linotype"/>
              </w:rPr>
            </w:pPr>
            <w:r w:rsidRPr="003B01A3">
              <w:rPr>
                <w:rFonts w:ascii="Palatino Linotype" w:hAnsi="Palatino Linotype"/>
              </w:rPr>
              <w:t>#1</w:t>
            </w:r>
          </w:p>
        </w:tc>
        <w:tc>
          <w:tcPr>
            <w:tcW w:w="0" w:type="auto"/>
            <w:vAlign w:val="center"/>
          </w:tcPr>
          <w:p w14:paraId="0538758A" w14:textId="77777777" w:rsidR="00594C21" w:rsidRPr="00594C21" w:rsidRDefault="003B01A3" w:rsidP="00594C21">
            <w:pPr>
              <w:shd w:val="clear" w:color="auto" w:fill="FFFFFF"/>
              <w:bidi w:val="0"/>
              <w:rPr>
                <w:rFonts w:ascii="Palatino Linotype" w:eastAsia="Times New Roman" w:hAnsi="Palatino Linotype" w:cs="Arial"/>
                <w:color w:val="222222"/>
              </w:rPr>
            </w:pPr>
            <w:r w:rsidRPr="003B01A3">
              <w:rPr>
                <w:rFonts w:ascii="Palatino Linotype" w:eastAsia="Times New Roman" w:hAnsi="Palatino Linotype" w:cs="Arial"/>
                <w:color w:val="222222"/>
              </w:rPr>
              <w:t xml:space="preserve">Search: </w:t>
            </w:r>
            <w:r w:rsidR="00594C21" w:rsidRPr="00594C21">
              <w:rPr>
                <w:rFonts w:ascii="Palatino Linotype" w:eastAsia="Times New Roman" w:hAnsi="Palatino Linotype" w:cs="Arial"/>
                <w:color w:val="222222"/>
              </w:rPr>
              <w:t>(((((((((oral pathogens) OR (oral bacteria)) OR (oral disease))</w:t>
            </w:r>
          </w:p>
          <w:p w14:paraId="6201E9F3" w14:textId="77777777" w:rsidR="00594C21" w:rsidRPr="00594C21" w:rsidRDefault="00594C21" w:rsidP="00594C21">
            <w:pPr>
              <w:shd w:val="clear" w:color="auto" w:fill="FFFFFF"/>
              <w:bidi w:val="0"/>
              <w:rPr>
                <w:rFonts w:ascii="Palatino Linotype" w:eastAsia="Times New Roman" w:hAnsi="Palatino Linotype" w:cs="Arial"/>
                <w:color w:val="222222"/>
              </w:rPr>
            </w:pPr>
            <w:r w:rsidRPr="00594C21">
              <w:rPr>
                <w:rFonts w:ascii="Palatino Linotype" w:eastAsia="Times New Roman" w:hAnsi="Palatino Linotype" w:cs="Arial"/>
                <w:color w:val="222222"/>
              </w:rPr>
              <w:t>OR (oral health)) OR (mouth disease)) OR (gum disease)) OR (gum</w:t>
            </w:r>
          </w:p>
          <w:p w14:paraId="7E78FFAB" w14:textId="77777777" w:rsidR="00594C21" w:rsidRPr="00594C21" w:rsidRDefault="00594C21" w:rsidP="00594C21">
            <w:pPr>
              <w:shd w:val="clear" w:color="auto" w:fill="FFFFFF"/>
              <w:bidi w:val="0"/>
              <w:rPr>
                <w:rFonts w:ascii="Palatino Linotype" w:eastAsia="Times New Roman" w:hAnsi="Palatino Linotype" w:cs="Arial"/>
                <w:color w:val="222222"/>
              </w:rPr>
            </w:pPr>
            <w:r w:rsidRPr="00594C21">
              <w:rPr>
                <w:rFonts w:ascii="Palatino Linotype" w:eastAsia="Times New Roman" w:hAnsi="Palatino Linotype" w:cs="Arial"/>
                <w:color w:val="222222"/>
              </w:rPr>
              <w:t>bacteria)) OR (periodontitis)) OR (gingivitis)) OR (periodontal</w:t>
            </w:r>
          </w:p>
          <w:p w14:paraId="02F52EA6" w14:textId="77777777" w:rsidR="00594C21" w:rsidRPr="003B01A3" w:rsidRDefault="00594C21" w:rsidP="00594C21">
            <w:pPr>
              <w:shd w:val="clear" w:color="auto" w:fill="FFFFFF"/>
              <w:bidi w:val="0"/>
              <w:rPr>
                <w:rFonts w:ascii="Palatino Linotype" w:eastAsia="Times New Roman" w:hAnsi="Palatino Linotype" w:cs="Arial"/>
                <w:color w:val="222222"/>
              </w:rPr>
            </w:pPr>
            <w:r w:rsidRPr="00594C21">
              <w:rPr>
                <w:rFonts w:ascii="Palatino Linotype" w:eastAsia="Times New Roman" w:hAnsi="Palatino Linotype" w:cs="Arial"/>
                <w:color w:val="222222"/>
              </w:rPr>
              <w:t>gingivalis)</w:t>
            </w:r>
          </w:p>
        </w:tc>
        <w:tc>
          <w:tcPr>
            <w:tcW w:w="0" w:type="auto"/>
            <w:vAlign w:val="center"/>
          </w:tcPr>
          <w:p w14:paraId="130B3C99" w14:textId="77777777" w:rsidR="00594C21" w:rsidRPr="003B01A3" w:rsidRDefault="00594C21" w:rsidP="00594C21">
            <w:pPr>
              <w:bidi w:val="0"/>
              <w:jc w:val="center"/>
              <w:rPr>
                <w:rFonts w:ascii="Palatino Linotype" w:hAnsi="Palatino Linotype"/>
              </w:rPr>
            </w:pPr>
            <w:r w:rsidRPr="003B01A3">
              <w:rPr>
                <w:rFonts w:ascii="Palatino Linotype" w:hAnsi="Palatino Linotype"/>
              </w:rPr>
              <w:t>722027</w:t>
            </w:r>
          </w:p>
        </w:tc>
      </w:tr>
      <w:tr w:rsidR="00594C21" w:rsidRPr="003B01A3" w14:paraId="2D89FE9D" w14:textId="77777777" w:rsidTr="00594C21">
        <w:tc>
          <w:tcPr>
            <w:tcW w:w="0" w:type="auto"/>
            <w:vAlign w:val="center"/>
          </w:tcPr>
          <w:p w14:paraId="42F96D27" w14:textId="77777777" w:rsidR="00594C21" w:rsidRPr="003B01A3" w:rsidRDefault="00594C21" w:rsidP="00594C21">
            <w:pPr>
              <w:bidi w:val="0"/>
              <w:jc w:val="center"/>
              <w:rPr>
                <w:rFonts w:ascii="Palatino Linotype" w:hAnsi="Palatino Linotype"/>
              </w:rPr>
            </w:pPr>
            <w:r w:rsidRPr="003B01A3">
              <w:rPr>
                <w:rFonts w:ascii="Palatino Linotype" w:hAnsi="Palatino Linotype"/>
              </w:rPr>
              <w:t>#2</w:t>
            </w:r>
          </w:p>
        </w:tc>
        <w:tc>
          <w:tcPr>
            <w:tcW w:w="0" w:type="auto"/>
            <w:vAlign w:val="center"/>
          </w:tcPr>
          <w:p w14:paraId="75DD411D" w14:textId="77777777" w:rsidR="00594C21" w:rsidRPr="00E461D0" w:rsidRDefault="003B01A3" w:rsidP="00594C21">
            <w:pPr>
              <w:shd w:val="clear" w:color="auto" w:fill="FFFFFF"/>
              <w:bidi w:val="0"/>
              <w:rPr>
                <w:rFonts w:ascii="Palatino Linotype" w:eastAsia="Times New Roman" w:hAnsi="Palatino Linotype" w:cs="Arial"/>
                <w:color w:val="222222"/>
              </w:rPr>
            </w:pPr>
            <w:r w:rsidRPr="003B01A3">
              <w:rPr>
                <w:rFonts w:ascii="Palatino Linotype" w:eastAsia="Times New Roman" w:hAnsi="Palatino Linotype" w:cs="Arial"/>
                <w:color w:val="222222"/>
              </w:rPr>
              <w:t xml:space="preserve">Search: </w:t>
            </w:r>
            <w:r w:rsidR="00594C21" w:rsidRPr="00E461D0">
              <w:rPr>
                <w:rFonts w:ascii="Palatino Linotype" w:eastAsia="Times New Roman" w:hAnsi="Palatino Linotype" w:cs="Arial"/>
                <w:color w:val="222222"/>
              </w:rPr>
              <w:t>(((((((((dementia) OR (peripheral neuroinflammation)) OR</w:t>
            </w:r>
          </w:p>
          <w:p w14:paraId="4417EE78"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(central neuroinflammation)) OR (neurodegeneration)) OR (cognitive</w:t>
            </w:r>
          </w:p>
          <w:p w14:paraId="65245206"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decline)) OR (memory loss)) OR (Alzheimer's disease)) OR</w:t>
            </w:r>
          </w:p>
          <w:p w14:paraId="3D6BA79E" w14:textId="77777777" w:rsidR="00594C21" w:rsidRPr="003B01A3"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(Parkinson)) OR (ALS)) OR (Vascular dementia)</w:t>
            </w:r>
          </w:p>
        </w:tc>
        <w:tc>
          <w:tcPr>
            <w:tcW w:w="0" w:type="auto"/>
            <w:vAlign w:val="center"/>
          </w:tcPr>
          <w:p w14:paraId="660A2067" w14:textId="77777777" w:rsidR="00594C21" w:rsidRPr="003B01A3" w:rsidRDefault="00594C21" w:rsidP="00594C21">
            <w:pPr>
              <w:bidi w:val="0"/>
              <w:jc w:val="center"/>
              <w:rPr>
                <w:rFonts w:ascii="Palatino Linotype" w:hAnsi="Palatino Linotype"/>
              </w:rPr>
            </w:pPr>
            <w:r w:rsidRPr="003B01A3">
              <w:rPr>
                <w:rFonts w:ascii="Palatino Linotype" w:hAnsi="Palatino Linotype"/>
              </w:rPr>
              <w:t>616268</w:t>
            </w:r>
          </w:p>
        </w:tc>
      </w:tr>
      <w:tr w:rsidR="00594C21" w:rsidRPr="003B01A3" w14:paraId="4B5BB81C" w14:textId="77777777" w:rsidTr="00594C21">
        <w:tc>
          <w:tcPr>
            <w:tcW w:w="0" w:type="auto"/>
            <w:vAlign w:val="center"/>
          </w:tcPr>
          <w:p w14:paraId="21F995CB" w14:textId="77777777" w:rsidR="00594C21" w:rsidRPr="003B01A3" w:rsidRDefault="00594C21" w:rsidP="00594C21">
            <w:pPr>
              <w:bidi w:val="0"/>
              <w:jc w:val="center"/>
              <w:rPr>
                <w:rFonts w:ascii="Palatino Linotype" w:hAnsi="Palatino Linotype"/>
              </w:rPr>
            </w:pPr>
            <w:r w:rsidRPr="003B01A3">
              <w:rPr>
                <w:rFonts w:ascii="Palatino Linotype" w:hAnsi="Palatino Linotype"/>
              </w:rPr>
              <w:t>#3</w:t>
            </w:r>
          </w:p>
        </w:tc>
        <w:tc>
          <w:tcPr>
            <w:tcW w:w="0" w:type="auto"/>
            <w:vAlign w:val="center"/>
          </w:tcPr>
          <w:p w14:paraId="7EF44E88" w14:textId="77777777" w:rsidR="00594C21" w:rsidRPr="00E461D0" w:rsidRDefault="003B01A3" w:rsidP="00594C21">
            <w:pPr>
              <w:shd w:val="clear" w:color="auto" w:fill="FFFFFF"/>
              <w:bidi w:val="0"/>
              <w:rPr>
                <w:rFonts w:ascii="Palatino Linotype" w:eastAsia="Times New Roman" w:hAnsi="Palatino Linotype" w:cs="Arial"/>
                <w:color w:val="222222"/>
              </w:rPr>
            </w:pPr>
            <w:r w:rsidRPr="003B01A3">
              <w:rPr>
                <w:rFonts w:ascii="Palatino Linotype" w:eastAsia="Times New Roman" w:hAnsi="Palatino Linotype" w:cs="Arial"/>
                <w:color w:val="222222"/>
              </w:rPr>
              <w:t xml:space="preserve">Search: </w:t>
            </w:r>
            <w:r w:rsidR="00594C21" w:rsidRPr="00E461D0">
              <w:rPr>
                <w:rFonts w:ascii="Palatino Linotype" w:eastAsia="Times New Roman" w:hAnsi="Palatino Linotype" w:cs="Arial"/>
                <w:color w:val="222222"/>
              </w:rPr>
              <w:t>((((((((((oral pathogens) OR (oral bacteria)) OR (oral disease))</w:t>
            </w:r>
          </w:p>
          <w:p w14:paraId="7D75A3AD"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OR (oral health)) OR (mouth disease)) OR (gum disease)) OR (gum</w:t>
            </w:r>
          </w:p>
          <w:p w14:paraId="25150FD2"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bacteria)) OR (periodontitis)) OR (gingivitis)) OR (periodontal</w:t>
            </w:r>
          </w:p>
          <w:p w14:paraId="340CBB63"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gingivalis)) AND ((((((((((dementia) OR (peripheral</w:t>
            </w:r>
          </w:p>
          <w:p w14:paraId="677DA578"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neuroinflammation)) OR (central neuroinflammation)) OR</w:t>
            </w:r>
          </w:p>
          <w:p w14:paraId="5A41EAFF"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(neurodegeneration)) OR (cognitive decline)) OR (memory loss)) OR</w:t>
            </w:r>
          </w:p>
          <w:p w14:paraId="2DE122E3"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(Alzheimer's disease)) OR (Parkinson)) OR (ALS)) OR (Vascular</w:t>
            </w:r>
          </w:p>
          <w:p w14:paraId="310427AC" w14:textId="77777777" w:rsidR="00594C21" w:rsidRPr="00E461D0" w:rsidRDefault="00594C21" w:rsidP="00594C21">
            <w:pPr>
              <w:shd w:val="clear" w:color="auto" w:fill="FFFFFF"/>
              <w:bidi w:val="0"/>
              <w:rPr>
                <w:rFonts w:ascii="Palatino Linotype" w:eastAsia="Times New Roman" w:hAnsi="Palatino Linotype" w:cs="Arial"/>
                <w:color w:val="222222"/>
              </w:rPr>
            </w:pPr>
            <w:r w:rsidRPr="00E461D0">
              <w:rPr>
                <w:rFonts w:ascii="Palatino Linotype" w:eastAsia="Times New Roman" w:hAnsi="Palatino Linotype" w:cs="Arial"/>
                <w:color w:val="222222"/>
              </w:rPr>
              <w:t>dementia))</w:t>
            </w:r>
          </w:p>
          <w:p w14:paraId="0772B6B9" w14:textId="77777777" w:rsidR="00594C21" w:rsidRPr="003B01A3" w:rsidRDefault="00594C21" w:rsidP="00594C21">
            <w:pPr>
              <w:bidi w:val="0"/>
              <w:rPr>
                <w:rFonts w:ascii="Palatino Linotype" w:hAnsi="Palatino Linotype"/>
              </w:rPr>
            </w:pPr>
          </w:p>
        </w:tc>
        <w:tc>
          <w:tcPr>
            <w:tcW w:w="0" w:type="auto"/>
            <w:vAlign w:val="center"/>
          </w:tcPr>
          <w:p w14:paraId="56D88463" w14:textId="77777777" w:rsidR="00594C21" w:rsidRPr="003B01A3" w:rsidRDefault="00594C21" w:rsidP="00594C21">
            <w:pPr>
              <w:bidi w:val="0"/>
              <w:jc w:val="center"/>
              <w:rPr>
                <w:rFonts w:ascii="Palatino Linotype" w:hAnsi="Palatino Linotype"/>
              </w:rPr>
            </w:pPr>
            <w:r w:rsidRPr="003B01A3">
              <w:rPr>
                <w:rFonts w:ascii="Palatino Linotype" w:hAnsi="Palatino Linotype"/>
              </w:rPr>
              <w:t>11768</w:t>
            </w:r>
          </w:p>
        </w:tc>
      </w:tr>
      <w:tr w:rsidR="00594C21" w14:paraId="3A10E8E0" w14:textId="77777777" w:rsidTr="00594C21">
        <w:tc>
          <w:tcPr>
            <w:tcW w:w="0" w:type="auto"/>
            <w:vAlign w:val="center"/>
          </w:tcPr>
          <w:p w14:paraId="18B2E477" w14:textId="77777777" w:rsidR="00594C21" w:rsidRDefault="003B01A3" w:rsidP="00594C21">
            <w:pPr>
              <w:bidi w:val="0"/>
              <w:jc w:val="center"/>
            </w:pPr>
            <w:r>
              <w:t>#4</w:t>
            </w:r>
          </w:p>
        </w:tc>
        <w:tc>
          <w:tcPr>
            <w:tcW w:w="0" w:type="auto"/>
            <w:vAlign w:val="center"/>
          </w:tcPr>
          <w:p w14:paraId="21F357FD" w14:textId="77777777" w:rsidR="00594C21" w:rsidRPr="003B01A3" w:rsidRDefault="003B01A3" w:rsidP="003B01A3">
            <w:pPr>
              <w:shd w:val="clear" w:color="auto" w:fill="FFFFFF"/>
              <w:bidi w:val="0"/>
              <w:rPr>
                <w:rFonts w:ascii="Arial" w:eastAsia="Times New Roman" w:hAnsi="Arial" w:cs="Arial"/>
                <w:color w:val="222222"/>
              </w:rPr>
            </w:pPr>
            <w:r w:rsidRPr="003B01A3">
              <w:rPr>
                <w:rFonts w:ascii="Arial" w:eastAsia="Times New Roman" w:hAnsi="Arial" w:cs="Arial"/>
                <w:color w:val="222222"/>
              </w:rPr>
              <w:t xml:space="preserve">Search: ((((((((((oral pathogens) OR (oral bacteria)) OR (oral disease)) OR (oral health)) OR (mouth disease)) OR (gum disease)) OR (gum bacteria)) OR (periodontitis)) OR (gingivitis)) OR (periodontal gingivalis)) AND ((((((((((dementia) OR (peripheral neuroinflammation)) OR (central neuroinflammation)) OR (neurodegeneration)) OR (cognitive decline)) OR (memory loss)) OR (Alzheimer's disease)) OR (Parkinson)) OR (ALS)) OR (Vascular </w:t>
            </w:r>
            <w:r w:rsidRPr="003B01A3">
              <w:rPr>
                <w:rFonts w:ascii="Arial" w:eastAsia="Times New Roman" w:hAnsi="Arial" w:cs="Arial"/>
                <w:color w:val="222222"/>
              </w:rPr>
              <w:lastRenderedPageBreak/>
              <w:t>dementia)) Filters: Observational Study, Humans, English, Adult: 19+ years</w:t>
            </w:r>
          </w:p>
        </w:tc>
        <w:tc>
          <w:tcPr>
            <w:tcW w:w="0" w:type="auto"/>
            <w:vAlign w:val="center"/>
          </w:tcPr>
          <w:p w14:paraId="0F834594" w14:textId="77777777" w:rsidR="00594C21" w:rsidRDefault="003B01A3" w:rsidP="00594C21">
            <w:pPr>
              <w:bidi w:val="0"/>
              <w:jc w:val="center"/>
            </w:pPr>
            <w:r>
              <w:lastRenderedPageBreak/>
              <w:t>112</w:t>
            </w:r>
          </w:p>
        </w:tc>
      </w:tr>
    </w:tbl>
    <w:p w14:paraId="35C2B65D" w14:textId="77777777" w:rsidR="003B01A3" w:rsidRDefault="003B01A3" w:rsidP="003B01A3">
      <w:pPr>
        <w:bidi w:val="0"/>
      </w:pPr>
      <w:r>
        <w:t>Web of Science search strategy:</w:t>
      </w:r>
    </w:p>
    <w:p w14:paraId="09DAD139" w14:textId="77777777" w:rsidR="003B01A3" w:rsidRDefault="003B01A3" w:rsidP="003B01A3">
      <w:pPr>
        <w:bidi w:val="0"/>
      </w:pPr>
    </w:p>
    <w:p w14:paraId="2A993D78" w14:textId="77777777" w:rsidR="003B01A3" w:rsidRDefault="003B01A3" w:rsidP="003B01A3">
      <w:pPr>
        <w:bidi w:val="0"/>
        <w:ind w:left="-1276"/>
        <w:sectPr w:rsidR="003B01A3">
          <w:pgSz w:w="12240" w:h="15840"/>
          <w:pgMar w:top="1440" w:right="1800" w:bottom="1440" w:left="1800" w:header="720" w:footer="720" w:gutter="0"/>
          <w:cols w:space="720"/>
          <w:docGrid w:linePitch="360"/>
        </w:sectPr>
      </w:pPr>
      <w:r>
        <w:rPr>
          <w:noProof/>
        </w:rPr>
        <w:drawing>
          <wp:inline distT="0" distB="0" distL="0" distR="0" wp14:anchorId="3E6DBF1B" wp14:editId="134938B1">
            <wp:extent cx="7125195" cy="69338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9-2021 WOS.JPG"/>
                    <pic:cNvPicPr/>
                  </pic:nvPicPr>
                  <pic:blipFill>
                    <a:blip r:embed="rId6">
                      <a:extLst>
                        <a:ext uri="{28A0092B-C50C-407E-A947-70E740481C1C}">
                          <a14:useLocalDpi xmlns:a14="http://schemas.microsoft.com/office/drawing/2010/main" val="0"/>
                        </a:ext>
                      </a:extLst>
                    </a:blip>
                    <a:stretch>
                      <a:fillRect/>
                    </a:stretch>
                  </pic:blipFill>
                  <pic:spPr>
                    <a:xfrm>
                      <a:off x="0" y="0"/>
                      <a:ext cx="7150269" cy="6958266"/>
                    </a:xfrm>
                    <a:prstGeom prst="rect">
                      <a:avLst/>
                    </a:prstGeom>
                  </pic:spPr>
                </pic:pic>
              </a:graphicData>
            </a:graphic>
          </wp:inline>
        </w:drawing>
      </w:r>
    </w:p>
    <w:p w14:paraId="53D7DC31" w14:textId="77777777" w:rsidR="003B01A3" w:rsidRDefault="003B01A3" w:rsidP="003B01A3">
      <w:pPr>
        <w:bidi w:val="0"/>
      </w:pPr>
      <w:r>
        <w:lastRenderedPageBreak/>
        <w:t>CINAHL search strategy:</w:t>
      </w:r>
    </w:p>
    <w:p w14:paraId="1B27151A" w14:textId="77777777" w:rsidR="003B01A3" w:rsidRDefault="003B01A3" w:rsidP="003B01A3">
      <w:pPr>
        <w:bidi w:val="0"/>
      </w:pPr>
    </w:p>
    <w:p w14:paraId="45613CFE" w14:textId="757C871E" w:rsidR="003B01A3" w:rsidRDefault="003B01A3" w:rsidP="003B01A3">
      <w:pPr>
        <w:bidi w:val="0"/>
        <w:ind w:left="-1134"/>
      </w:pPr>
      <w:r>
        <w:rPr>
          <w:noProof/>
        </w:rPr>
        <w:drawing>
          <wp:inline distT="0" distB="0" distL="0" distR="0" wp14:anchorId="7B109585" wp14:editId="46450A80">
            <wp:extent cx="6974654" cy="6443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NAHL.JPG"/>
                    <pic:cNvPicPr/>
                  </pic:nvPicPr>
                  <pic:blipFill>
                    <a:blip r:embed="rId7">
                      <a:extLst>
                        <a:ext uri="{28A0092B-C50C-407E-A947-70E740481C1C}">
                          <a14:useLocalDpi xmlns:a14="http://schemas.microsoft.com/office/drawing/2010/main" val="0"/>
                        </a:ext>
                      </a:extLst>
                    </a:blip>
                    <a:stretch>
                      <a:fillRect/>
                    </a:stretch>
                  </pic:blipFill>
                  <pic:spPr>
                    <a:xfrm>
                      <a:off x="0" y="0"/>
                      <a:ext cx="7008737" cy="6474818"/>
                    </a:xfrm>
                    <a:prstGeom prst="rect">
                      <a:avLst/>
                    </a:prstGeom>
                  </pic:spPr>
                </pic:pic>
              </a:graphicData>
            </a:graphic>
          </wp:inline>
        </w:drawing>
      </w:r>
    </w:p>
    <w:p w14:paraId="45587439" w14:textId="6D6F7EF4" w:rsidR="003008B4" w:rsidRDefault="003008B4" w:rsidP="003008B4">
      <w:pPr>
        <w:bidi w:val="0"/>
        <w:ind w:left="-1134"/>
      </w:pPr>
    </w:p>
    <w:p w14:paraId="69664515" w14:textId="13752CF2" w:rsidR="003008B4" w:rsidRDefault="003008B4" w:rsidP="003008B4">
      <w:pPr>
        <w:bidi w:val="0"/>
        <w:ind w:left="-1134"/>
      </w:pPr>
    </w:p>
    <w:p w14:paraId="1149EC20" w14:textId="5BF4418B" w:rsidR="003008B4" w:rsidRDefault="003008B4" w:rsidP="003008B4">
      <w:pPr>
        <w:bidi w:val="0"/>
        <w:ind w:left="-1134"/>
      </w:pPr>
    </w:p>
    <w:p w14:paraId="44835AFF" w14:textId="7E46B8E2" w:rsidR="003008B4" w:rsidRDefault="003008B4" w:rsidP="003008B4">
      <w:pPr>
        <w:bidi w:val="0"/>
        <w:ind w:left="-1134"/>
      </w:pPr>
    </w:p>
    <w:p w14:paraId="7A2FA48B" w14:textId="10C85ED0" w:rsidR="003008B4" w:rsidRDefault="003008B4" w:rsidP="003008B4">
      <w:pPr>
        <w:bidi w:val="0"/>
        <w:ind w:left="-1134"/>
      </w:pPr>
    </w:p>
    <w:p w14:paraId="71E9FDD8" w14:textId="38BC2EB9" w:rsidR="003008B4" w:rsidRDefault="003008B4" w:rsidP="003008B4">
      <w:pPr>
        <w:bidi w:val="0"/>
        <w:ind w:left="-1134"/>
      </w:pPr>
    </w:p>
    <w:p w14:paraId="26592E60" w14:textId="4654D112" w:rsidR="003008B4" w:rsidRDefault="003008B4" w:rsidP="003008B4">
      <w:pPr>
        <w:bidi w:val="0"/>
        <w:ind w:left="-1134"/>
      </w:pPr>
    </w:p>
    <w:tbl>
      <w:tblPr>
        <w:tblStyle w:val="TableGrid1"/>
        <w:tblpPr w:leftFromText="180" w:rightFromText="180" w:vertAnchor="page" w:horzAnchor="page" w:tblpX="1168" w:tblpY="2176"/>
        <w:tblW w:w="10836" w:type="dxa"/>
        <w:tblInd w:w="0" w:type="dxa"/>
        <w:tblLayout w:type="fixed"/>
        <w:tblLook w:val="04A0" w:firstRow="1" w:lastRow="0" w:firstColumn="1" w:lastColumn="0" w:noHBand="0" w:noVBand="1"/>
      </w:tblPr>
      <w:tblGrid>
        <w:gridCol w:w="1061"/>
        <w:gridCol w:w="1429"/>
        <w:gridCol w:w="1265"/>
        <w:gridCol w:w="1276"/>
        <w:gridCol w:w="948"/>
        <w:gridCol w:w="1286"/>
        <w:gridCol w:w="1084"/>
        <w:gridCol w:w="923"/>
        <w:gridCol w:w="969"/>
        <w:gridCol w:w="595"/>
      </w:tblGrid>
      <w:tr w:rsidR="003008B4" w:rsidRPr="003008B4" w14:paraId="070CF217" w14:textId="77777777" w:rsidTr="00B04D7F">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5C059E1E"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lastRenderedPageBreak/>
              <w:t>Authors</w:t>
            </w:r>
          </w:p>
        </w:tc>
        <w:tc>
          <w:tcPr>
            <w:tcW w:w="4918" w:type="dxa"/>
            <w:gridSpan w:val="4"/>
            <w:tcBorders>
              <w:top w:val="single" w:sz="4" w:space="0" w:color="auto"/>
              <w:left w:val="single" w:sz="4" w:space="0" w:color="auto"/>
              <w:bottom w:val="single" w:sz="4" w:space="0" w:color="auto"/>
              <w:right w:val="single" w:sz="4" w:space="0" w:color="auto"/>
            </w:tcBorders>
            <w:hideMark/>
          </w:tcPr>
          <w:p w14:paraId="5E8FCA20"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Outcome</w:t>
            </w:r>
          </w:p>
        </w:tc>
        <w:tc>
          <w:tcPr>
            <w:tcW w:w="1286" w:type="dxa"/>
            <w:tcBorders>
              <w:top w:val="single" w:sz="4" w:space="0" w:color="auto"/>
              <w:left w:val="single" w:sz="4" w:space="0" w:color="auto"/>
              <w:bottom w:val="single" w:sz="4" w:space="0" w:color="auto"/>
              <w:right w:val="single" w:sz="4" w:space="0" w:color="auto"/>
            </w:tcBorders>
            <w:hideMark/>
          </w:tcPr>
          <w:p w14:paraId="4D4A16AD"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Comparability</w:t>
            </w:r>
          </w:p>
        </w:tc>
        <w:tc>
          <w:tcPr>
            <w:tcW w:w="2976" w:type="dxa"/>
            <w:gridSpan w:val="3"/>
            <w:tcBorders>
              <w:top w:val="single" w:sz="4" w:space="0" w:color="auto"/>
              <w:left w:val="single" w:sz="4" w:space="0" w:color="auto"/>
              <w:bottom w:val="single" w:sz="4" w:space="0" w:color="auto"/>
              <w:right w:val="single" w:sz="4" w:space="0" w:color="auto"/>
            </w:tcBorders>
            <w:hideMark/>
          </w:tcPr>
          <w:p w14:paraId="2E54B7A7"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selection</w:t>
            </w:r>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03163C1E"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Total</w:t>
            </w:r>
          </w:p>
        </w:tc>
      </w:tr>
      <w:tr w:rsidR="003008B4" w:rsidRPr="003008B4" w14:paraId="60D3CED8" w14:textId="77777777" w:rsidTr="00B04D7F">
        <w:tc>
          <w:tcPr>
            <w:tcW w:w="1061" w:type="dxa"/>
            <w:vMerge/>
            <w:tcBorders>
              <w:top w:val="single" w:sz="4" w:space="0" w:color="auto"/>
              <w:left w:val="single" w:sz="4" w:space="0" w:color="auto"/>
              <w:bottom w:val="single" w:sz="4" w:space="0" w:color="auto"/>
              <w:right w:val="single" w:sz="4" w:space="0" w:color="auto"/>
            </w:tcBorders>
            <w:vAlign w:val="center"/>
            <w:hideMark/>
          </w:tcPr>
          <w:p w14:paraId="16B00FC3" w14:textId="77777777" w:rsidR="003008B4" w:rsidRPr="003008B4" w:rsidRDefault="003008B4" w:rsidP="003008B4">
            <w:pPr>
              <w:rPr>
                <w:rFonts w:eastAsia="Times New Roman" w:cs="Times New Roman"/>
                <w:szCs w:val="22"/>
                <w:lang w:eastAsia="de-DE" w:bidi="en-US"/>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7B59672C"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Representativeness of the exposed cohort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FD7EE8C"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Selection of the non-exposed cohort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E72DC8"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Ascertainment of exposure</w:t>
            </w:r>
          </w:p>
        </w:tc>
        <w:tc>
          <w:tcPr>
            <w:tcW w:w="948" w:type="dxa"/>
            <w:tcBorders>
              <w:top w:val="single" w:sz="4" w:space="0" w:color="auto"/>
              <w:left w:val="single" w:sz="4" w:space="0" w:color="auto"/>
              <w:bottom w:val="single" w:sz="4" w:space="0" w:color="auto"/>
              <w:right w:val="single" w:sz="4" w:space="0" w:color="auto"/>
            </w:tcBorders>
            <w:vAlign w:val="center"/>
            <w:hideMark/>
          </w:tcPr>
          <w:p w14:paraId="04D3F89F"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Demonstration that outcome of interest was not present at start of study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2F5B09F"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Comparability of cohorts on the basis of the design or analysis</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6859AD4"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Assessment of outcome</w:t>
            </w:r>
          </w:p>
        </w:tc>
        <w:tc>
          <w:tcPr>
            <w:tcW w:w="923" w:type="dxa"/>
            <w:tcBorders>
              <w:top w:val="single" w:sz="4" w:space="0" w:color="auto"/>
              <w:left w:val="single" w:sz="4" w:space="0" w:color="auto"/>
              <w:bottom w:val="single" w:sz="4" w:space="0" w:color="auto"/>
              <w:right w:val="single" w:sz="4" w:space="0" w:color="auto"/>
            </w:tcBorders>
            <w:vAlign w:val="center"/>
            <w:hideMark/>
          </w:tcPr>
          <w:p w14:paraId="3E919367"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Was follow-up long enough for outcomes to occur</w:t>
            </w:r>
          </w:p>
        </w:tc>
        <w:tc>
          <w:tcPr>
            <w:tcW w:w="969" w:type="dxa"/>
            <w:tcBorders>
              <w:top w:val="single" w:sz="4" w:space="0" w:color="auto"/>
              <w:left w:val="single" w:sz="4" w:space="0" w:color="auto"/>
              <w:bottom w:val="single" w:sz="4" w:space="0" w:color="auto"/>
              <w:right w:val="single" w:sz="4" w:space="0" w:color="auto"/>
            </w:tcBorders>
            <w:vAlign w:val="center"/>
            <w:hideMark/>
          </w:tcPr>
          <w:p w14:paraId="71D0AED5"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Adequacy of follow up of cohorts</w:t>
            </w: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6DD0081A" w14:textId="77777777" w:rsidR="003008B4" w:rsidRPr="003008B4" w:rsidRDefault="003008B4" w:rsidP="003008B4">
            <w:pPr>
              <w:rPr>
                <w:rFonts w:eastAsia="Times New Roman" w:cs="Times New Roman"/>
                <w:szCs w:val="22"/>
                <w:lang w:eastAsia="de-DE" w:bidi="en-US"/>
              </w:rPr>
            </w:pPr>
          </w:p>
        </w:tc>
      </w:tr>
      <w:tr w:rsidR="003008B4" w:rsidRPr="003008B4" w14:paraId="0FFBCC4D"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38B328FC"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Choi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n07uh6hbt","properties":{"formattedCitation":"[27]","plainCitation":"[27]","noteIndex":0},"citationItems":[{"id":39572,"uris":["http://zotero.org/users/local/XQFWVUaB/items/LUGF5VYJ"],"uri":["http://zotero.org/users/local/XQFWVUaB/items/LUGF5VYJ"],"itemData":{"id":39572,"type":"article-journal","abstract":"OBJECTIVES Although chronic periodontitis has been associated with Alzheimer's disease, the effect of chronic periodontitis on vascular dementia as well as the role of lifestyle behaviors such as smoking, alcohol consumption, and physical activity in this association are still unclear. DESIGN Retrospective cohort study. SETTING Population based. PARTICIPANTS The study population was derived from the Korean National Health Insurance Service-Health Screening Cohort. Among 262 349 participants, diagnosis of chronic periodontitis was determined during 2003-2004. MEASUREMENTS Starting from 2005, participants were followed up for overall dementia, Alzheimer's disease, and vascular dementia until 2015. Cox proportional hazards regression was used to determine the adjusted hazard ratios (aHRs) and 95% confidence intervals (CIs) of dementia according to chronic periodontitis. RESULTS Compared with nonchronic periodontitis participants, chronic periodontitis patients had elevated risk for overall dementia (aHR = 1.06; 95% CI = 1.01-1.11) and Alzheimer's disease (aHR = 1.05; 95% CI = 1.00-1.11). There was a tendency toward increased vascular dementia risk among chronic periodontitis patients (aHR = 1.10; 95% CI = 0.98-1.22). The risk-increasing effect of chronic periodontitis on dementia tended to be stronger among participants with healthy lifestyle behaviors including never-smokers and those who exercised and did not consume alcohol. CONCLUSION Chronic periodontitis may be associated with a higher risk of developing dementia. Future studies that investigate whether preventing chronic periodontitis may lead to reduced risk of dementia are needed.","container-title":"Journal of the American Geriatrics Society","DOI":"10.1111/jgs.15828","issue":"6","page":"1234-1239","title":"Association of Chronic Periodontitis on Alzheimer's Disease or Vascular Dementia","volume":"67","author":[{"family":"Choi","given":"S"},{"family":"Kim","given":"K"},{"family":"Chang","given":"J"},{"family":"Kim","given":"S M"},{"family":"Kim","given":"S J"},{"family":"Cho","given":"H J"},{"family":"Park","given":"S M"}],"issued":{"date-parts":[["2019"]]}}}],"schema":"https://github.com/citation-style-language/schema/raw/master/csl-citation.json"}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[27]</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vAlign w:val="center"/>
            <w:hideMark/>
          </w:tcPr>
          <w:p w14:paraId="4C381055"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DD75CFB"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6C35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0650458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08942D5"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5D4F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923" w:type="dxa"/>
            <w:tcBorders>
              <w:top w:val="single" w:sz="4" w:space="0" w:color="auto"/>
              <w:left w:val="single" w:sz="4" w:space="0" w:color="auto"/>
              <w:bottom w:val="single" w:sz="4" w:space="0" w:color="auto"/>
              <w:right w:val="single" w:sz="4" w:space="0" w:color="auto"/>
            </w:tcBorders>
            <w:vAlign w:val="center"/>
            <w:hideMark/>
          </w:tcPr>
          <w:p w14:paraId="72573382"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69" w:type="dxa"/>
            <w:tcBorders>
              <w:top w:val="single" w:sz="4" w:space="0" w:color="auto"/>
              <w:left w:val="single" w:sz="4" w:space="0" w:color="auto"/>
              <w:bottom w:val="single" w:sz="4" w:space="0" w:color="auto"/>
              <w:right w:val="single" w:sz="4" w:space="0" w:color="auto"/>
            </w:tcBorders>
            <w:vAlign w:val="center"/>
            <w:hideMark/>
          </w:tcPr>
          <w:p w14:paraId="165FFC2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B589291"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6/9</w:t>
            </w:r>
          </w:p>
        </w:tc>
      </w:tr>
      <w:tr w:rsidR="003008B4" w:rsidRPr="003008B4" w14:paraId="04B4CF4C"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49D950C2"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proofErr w:type="spellStart"/>
            <w:r w:rsidRPr="003008B4">
              <w:rPr>
                <w:rFonts w:eastAsia="Times New Roman" w:cs="Times New Roman"/>
                <w:szCs w:val="22"/>
                <w:lang w:eastAsia="de-DE" w:bidi="en-US"/>
              </w:rPr>
              <w:t>Demmer</w:t>
            </w:r>
            <w:proofErr w:type="spellEnd"/>
            <w:r w:rsidRPr="003008B4">
              <w:rPr>
                <w:rFonts w:eastAsia="Times New Roman" w:cs="Times New Roman"/>
                <w:szCs w:val="22"/>
                <w:lang w:eastAsia="de-DE" w:bidi="en-US"/>
              </w:rPr>
              <w:t xml:space="preserve">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gcgdl4nas","properties":{"formattedCitation":"[28]","plainCitation":"[28]","noteIndex":0},"citationItems":[{"id":39574,"uris":["http://zotero.org/users/local/XQFWVUaB/items/2NW63DA9"],"uri":["http://zotero.org/users/local/XQFWVUaB/items/2NW63DA9"],"itemData":{"id":39574,"type":"article-journal","abstract":"Objective To test the hypothesis that periodontal disease would be associated with increased risk for dementia and mild cognitive impairment (MCI) by assessing dementia/MCI outcomes after a baseline periodontal examination. Methods Participants enrolled in the Atherosclerosis Risk in Communities study with a clinical periodontal examination (or edentulous participants) at visit 4 (1996-1998; mean +/- SD age 63 +/- 6 years, 55% female, 21% black) and adjudicated dementia outcomes through 2016 were included (n = 8,275). A subgroup of 4,559 participants had adjudicated dementia and MCI assessments at visit 5 (2011-2013). Participants received a full-mouth periodontal examination and were classified into periodontal profile classes (PPCs) based on the severity and extent of gingival inflammation and attachment loss. MCI and dementia were determined via neurocognitive testing, neurological examination and history, informant interviews, and brain MRI in a subset. Cox proportional hazards models regressed incident dementia on PPCs. Relative risk regression models were used for the composite of MCI/dementia. Results The cumulative incidence and incidence density of dementia during follow-up (average 18.4 years) were 19% (n = 1,569) and 11.8 cases per 1,000 person-years. Multivariable adjusted hazard ratios for incident dementia among participants with severe PPC or edentulism (vs periodontal healthy) were 1.22 (95% confidence interval [CI] 1.01-1.47) and 1.21 (95% CI 0.99-1.48), respectively. For the combined dementia/MCI outcome, adjusted risk ratios among participants with mild/intermediate PPC, severe PPC, or edentulism (vs periodontal healthy) were 1.22 (95% CI 1.00-1.48), 1.15 (95% CI 0.88-1.51), and 1.90 (95% CI 1.40-2.58). Results were stronger among younger (&lt;= 62 years) participants (pfor interaction = 0.02). Conclusion Periodontal disease was modestly associated with incident MCI and dementia in a community-based cohort of black and white participants.","container-title":"Neurology","DOI":"10.1212/wnl.0000000000010312","issue":"12","page":"E1660-E1671","title":"Periodontal disease and incident dementia The Atherosclerosis Risk in Communities Study (ARIC)","volume":"95","author":[{"family":"Demmer","given":"R T"},{"family":"Norby","given":"F L"},{"family":"Lakshminarayan","given":"K"},{"family":"Walker","given":"K A"},{"family":"Pankow","given":"J S"},{"family":"Folsom","given":"A R"},{"family":"Mosley","given":"T"},{"family":"Beck","given":"J"},{"family":"Lutsey","given":"P L"}],"issued":{"date-parts":[["2020"]]}}}],"schema":"https://github.com/citation-style-language/schema/raw/master/csl-citation.json"}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[28]</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vAlign w:val="center"/>
            <w:hideMark/>
          </w:tcPr>
          <w:p w14:paraId="30FBF174"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AB3D9"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827B54"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0CC203C9"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7E75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212228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4A5C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69" w:type="dxa"/>
            <w:tcBorders>
              <w:top w:val="single" w:sz="4" w:space="0" w:color="auto"/>
              <w:left w:val="single" w:sz="4" w:space="0" w:color="auto"/>
              <w:bottom w:val="single" w:sz="4" w:space="0" w:color="auto"/>
              <w:right w:val="single" w:sz="4" w:space="0" w:color="auto"/>
            </w:tcBorders>
            <w:vAlign w:val="center"/>
            <w:hideMark/>
          </w:tcPr>
          <w:p w14:paraId="3F17ED3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595" w:type="dxa"/>
            <w:tcBorders>
              <w:top w:val="single" w:sz="4" w:space="0" w:color="auto"/>
              <w:left w:val="single" w:sz="4" w:space="0" w:color="auto"/>
              <w:bottom w:val="single" w:sz="4" w:space="0" w:color="auto"/>
              <w:right w:val="single" w:sz="4" w:space="0" w:color="auto"/>
            </w:tcBorders>
            <w:vAlign w:val="center"/>
            <w:hideMark/>
          </w:tcPr>
          <w:p w14:paraId="13F3A2A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7/9</w:t>
            </w:r>
          </w:p>
        </w:tc>
      </w:tr>
      <w:tr w:rsidR="003008B4" w:rsidRPr="003008B4" w14:paraId="482F3034"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2781412C"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Chen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2861rb0h1u","properties":{"formattedCitation":"[26]","plainCitation":"[26]","noteIndex":0},"citationItems":[{"id":39568,"uris":["http://zotero.org/users/local/XQFWVUaB/items/9XVE6BQF"],"uri":["http://zotero.org/users/local/XQFWVUaB/items/9XVE6BQF"],"itemData":{"id":39568,"type":"article-journal","abstract":"Background: Although recent short-term cross-sectional studies have revealed that chronic periodontitis (CP) may be a risk factor for increased cognitive impairment in patients with Alzheimer's disease (AD), systematic reviews and long-term longitudinal studies have provided less clear evidence regarding the relationship between CP and AD. Therefore, we conducted a retrospective cohort study using the National Health Insurance Research Database (NHIRD) of Taiwan to determine whether patients with CP are at increased risk of developing AD. Methods: We conducted a retrospective matched-cohort study using the NHIRD of Taiwan. We identified 9291 patients newly diagnosed with CP between 1997 and 2004. A total of 18,672 patients without CP were matched to the patient cohort according to sex, age, index year, co-morbidity and urbanisation level. Cox proportional hazards regression analyses were performed to evaluate the subsequent risk of AD. Results: Patients with CP had a higher prevalence of hyperlipidaemia, depression, traumatic brain injury and co-morbidities, as well as higher urbanisation levels, than those in the unexposed cohort (all p &lt; 0.01). At the final follow-up, totals of 115 (1.24%) and 208 (1.11%) individuals in the CP exposed and unexposed groups, respectively, had developed AD. Patients with 10 years of CP exposure exhibited a higher risk of developing AD than unexposed groups (adjusted HR 1.707, 95% CI 1.152-2.528, p = 0.0077). Conclusions: Our findings demonstrate that 10-year CP exposure was associated with a 1.707-fold increase in the risk of developing AD. These findings highlight the need to prevent progression of periodontal disease and promote healthcare service at the national level.","container-title":"Alzheimers Research &amp; Therapy","DOI":"10.1186/s13195-017-0282-6","title":"Association between chronic periodontitis and the risk of Alzheimer's disease: a retrospective, population-based, matched-cohort study","volume":"9","author":[{"family":"Chen","given":"C K"},{"family":"Wu","given":"Y T"},{"family":"Chang","given":"Y C"}],"issued":{"date-parts":[["2017"]]}}}],"schema":"https://github.com/citation-style-language/schema/raw/master/csl-citation.json"}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[26]</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vAlign w:val="center"/>
            <w:hideMark/>
          </w:tcPr>
          <w:p w14:paraId="24ADEF0E"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FB8BD29"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3D95E7"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2EAC87C0"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BE09982"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26DD20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2A1EA95D"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69" w:type="dxa"/>
            <w:tcBorders>
              <w:top w:val="single" w:sz="4" w:space="0" w:color="auto"/>
              <w:left w:val="single" w:sz="4" w:space="0" w:color="auto"/>
              <w:bottom w:val="single" w:sz="4" w:space="0" w:color="auto"/>
              <w:right w:val="single" w:sz="4" w:space="0" w:color="auto"/>
            </w:tcBorders>
            <w:vAlign w:val="center"/>
            <w:hideMark/>
          </w:tcPr>
          <w:p w14:paraId="75541A51"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68284D8"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9/9</w:t>
            </w:r>
          </w:p>
        </w:tc>
      </w:tr>
      <w:tr w:rsidR="003008B4" w:rsidRPr="003008B4" w14:paraId="653BAF67"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55591DA5"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Stewart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2jje3vc43h","properties":{"formattedCitation":"[30]","plainCitation":"[30]","noteIndex":0},"citationItems":[{"id":39623,"uris":["http://zotero.org/users/local/XQFWVUaB/items/6S3F99RF"],"uri":["http://zotero.org/users/local/XQFWVUaB/items/6S3F99RF"],"itemData":{"id":39623,"type":"article-journal","abstract":"OBJECTIVES: To investigate the relationship between periodontal disease and cognitive decline. DESIGN: Analysis of a prospective cohort study. SETTING: The Health, Aging and Body Composition (Health ABC) Study. PARTICIPANTS: One thousand fifty-three participants who were administered the Modified Mini-Mental State Examination (3MS) at Year 1 (baseline) and Year 3 and had participated in a comprehensive periodontal examination at Year 2. MEASUREMENTS: The prospective association between a range of oral health parameters and cognitive function was examined. Decline in 3MS score from Year 3 to 5 was investigated in 947 (89.9%) participants. Covariates included age, sex, education, race, cardiovascular disease and risk, and depressive symptoms. RESULTS: Most indicators of adverse oral health at Year 2 were associated with cognitive impairment based on averaged 3MS scores less than 80 for Years 1 and 3, but education and race substantially confounded these associations. Higher gingival index, a measure of gingival inflammation, at Year 2 remained independently associated with this definition of cognitive impairment and, in fully adjusted analyses, was also an independent predictor of a more-than-5-point cognitive decline from Year 3 to S. CONCLUSION: Periodontitis may be a risk factor for cognitive decline. Gingivitis is reversible, and periodontitis to some degree is preventable and controllable when manifest. Therefore, further research is needed to clarify potential underlying mechanisms and oral health interventions that might ameliorate cognitive decline. J Am Geriatr Soc 61:177-184, 2013.","container-title":"Journal of the American Geriatrics Society","DOI":"10.1111/jgs.12094","issue":"2","page":"177-184","title":"Adverse Oral Health and Cognitive Decline: The Health, Aging and Body Composition Study","volume":"61","author":[{"family":"Stewart","given":"R"},{"family":"Weyant","given":"R J"},{"family":"Garcia","given":"M E"},{"family":"Harris","given":"T"},{"family":"Launer","given":"L J"},{"family":"Satterfield","given":"S"},{"family":"Sirnonsick","given":"E M"},{"family":"Yaffe","given":"K"},{"family":"Newman","given":"A B"}],"issued":{"date-parts":[["2013"]]}}}],"schema":"https://github.com/citation-style-language/schema/raw/master/csl-citation.json"}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[30]</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32C37"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E541BA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70361"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09955A"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373F1"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0739AA6"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7E00B1A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D8F8A"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68A2D5"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7/9</w:t>
            </w:r>
          </w:p>
        </w:tc>
      </w:tr>
      <w:tr w:rsidR="003008B4" w:rsidRPr="003008B4" w14:paraId="221F8504"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3DC4DD15"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Tzeng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19elqjl07k","properties":{"formattedCitation":"[31]","plainCitation":"[31]","noteIndex":0},"citationItems":[{"id":39627,"uris":["http://zotero.org/users/local/XQFWVUaB/items/ZY4VZ7SV"],"uri":["http://zotero.org/users/local/XQFWVUaB/items/ZY4VZ7SV"],"itemData":{"id":39627,"type":"article-journal","abstract":"Background: Chronic periodontitis and gingivitis are associated with various diseases; however, their impact on dementia is yet to be elucidated. This study is aimed at investigating the association between chronic periodontitis and gingivitis, and the risk of developing dementia. Methods: A total of 2,207 patients, with newly diagnosed chronic periodontitis and gingivitis between January 1, 2000 and December 31, 2000, were selected from the National Health Insurance Research Database of Taiwan, along with 6,621 controls matched for sex and age. After adjusting for confounding factors, Cox proportional hazards analysis was used to compare the risk of developing dementia during the 10-year follow-up period. Results: Of the study subjects, 25 (1.13%) developed dementia compared to 61 (0.92%) in the control group. Cox proportional hazards regression analysis revealed that the study subjects were more likely to develop dementia (hazard ratio (HR) 2.085, 95% CI 1.552-4.156, p &lt; 0.001). After adjusting for sex, age, monthly income, urbanization level, geographic region, and comorbidities, the HR for dementia was 2.54 (95% CI 1.297-3.352, p = 0.002). Conclusions: Patients with chronic periodontitis and gingivitis have a higher risk of developing dementia. However, further studies on other large or national data sets are required to support the current findings. (C) 2016 S. Karger AG, Basel","container-title":"Neuroepidemiology","DOI":"10.1159/000449166","issue":"2","page":"82-93","title":"Are Chronic Periodontitis and Gingivitis Associated with Dementia? A Nationwide, Retrospective, Matched-Cohort Study in Taiwan","volume":"47","author":[{"family":"Tzeng","given":"N S"},{"family":"Chung","given":"C H"},{"family":"Yeh","given":"C B"},{"family":"Huang","given":"R Y"},{"family":"Yuh","given":"D Y"},{"family":"Huang","given":"S Y"},{"family":"Lu","given":"R B"},{"family":"Chang","given":"H A"},{"family":"Kao","given":"Y C"},{"family":"Chiang","given":"W S"},{"family":"Chou","given":"Y C"},{"family":"Chien","given":"W C"}],"issued":{"date-parts":[["2016"]]}}}],"schema":"https://github.com/citation-style-language/schema/raw/master/csl-citation.json"}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[31]</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vAlign w:val="center"/>
            <w:hideMark/>
          </w:tcPr>
          <w:p w14:paraId="4462403A"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846C37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C68B1F"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3EFA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19D3614"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7306C6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17BB0AFA"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69" w:type="dxa"/>
            <w:tcBorders>
              <w:top w:val="single" w:sz="4" w:space="0" w:color="auto"/>
              <w:left w:val="single" w:sz="4" w:space="0" w:color="auto"/>
              <w:bottom w:val="single" w:sz="4" w:space="0" w:color="auto"/>
              <w:right w:val="single" w:sz="4" w:space="0" w:color="auto"/>
            </w:tcBorders>
            <w:vAlign w:val="center"/>
            <w:hideMark/>
          </w:tcPr>
          <w:p w14:paraId="7DA0D9C8"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CFBA01"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9/9</w:t>
            </w:r>
          </w:p>
        </w:tc>
      </w:tr>
      <w:tr w:rsidR="003008B4" w:rsidRPr="003008B4" w14:paraId="5E82D099" w14:textId="77777777" w:rsidTr="00B04D7F">
        <w:tc>
          <w:tcPr>
            <w:tcW w:w="1061" w:type="dxa"/>
            <w:tcBorders>
              <w:top w:val="single" w:sz="4" w:space="0" w:color="auto"/>
              <w:left w:val="single" w:sz="4" w:space="0" w:color="auto"/>
              <w:bottom w:val="single" w:sz="4" w:space="0" w:color="auto"/>
              <w:right w:val="single" w:sz="4" w:space="0" w:color="auto"/>
            </w:tcBorders>
            <w:hideMark/>
          </w:tcPr>
          <w:p w14:paraId="2E3EBD53"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Sparks Stein et al.</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jhb03ma8u","properties":{"formattedCitation":"[29]","plainCitation":"[29]","noteIndex":0},"citationItems":[{"id":39620,"uris":["http://zotero.org/users/local/XQFWVUaB/items/SJP2GGYJ"],"uri":["http://zotero.org/users/local/XQFWVUaB/items/SJP2GGYJ"],"itemData":{"id":39620,"type":"article-journal","abstract":"BACKGROUND: Chronic inflammation in periodontal disease has been suggested as a  potential risk factor in Alzheimer's disease (AD). The purpose of this study was to examine serum antibody levels to bacteria of periodontal disease in participants who eventually converted to AD compared with the antibody levels in control subjects. METHODS: Serum samples from 158 participants in the Biologically Resilient Adults in Neurological Studies research program at the University of Kentucky were analyzed for immunoglobulin G antibody levels to seven oral bacteria associated with periodontitis, including Aggregatibacter actinomycetemcomitans, Porphyromonas gingivalis, Campylobacter rectus, Treponema denticola, Fusobacterium nucleatum, Tannerella forsythia, and Prevotella intermedia. All 158 participants were cognitively intact at baseline venous blood draw. In all, 81 of the participants developed either mild cognitive impairment (MCI) or AD or both, and 77 controls remained cognitively intact in the years of follow-up. Antibody levels were compared between controls and subjects with AD at baseline draw and after conversion and controls and subjects with MCI at baseline draw and after conversion using the Wilcoxon rank-sum test. AD and MCI participants were not directly compared. Linear regression models were used to adjust for potential confounding. RESULTS: Antibody levels to F nucleatum and P intermedia were significantly increased (α = 0.05) at baseline serum draw in the patients with AD compared with controls. These results remained significant when controlling for baseline age, Mini-Mental State Examination score, and apolipoprotein epsilon 4 status. CONCLUSIONS: This study provides initial data that demonstrate elevated antibodies to periodontal disease bacteria in subjects years before cognitive impairment and suggests that periodontal disease could potentially contribute to the risk of AD onset/progression. Additional cohort studies profiling oral clinical presentation with systemic response and AD and prospective studies to evaluate any cause-and-effect association are warranted.","container-title":"Alzheimer's &amp; dementia : the journal of the Alzheimer's Association","DOI":"10.1016/j.jalz.2011.04.006","issue":"3","language":"eng","page":"196-203","title":"Serum antibodies to periodontal pathogens are a risk factor for Alzheimer's disease.","volume":"8","author":[{"family":"Sparks Stein","given":"Pamela"},{"family":"Steffen","given":"Michelle J"},{"family":"Smith","given":"Charles"},{"family":"Jicha","given":"Gregory"},{"family":"Ebersole","given":"Jeffrey L"},{"family":"Abner","given":"Erin"},{"family":"Dawson","given":"Dolph 3rd"}],"issued":{"date-parts":[["2012",5]]}}}],"schema":"https://github.com/citation-style-language/schema/raw/master/csl-citation.json"}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[29]</w:t>
            </w:r>
            <w:r w:rsidRPr="003008B4">
              <w:rPr>
                <w:rFonts w:eastAsia="Times New Roman" w:cs="Times New Roman"/>
                <w:szCs w:val="22"/>
                <w:lang w:eastAsia="de-DE" w:bidi="en-US"/>
              </w:rPr>
              <w:fldChar w:fldCharType="end"/>
            </w: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1EEF2"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76892EE"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98635"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70FE7F9C"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E72742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7DE5548"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677A7AA7"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04E27"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83272D"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8/9</w:t>
            </w:r>
          </w:p>
        </w:tc>
      </w:tr>
    </w:tbl>
    <w:p w14:paraId="5B8962F5" w14:textId="77777777" w:rsidR="003008B4" w:rsidRPr="003008B4" w:rsidRDefault="003008B4" w:rsidP="003008B4">
      <w:pPr>
        <w:bidi w:val="0"/>
        <w:spacing w:line="276" w:lineRule="auto"/>
        <w:ind w:hanging="709"/>
        <w:jc w:val="both"/>
        <w:rPr>
          <w:rFonts w:ascii="Palatino Linotype" w:eastAsia="宋体" w:hAnsi="Palatino Linotype" w:cs="Times New Roman"/>
          <w:b/>
          <w:bCs/>
          <w:noProof/>
          <w:color w:val="FF0000"/>
          <w:sz w:val="22"/>
          <w:szCs w:val="22"/>
          <w:lang w:eastAsia="zh-CN"/>
        </w:rPr>
      </w:pPr>
      <w:r w:rsidRPr="003008B4">
        <w:rPr>
          <w:rFonts w:ascii="Palatino Linotype" w:eastAsia="宋体" w:hAnsi="Palatino Linotype" w:cs="Times New Roman"/>
          <w:b/>
          <w:bCs/>
          <w:noProof/>
          <w:color w:val="FF0000"/>
          <w:sz w:val="22"/>
          <w:szCs w:val="22"/>
          <w:lang w:eastAsia="zh-CN"/>
        </w:rPr>
        <w:t>Supplemantary file S2: Risk of bias assessment of included studies</w:t>
      </w:r>
    </w:p>
    <w:p w14:paraId="40A647FE" w14:textId="77777777" w:rsidR="003008B4" w:rsidRPr="003008B4" w:rsidRDefault="003008B4" w:rsidP="003008B4">
      <w:pPr>
        <w:bidi w:val="0"/>
        <w:spacing w:line="276" w:lineRule="auto"/>
        <w:ind w:hanging="709"/>
        <w:jc w:val="both"/>
        <w:rPr>
          <w:rFonts w:ascii="Palatino Linotype" w:eastAsia="宋体" w:hAnsi="Palatino Linotype" w:cs="Times New Roman"/>
          <w:b/>
          <w:bCs/>
          <w:noProof/>
          <w:color w:val="FF0000"/>
          <w:sz w:val="22"/>
          <w:szCs w:val="22"/>
          <w:lang w:eastAsia="zh-CN"/>
        </w:rPr>
      </w:pPr>
      <w:r w:rsidRPr="003008B4">
        <w:rPr>
          <w:rFonts w:ascii="Palatino Linotype" w:eastAsia="宋体" w:hAnsi="Palatino Linotype" w:cs="Times New Roman"/>
          <w:b/>
          <w:bCs/>
          <w:noProof/>
          <w:color w:val="FF0000"/>
          <w:sz w:val="22"/>
          <w:szCs w:val="22"/>
          <w:lang w:eastAsia="zh-CN"/>
        </w:rPr>
        <w:t>S2A. Risk of bias in cohort studies</w:t>
      </w:r>
    </w:p>
    <w:p w14:paraId="46249FD5" w14:textId="77777777" w:rsidR="003008B4" w:rsidRPr="003008B4" w:rsidRDefault="003008B4" w:rsidP="003008B4">
      <w:pPr>
        <w:bidi w:val="0"/>
        <w:spacing w:line="260" w:lineRule="atLeast"/>
        <w:jc w:val="both"/>
        <w:rPr>
          <w:rFonts w:ascii="Palatino Linotype" w:eastAsia="宋体" w:hAnsi="Palatino Linotype" w:cs="Times New Roman"/>
          <w:noProof/>
          <w:color w:val="000000"/>
          <w:sz w:val="20"/>
          <w:szCs w:val="20"/>
          <w:lang w:eastAsia="zh-CN"/>
        </w:rPr>
      </w:pPr>
    </w:p>
    <w:p w14:paraId="06148FF0" w14:textId="77777777" w:rsidR="003008B4" w:rsidRPr="003008B4" w:rsidRDefault="003008B4" w:rsidP="003008B4">
      <w:pPr>
        <w:bidi w:val="0"/>
        <w:spacing w:line="260" w:lineRule="atLeast"/>
        <w:jc w:val="both"/>
        <w:rPr>
          <w:rFonts w:ascii="Palatino Linotype" w:eastAsia="宋体" w:hAnsi="Palatino Linotype" w:cs="Times New Roman"/>
          <w:noProof/>
          <w:color w:val="000000"/>
          <w:sz w:val="20"/>
          <w:szCs w:val="20"/>
          <w:lang w:eastAsia="zh-CN"/>
        </w:rPr>
        <w:sectPr w:rsidR="003008B4" w:rsidRPr="003008B4">
          <w:pgSz w:w="12240" w:h="15840"/>
          <w:pgMar w:top="1440" w:right="1800" w:bottom="1440" w:left="1800" w:header="720" w:footer="720" w:gutter="0"/>
          <w:cols w:space="720"/>
          <w:docGrid w:linePitch="360"/>
        </w:sectPr>
      </w:pPr>
    </w:p>
    <w:p w14:paraId="5DE2B0B2" w14:textId="77777777" w:rsidR="003008B4" w:rsidRPr="003008B4" w:rsidRDefault="003008B4" w:rsidP="003008B4">
      <w:pPr>
        <w:bidi w:val="0"/>
        <w:spacing w:line="276" w:lineRule="auto"/>
        <w:ind w:hanging="1134"/>
        <w:jc w:val="both"/>
        <w:rPr>
          <w:rFonts w:ascii="Palatino Linotype" w:eastAsia="宋体" w:hAnsi="Palatino Linotype" w:cs="Times New Roman"/>
          <w:b/>
          <w:bCs/>
          <w:noProof/>
          <w:color w:val="FF0000"/>
          <w:lang w:eastAsia="zh-CN"/>
        </w:rPr>
      </w:pPr>
      <w:r w:rsidRPr="003008B4">
        <w:rPr>
          <w:rFonts w:ascii="Palatino Linotype" w:eastAsia="宋体" w:hAnsi="Palatino Linotype" w:cs="Times New Roman"/>
          <w:b/>
          <w:bCs/>
          <w:noProof/>
          <w:color w:val="FF0000"/>
          <w:lang w:eastAsia="zh-CN"/>
        </w:rPr>
        <w:lastRenderedPageBreak/>
        <w:t>S2B. Risk of bias in case-control studies:</w:t>
      </w:r>
    </w:p>
    <w:tbl>
      <w:tblPr>
        <w:tblStyle w:val="TableGrid1"/>
        <w:tblpPr w:leftFromText="180" w:rightFromText="180" w:vertAnchor="text" w:horzAnchor="margin" w:tblpXSpec="center" w:tblpY="107"/>
        <w:tblW w:w="10773" w:type="dxa"/>
        <w:tblInd w:w="0" w:type="dxa"/>
        <w:tblLayout w:type="fixed"/>
        <w:tblLook w:val="04A0" w:firstRow="1" w:lastRow="0" w:firstColumn="1" w:lastColumn="0" w:noHBand="0" w:noVBand="1"/>
      </w:tblPr>
      <w:tblGrid>
        <w:gridCol w:w="1017"/>
        <w:gridCol w:w="1393"/>
        <w:gridCol w:w="1276"/>
        <w:gridCol w:w="1134"/>
        <w:gridCol w:w="1134"/>
        <w:gridCol w:w="1134"/>
        <w:gridCol w:w="1134"/>
        <w:gridCol w:w="992"/>
        <w:gridCol w:w="851"/>
        <w:gridCol w:w="708"/>
      </w:tblGrid>
      <w:tr w:rsidR="003008B4" w:rsidRPr="003008B4" w14:paraId="76F73514" w14:textId="77777777" w:rsidTr="00B04D7F">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5CA17394"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Authors</w:t>
            </w:r>
          </w:p>
        </w:tc>
        <w:tc>
          <w:tcPr>
            <w:tcW w:w="4937" w:type="dxa"/>
            <w:gridSpan w:val="4"/>
            <w:tcBorders>
              <w:top w:val="single" w:sz="4" w:space="0" w:color="auto"/>
              <w:left w:val="single" w:sz="4" w:space="0" w:color="auto"/>
              <w:bottom w:val="single" w:sz="4" w:space="0" w:color="auto"/>
              <w:right w:val="single" w:sz="4" w:space="0" w:color="auto"/>
            </w:tcBorders>
            <w:hideMark/>
          </w:tcPr>
          <w:p w14:paraId="38DBE994"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 xml:space="preserve">Selection </w:t>
            </w:r>
          </w:p>
        </w:tc>
        <w:tc>
          <w:tcPr>
            <w:tcW w:w="1134" w:type="dxa"/>
            <w:tcBorders>
              <w:top w:val="single" w:sz="4" w:space="0" w:color="auto"/>
              <w:left w:val="single" w:sz="4" w:space="0" w:color="auto"/>
              <w:bottom w:val="single" w:sz="4" w:space="0" w:color="auto"/>
              <w:right w:val="single" w:sz="4" w:space="0" w:color="auto"/>
            </w:tcBorders>
            <w:hideMark/>
          </w:tcPr>
          <w:p w14:paraId="679CB36C"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Comparability</w:t>
            </w:r>
          </w:p>
        </w:tc>
        <w:tc>
          <w:tcPr>
            <w:tcW w:w="2977" w:type="dxa"/>
            <w:gridSpan w:val="3"/>
            <w:tcBorders>
              <w:top w:val="single" w:sz="4" w:space="0" w:color="auto"/>
              <w:left w:val="single" w:sz="4" w:space="0" w:color="auto"/>
              <w:bottom w:val="single" w:sz="4" w:space="0" w:color="auto"/>
              <w:right w:val="single" w:sz="4" w:space="0" w:color="auto"/>
            </w:tcBorders>
            <w:hideMark/>
          </w:tcPr>
          <w:p w14:paraId="019C1C37"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Outcome</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CF3259F" w14:textId="77777777" w:rsidR="003008B4" w:rsidRPr="003008B4" w:rsidRDefault="003008B4" w:rsidP="003008B4">
            <w:pPr>
              <w:adjustRightInd w:val="0"/>
              <w:snapToGrid w:val="0"/>
              <w:spacing w:before="240" w:after="60" w:line="228" w:lineRule="auto"/>
              <w:jc w:val="center"/>
              <w:outlineLvl w:val="2"/>
              <w:rPr>
                <w:rFonts w:eastAsia="Times New Roman" w:cs="Times New Roman"/>
                <w:szCs w:val="22"/>
                <w:lang w:eastAsia="de-DE" w:bidi="en-US"/>
              </w:rPr>
            </w:pPr>
            <w:r w:rsidRPr="003008B4">
              <w:rPr>
                <w:rFonts w:eastAsia="Times New Roman" w:cs="Times New Roman"/>
                <w:szCs w:val="22"/>
                <w:lang w:eastAsia="de-DE" w:bidi="en-US"/>
              </w:rPr>
              <w:t>Total</w:t>
            </w:r>
          </w:p>
        </w:tc>
      </w:tr>
      <w:tr w:rsidR="003008B4" w:rsidRPr="003008B4" w14:paraId="19EBF74F" w14:textId="77777777" w:rsidTr="00B04D7F">
        <w:tc>
          <w:tcPr>
            <w:tcW w:w="1017" w:type="dxa"/>
            <w:vMerge/>
            <w:tcBorders>
              <w:top w:val="single" w:sz="4" w:space="0" w:color="auto"/>
              <w:left w:val="single" w:sz="4" w:space="0" w:color="auto"/>
              <w:bottom w:val="single" w:sz="4" w:space="0" w:color="auto"/>
              <w:right w:val="single" w:sz="4" w:space="0" w:color="auto"/>
            </w:tcBorders>
            <w:vAlign w:val="center"/>
            <w:hideMark/>
          </w:tcPr>
          <w:p w14:paraId="04BC304A" w14:textId="77777777" w:rsidR="003008B4" w:rsidRPr="003008B4" w:rsidRDefault="003008B4" w:rsidP="003008B4">
            <w:pPr>
              <w:rPr>
                <w:rFonts w:eastAsia="Times New Roman" w:cs="Times New Roman"/>
                <w:szCs w:val="22"/>
                <w:lang w:eastAsia="de-DE" w:bidi="en-US"/>
              </w:rPr>
            </w:pPr>
          </w:p>
        </w:tc>
        <w:tc>
          <w:tcPr>
            <w:tcW w:w="1393" w:type="dxa"/>
            <w:tcBorders>
              <w:top w:val="single" w:sz="4" w:space="0" w:color="auto"/>
              <w:left w:val="single" w:sz="4" w:space="0" w:color="auto"/>
              <w:bottom w:val="single" w:sz="4" w:space="0" w:color="auto"/>
              <w:right w:val="single" w:sz="4" w:space="0" w:color="auto"/>
            </w:tcBorders>
            <w:hideMark/>
          </w:tcPr>
          <w:p w14:paraId="42952946"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Is the case definition adequate?</w:t>
            </w:r>
          </w:p>
        </w:tc>
        <w:tc>
          <w:tcPr>
            <w:tcW w:w="1276" w:type="dxa"/>
            <w:tcBorders>
              <w:top w:val="single" w:sz="4" w:space="0" w:color="auto"/>
              <w:left w:val="single" w:sz="4" w:space="0" w:color="auto"/>
              <w:bottom w:val="single" w:sz="4" w:space="0" w:color="auto"/>
              <w:right w:val="single" w:sz="4" w:space="0" w:color="auto"/>
            </w:tcBorders>
            <w:hideMark/>
          </w:tcPr>
          <w:p w14:paraId="6F5D4A94"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 xml:space="preserve">Representativeness of the cases </w:t>
            </w:r>
          </w:p>
        </w:tc>
        <w:tc>
          <w:tcPr>
            <w:tcW w:w="1134" w:type="dxa"/>
            <w:tcBorders>
              <w:top w:val="single" w:sz="4" w:space="0" w:color="auto"/>
              <w:left w:val="single" w:sz="4" w:space="0" w:color="auto"/>
              <w:bottom w:val="single" w:sz="4" w:space="0" w:color="auto"/>
              <w:right w:val="single" w:sz="4" w:space="0" w:color="auto"/>
            </w:tcBorders>
            <w:hideMark/>
          </w:tcPr>
          <w:p w14:paraId="6902FC09"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 xml:space="preserve">Selection of Controls </w:t>
            </w:r>
          </w:p>
        </w:tc>
        <w:tc>
          <w:tcPr>
            <w:tcW w:w="1134" w:type="dxa"/>
            <w:tcBorders>
              <w:top w:val="single" w:sz="4" w:space="0" w:color="auto"/>
              <w:left w:val="single" w:sz="4" w:space="0" w:color="auto"/>
              <w:bottom w:val="single" w:sz="4" w:space="0" w:color="auto"/>
              <w:right w:val="single" w:sz="4" w:space="0" w:color="auto"/>
            </w:tcBorders>
            <w:hideMark/>
          </w:tcPr>
          <w:p w14:paraId="328BD13E"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 xml:space="preserve">Definition of Controls </w:t>
            </w:r>
          </w:p>
        </w:tc>
        <w:tc>
          <w:tcPr>
            <w:tcW w:w="1134" w:type="dxa"/>
            <w:tcBorders>
              <w:top w:val="single" w:sz="4" w:space="0" w:color="auto"/>
              <w:left w:val="single" w:sz="4" w:space="0" w:color="auto"/>
              <w:bottom w:val="single" w:sz="4" w:space="0" w:color="auto"/>
              <w:right w:val="single" w:sz="4" w:space="0" w:color="auto"/>
            </w:tcBorders>
            <w:hideMark/>
          </w:tcPr>
          <w:p w14:paraId="38E7078C"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Comparability of cases and controls on the basis of the design or analysis</w:t>
            </w:r>
          </w:p>
        </w:tc>
        <w:tc>
          <w:tcPr>
            <w:tcW w:w="1134" w:type="dxa"/>
            <w:tcBorders>
              <w:top w:val="single" w:sz="4" w:space="0" w:color="auto"/>
              <w:left w:val="single" w:sz="4" w:space="0" w:color="auto"/>
              <w:bottom w:val="single" w:sz="4" w:space="0" w:color="auto"/>
              <w:right w:val="single" w:sz="4" w:space="0" w:color="auto"/>
            </w:tcBorders>
            <w:hideMark/>
          </w:tcPr>
          <w:p w14:paraId="12195F67"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Ascertainment of exposure</w:t>
            </w:r>
          </w:p>
        </w:tc>
        <w:tc>
          <w:tcPr>
            <w:tcW w:w="992" w:type="dxa"/>
            <w:tcBorders>
              <w:top w:val="single" w:sz="4" w:space="0" w:color="auto"/>
              <w:left w:val="single" w:sz="4" w:space="0" w:color="auto"/>
              <w:bottom w:val="single" w:sz="4" w:space="0" w:color="auto"/>
              <w:right w:val="single" w:sz="4" w:space="0" w:color="auto"/>
            </w:tcBorders>
            <w:hideMark/>
          </w:tcPr>
          <w:p w14:paraId="726DA837"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Same method of ascertainment for cases and controls</w:t>
            </w:r>
          </w:p>
        </w:tc>
        <w:tc>
          <w:tcPr>
            <w:tcW w:w="851" w:type="dxa"/>
            <w:tcBorders>
              <w:top w:val="single" w:sz="4" w:space="0" w:color="auto"/>
              <w:left w:val="single" w:sz="4" w:space="0" w:color="auto"/>
              <w:bottom w:val="single" w:sz="4" w:space="0" w:color="auto"/>
              <w:right w:val="single" w:sz="4" w:space="0" w:color="auto"/>
            </w:tcBorders>
            <w:hideMark/>
          </w:tcPr>
          <w:p w14:paraId="73DB2FDA" w14:textId="77777777" w:rsidR="003008B4" w:rsidRPr="003008B4" w:rsidRDefault="003008B4" w:rsidP="003008B4">
            <w:pPr>
              <w:adjustRightInd w:val="0"/>
              <w:snapToGrid w:val="0"/>
              <w:spacing w:before="240" w:after="60" w:line="228" w:lineRule="auto"/>
              <w:jc w:val="center"/>
              <w:outlineLvl w:val="2"/>
              <w:rPr>
                <w:rFonts w:eastAsia="Times New Roman" w:cs="Times New Roman"/>
                <w:lang w:eastAsia="de-DE" w:bidi="en-US"/>
              </w:rPr>
            </w:pPr>
            <w:r w:rsidRPr="003008B4">
              <w:rPr>
                <w:rFonts w:eastAsia="Times New Roman" w:cs="Times New Roman"/>
                <w:szCs w:val="22"/>
                <w:lang w:eastAsia="de-DE" w:bidi="en-US"/>
              </w:rPr>
              <w:t>Non-Response rate</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C7B15C" w14:textId="77777777" w:rsidR="003008B4" w:rsidRPr="003008B4" w:rsidRDefault="003008B4" w:rsidP="003008B4">
            <w:pPr>
              <w:rPr>
                <w:rFonts w:eastAsia="Times New Roman" w:cs="Times New Roman"/>
                <w:szCs w:val="22"/>
                <w:lang w:eastAsia="de-DE" w:bidi="en-US"/>
              </w:rPr>
            </w:pPr>
          </w:p>
        </w:tc>
      </w:tr>
      <w:tr w:rsidR="003008B4" w:rsidRPr="003008B4" w14:paraId="727BCB71" w14:textId="77777777" w:rsidTr="00B04D7F">
        <w:tc>
          <w:tcPr>
            <w:tcW w:w="1017" w:type="dxa"/>
            <w:tcBorders>
              <w:top w:val="single" w:sz="4" w:space="0" w:color="auto"/>
              <w:left w:val="single" w:sz="4" w:space="0" w:color="auto"/>
              <w:bottom w:val="single" w:sz="4" w:space="0" w:color="auto"/>
              <w:right w:val="single" w:sz="4" w:space="0" w:color="auto"/>
            </w:tcBorders>
            <w:hideMark/>
          </w:tcPr>
          <w:p w14:paraId="0C7B3FDC"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Montoya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8p6o4s8cf","properties":{"formattedCitation":"[36]","plainCitation":"[36]","noteIndex":0},"citationItems":[{"id":39602,"uris":["http://zotero.org/users/local/XQFWVUaB/items/HEA5L473"],"uri":["http://zotero.org/users/local/XQFWVUaB/items/HEA5L473"],"itemData":{"id":39602,"type":"article-journal","abstract":"Objectives The role in dementia of systemic inflammation derived from periodontal disease is not fully elucidated. The objective of our study was to examine the impact of inflammation on the relationship between periodontitis and cognitive impairment. Methods We have designed a case (n = 171) and control (n = 131) study to determine the periodontal health status, grade of cognitive impairment/dementia and systemic inflammation level, the last being measured by analysis of 29 inflammatory biomarkers using multiplex techniques. Results At the time of sampling, 11 of the 29 inflammatory biomarkers were associated with cognitive impairment in patients with more severe periodontitis. However, the inflammatory response to severe periodontitis was more reduced (lower biomarker concentrations) in cases (with cognitive impairment or dementia) than in (cognitively healthy) controls, an unexpected finding. Conclusions Based on these results, we cannot confirm that systemic inflammation derived from periodontal disease plays a relevant role in the aetiology of cognitive impairment.","container-title":"Gerodontology","DOI":"10.1111/ger.12431","issue":"1","page":"11-18","title":"'Systemic inflammatory impact of periodontitis on cognitive impairment'","volume":"37","author":[{"family":"Montoya","given":"J A G"},{"family":"Barrios","given":"R"},{"family":"Sanchez-Lara","given":"I"},{"family":"Ramos","given":"P"},{"family":"Carnero","given":"C"},{"family":"Fornieles","given":"F"},{"family":"Montes","given":"J"},{"family":"Santana","given":"S"},{"family":"Luna","given":"J D"},{"family":"Gonzalez-Moles","given":"M A"}],"issued":{"date-parts":[["2020"]]}}}],"schema":"https://github.com/citation-style-language/schema/raw/master/csl-citation.json"}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[36]</w:t>
            </w:r>
            <w:r w:rsidRPr="003008B4">
              <w:rPr>
                <w:rFonts w:eastAsia="Times New Roman" w:cs="Times New Roman"/>
                <w:szCs w:val="22"/>
                <w:lang w:eastAsia="de-DE" w:bidi="en-US"/>
              </w:rPr>
              <w:fldChar w:fldCharType="end"/>
            </w:r>
          </w:p>
        </w:tc>
        <w:tc>
          <w:tcPr>
            <w:tcW w:w="1393" w:type="dxa"/>
            <w:tcBorders>
              <w:top w:val="single" w:sz="4" w:space="0" w:color="auto"/>
              <w:left w:val="single" w:sz="4" w:space="0" w:color="auto"/>
              <w:bottom w:val="single" w:sz="4" w:space="0" w:color="auto"/>
              <w:right w:val="single" w:sz="4" w:space="0" w:color="auto"/>
            </w:tcBorders>
            <w:vAlign w:val="center"/>
            <w:hideMark/>
          </w:tcPr>
          <w:p w14:paraId="6F4D8A3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BBB7F9"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D7F3C"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6E7FC"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E5117"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49AF14"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E764B"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9D07E5"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449E5A"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8/9</w:t>
            </w:r>
          </w:p>
        </w:tc>
      </w:tr>
      <w:tr w:rsidR="003008B4" w:rsidRPr="003008B4" w14:paraId="068D4823" w14:textId="77777777" w:rsidTr="00B04D7F">
        <w:tc>
          <w:tcPr>
            <w:tcW w:w="1017" w:type="dxa"/>
            <w:tcBorders>
              <w:top w:val="single" w:sz="4" w:space="0" w:color="auto"/>
              <w:left w:val="single" w:sz="4" w:space="0" w:color="auto"/>
              <w:bottom w:val="single" w:sz="4" w:space="0" w:color="auto"/>
              <w:right w:val="single" w:sz="4" w:space="0" w:color="auto"/>
            </w:tcBorders>
            <w:hideMark/>
          </w:tcPr>
          <w:p w14:paraId="1238ABB5" w14:textId="77777777" w:rsidR="003008B4" w:rsidRPr="003008B4" w:rsidRDefault="003008B4" w:rsidP="003008B4">
            <w:pPr>
              <w:adjustRightInd w:val="0"/>
              <w:snapToGrid w:val="0"/>
              <w:spacing w:before="240" w:after="60" w:line="228" w:lineRule="auto"/>
              <w:outlineLvl w:val="2"/>
              <w:rPr>
                <w:rFonts w:eastAsia="Times New Roman" w:cs="Times New Roman"/>
                <w:szCs w:val="22"/>
                <w:lang w:eastAsia="de-DE" w:bidi="en-US"/>
              </w:rPr>
            </w:pPr>
            <w:r w:rsidRPr="003008B4">
              <w:rPr>
                <w:rFonts w:eastAsia="Times New Roman" w:cs="Times New Roman"/>
                <w:szCs w:val="22"/>
                <w:lang w:eastAsia="de-DE" w:bidi="en-US"/>
              </w:rPr>
              <w:t xml:space="preserve">Shin et al. </w:t>
            </w:r>
            <w:r w:rsidRPr="003008B4">
              <w:rPr>
                <w:rFonts w:eastAsia="Times New Roman" w:cs="Times New Roman"/>
                <w:szCs w:val="22"/>
                <w:lang w:eastAsia="de-DE" w:bidi="en-US"/>
              </w:rPr>
              <w:fldChar w:fldCharType="begin"/>
            </w:r>
            <w:r w:rsidRPr="003008B4">
              <w:rPr>
                <w:rFonts w:eastAsia="Times New Roman" w:cs="Times New Roman"/>
                <w:szCs w:val="22"/>
                <w:lang w:eastAsia="de-DE" w:bidi="en-US"/>
              </w:rPr>
              <w:instrText xml:space="preserve"> ADDIN ZOTERO_ITEM CSL_CITATION {"citationID":"a23dup2n5ea","properties":{"formattedCitation":"[37]","plainCitation":"[37]","noteIndex":0},"citationItems":[{"id":39614,"uris":["http://zotero.org/users/local/XQFWVUaB/items/6MTSIYCT"],"uri":["http://zotero.org/users/local/XQFWVUaB/items/6MTSIYCT"],"itemData":{"id":39614,"type":"article-journal","abstract":"OBJECTIVES: To investigate the association between periodontitis and cognitive impairment in elderly Koreans. DESIGN: Cross-sectional study with age-and sex-matched case-control selection. SETTING: The Yangpyeong cardiovascular cohort (YCC), a part of the Korean Genome Epidemiologic Study (KoGES), Yangpyeong, South Korea. PARTICIPANTS: Individuals with cognitive impairment (n = 65) and cognitively normal controls (n = 124) aged 60 and older from the YCC. MEASUREMENTS: Alveolar bone loss was assessed on dental panoramic radiographs to categorize the cumulative history of periodontitis (HOP) into three groups: normal, moderate periodontitis, severe periodontitis. The Mini-Mental State Examination (MMSE) was used to categorize participants as cognitively normal or cognitively impaired. Age-and sex-matched conditional logistic regression models were used for analysis. Confounders considered in the analysis were age, sex, drinking, smoking, exercise, total cholesterol, total protein, body mass index, fasting plasma glucose, intima-media thickness, hypertension medication, and depression. RESULTS: Participants with HOP were more likely to have cognitive impairment than those without (odds ratio = 2.14, 95% confidence interval = 1.04-4.41). The interaction effect of smoking and exercise on periodontitis highlighted the link. CONCLUSION: Periodontitis was independently associated with cognitive impairment after controlling for various confounders. Further longitudinal research is needed to determine whether periodontitis plays a role in cognitive decline in older adults.","container-title":"Journal of the American Geriatrics Society","DOI":"10.1111/jgs.13781","issue":"1","page":"162-167","title":"Periodontitis Is Associated with Cognitive Impairment in Elderly Koreans: Results from the Yangpyeong Cohort Study","volume":"64","author":[{"family":"Shin","given":"H S"},{"family":"Shin","given":"M S"},{"family":"Ahn","given":"Y B"},{"family":"Choi","given":"B Y"},{"family":"Nam","given":"J H"},{"family":"Kim","given":"H D"}],"issued":{"date-parts":[["2016"]]}}}],"schema":"https://github.com/citation-style-language/schema/raw/master/csl-citation.json"} </w:instrText>
            </w:r>
            <w:r w:rsidRPr="003008B4">
              <w:rPr>
                <w:rFonts w:eastAsia="Times New Roman" w:cs="Times New Roman"/>
                <w:szCs w:val="22"/>
                <w:lang w:eastAsia="de-DE" w:bidi="en-US"/>
              </w:rPr>
              <w:fldChar w:fldCharType="separate"/>
            </w:r>
            <w:r w:rsidRPr="003008B4">
              <w:rPr>
                <w:rFonts w:eastAsia="Times New Roman" w:cs="Times New Roman"/>
                <w:szCs w:val="24"/>
                <w:lang w:eastAsia="de-DE" w:bidi="en-US"/>
              </w:rPr>
              <w:t>[37]</w:t>
            </w:r>
            <w:r w:rsidRPr="003008B4">
              <w:rPr>
                <w:rFonts w:eastAsia="Times New Roman" w:cs="Times New Roman"/>
                <w:szCs w:val="22"/>
                <w:lang w:eastAsia="de-DE" w:bidi="en-US"/>
              </w:rPr>
              <w:fldChar w:fldCharType="end"/>
            </w:r>
          </w:p>
        </w:tc>
        <w:tc>
          <w:tcPr>
            <w:tcW w:w="1393" w:type="dxa"/>
            <w:tcBorders>
              <w:top w:val="single" w:sz="4" w:space="0" w:color="auto"/>
              <w:left w:val="single" w:sz="4" w:space="0" w:color="auto"/>
              <w:bottom w:val="single" w:sz="4" w:space="0" w:color="auto"/>
              <w:right w:val="single" w:sz="4" w:space="0" w:color="auto"/>
            </w:tcBorders>
            <w:vAlign w:val="center"/>
            <w:hideMark/>
          </w:tcPr>
          <w:p w14:paraId="232009C2"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32A80"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22DDE"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66E6B"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6F7BB"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5A9A53"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F3060"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4FC4FE"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 w:val="24"/>
                <w:szCs w:val="28"/>
                <w:lang w:eastAsia="de-DE" w:bidi="en-US"/>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451040" w14:textId="77777777" w:rsidR="003008B4" w:rsidRPr="003008B4" w:rsidRDefault="003008B4" w:rsidP="003008B4">
            <w:pPr>
              <w:adjustRightInd w:val="0"/>
              <w:snapToGrid w:val="0"/>
              <w:spacing w:before="240" w:after="60" w:line="228" w:lineRule="auto"/>
              <w:jc w:val="center"/>
              <w:outlineLvl w:val="2"/>
              <w:rPr>
                <w:rFonts w:eastAsia="Times New Roman" w:cs="Times New Roman"/>
                <w:sz w:val="24"/>
                <w:szCs w:val="28"/>
                <w:lang w:eastAsia="de-DE" w:bidi="en-US"/>
              </w:rPr>
            </w:pPr>
            <w:r w:rsidRPr="003008B4">
              <w:rPr>
                <w:rFonts w:eastAsia="Times New Roman" w:cs="Times New Roman"/>
                <w:szCs w:val="22"/>
                <w:lang w:eastAsia="de-DE" w:bidi="ar-LB"/>
              </w:rPr>
              <w:t>6/9</w:t>
            </w:r>
          </w:p>
        </w:tc>
      </w:tr>
    </w:tbl>
    <w:p w14:paraId="751514DE" w14:textId="77777777" w:rsidR="003008B4" w:rsidRPr="003008B4" w:rsidRDefault="003008B4" w:rsidP="003008B4">
      <w:pPr>
        <w:bidi w:val="0"/>
        <w:spacing w:line="260" w:lineRule="atLeast"/>
        <w:jc w:val="both"/>
        <w:rPr>
          <w:rFonts w:ascii="Palatino Linotype" w:eastAsia="宋体" w:hAnsi="Palatino Linotype" w:cs="Times New Roman"/>
          <w:noProof/>
          <w:color w:val="000000"/>
          <w:sz w:val="20"/>
          <w:szCs w:val="20"/>
          <w:lang w:eastAsia="zh-CN"/>
        </w:rPr>
      </w:pPr>
    </w:p>
    <w:tbl>
      <w:tblPr>
        <w:tblStyle w:val="TableGrid1"/>
        <w:tblpPr w:leftFromText="180" w:rightFromText="180" w:vertAnchor="text" w:horzAnchor="margin" w:tblpXSpec="center" w:tblpY="383"/>
        <w:bidiVisual/>
        <w:tblW w:w="10773" w:type="dxa"/>
        <w:tblInd w:w="0" w:type="dxa"/>
        <w:tblLook w:val="04A0" w:firstRow="1" w:lastRow="0" w:firstColumn="1" w:lastColumn="0" w:noHBand="0" w:noVBand="1"/>
      </w:tblPr>
      <w:tblGrid>
        <w:gridCol w:w="933"/>
        <w:gridCol w:w="1701"/>
        <w:gridCol w:w="1452"/>
        <w:gridCol w:w="1709"/>
        <w:gridCol w:w="1679"/>
        <w:gridCol w:w="2140"/>
        <w:gridCol w:w="1159"/>
      </w:tblGrid>
      <w:tr w:rsidR="003008B4" w:rsidRPr="003008B4" w14:paraId="4B7EF36F" w14:textId="77777777" w:rsidTr="00B04D7F">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44CE84A8" w14:textId="77777777" w:rsidR="003008B4" w:rsidRPr="003008B4" w:rsidRDefault="003008B4" w:rsidP="003008B4">
            <w:pPr>
              <w:jc w:val="center"/>
              <w:rPr>
                <w:rFonts w:cs="Times New Roman"/>
                <w:noProof/>
              </w:rPr>
            </w:pPr>
            <w:r w:rsidRPr="003008B4">
              <w:rPr>
                <w:rFonts w:cs="Times New Roman"/>
                <w:noProof/>
              </w:rPr>
              <w:t>total</w:t>
            </w:r>
          </w:p>
        </w:tc>
        <w:tc>
          <w:tcPr>
            <w:tcW w:w="0" w:type="auto"/>
            <w:tcBorders>
              <w:top w:val="single" w:sz="4" w:space="0" w:color="auto"/>
              <w:left w:val="single" w:sz="4" w:space="0" w:color="auto"/>
              <w:bottom w:val="single" w:sz="4" w:space="0" w:color="auto"/>
              <w:right w:val="single" w:sz="4" w:space="0" w:color="auto"/>
            </w:tcBorders>
            <w:hideMark/>
          </w:tcPr>
          <w:p w14:paraId="41C3EC2F" w14:textId="77777777" w:rsidR="003008B4" w:rsidRPr="003008B4" w:rsidRDefault="003008B4" w:rsidP="003008B4">
            <w:pPr>
              <w:jc w:val="center"/>
              <w:rPr>
                <w:rFonts w:cs="Times New Roman"/>
                <w:noProof/>
              </w:rPr>
            </w:pPr>
            <w:r w:rsidRPr="003008B4">
              <w:rPr>
                <w:rFonts w:cs="Times New Roman"/>
                <w:noProof/>
              </w:rPr>
              <w:t>outcome</w:t>
            </w:r>
          </w:p>
        </w:tc>
        <w:tc>
          <w:tcPr>
            <w:tcW w:w="0" w:type="auto"/>
            <w:vMerge w:val="restart"/>
            <w:tcBorders>
              <w:top w:val="single" w:sz="4" w:space="0" w:color="auto"/>
              <w:left w:val="single" w:sz="4" w:space="0" w:color="auto"/>
              <w:right w:val="single" w:sz="4" w:space="0" w:color="auto"/>
            </w:tcBorders>
            <w:vAlign w:val="center"/>
            <w:hideMark/>
          </w:tcPr>
          <w:p w14:paraId="1448A809" w14:textId="77777777" w:rsidR="003008B4" w:rsidRPr="003008B4" w:rsidRDefault="003008B4" w:rsidP="003008B4">
            <w:pPr>
              <w:jc w:val="center"/>
              <w:rPr>
                <w:rFonts w:cs="Times New Roman"/>
                <w:noProof/>
                <w:rtl/>
              </w:rPr>
            </w:pPr>
            <w:r w:rsidRPr="003008B4">
              <w:rPr>
                <w:rFonts w:cs="Times New Roman"/>
                <w:noProof/>
              </w:rPr>
              <w:t>comparability</w:t>
            </w:r>
          </w:p>
        </w:tc>
        <w:tc>
          <w:tcPr>
            <w:tcW w:w="0" w:type="auto"/>
            <w:gridSpan w:val="3"/>
            <w:tcBorders>
              <w:top w:val="single" w:sz="4" w:space="0" w:color="auto"/>
              <w:left w:val="single" w:sz="4" w:space="0" w:color="auto"/>
              <w:bottom w:val="single" w:sz="4" w:space="0" w:color="auto"/>
              <w:right w:val="single" w:sz="4" w:space="0" w:color="auto"/>
            </w:tcBorders>
            <w:hideMark/>
          </w:tcPr>
          <w:p w14:paraId="42631665" w14:textId="77777777" w:rsidR="003008B4" w:rsidRPr="003008B4" w:rsidRDefault="003008B4" w:rsidP="003008B4">
            <w:pPr>
              <w:jc w:val="center"/>
              <w:rPr>
                <w:rFonts w:cs="Times New Roman"/>
                <w:noProof/>
                <w:rtl/>
              </w:rPr>
            </w:pPr>
            <w:r w:rsidRPr="003008B4">
              <w:rPr>
                <w:rFonts w:cs="Times New Roman"/>
                <w:noProof/>
              </w:rPr>
              <w:t>selection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5EF236" w14:textId="77777777" w:rsidR="003008B4" w:rsidRPr="003008B4" w:rsidRDefault="003008B4" w:rsidP="003008B4">
            <w:pPr>
              <w:jc w:val="center"/>
              <w:rPr>
                <w:rFonts w:cs="Times New Roman"/>
                <w:noProof/>
                <w:rtl/>
              </w:rPr>
            </w:pPr>
            <w:r w:rsidRPr="003008B4">
              <w:rPr>
                <w:rFonts w:cs="Times New Roman"/>
                <w:noProof/>
              </w:rPr>
              <w:t>Authors</w:t>
            </w:r>
          </w:p>
        </w:tc>
      </w:tr>
      <w:tr w:rsidR="003008B4" w:rsidRPr="003008B4" w14:paraId="27D96D50" w14:textId="77777777" w:rsidTr="00B04D7F">
        <w:tc>
          <w:tcPr>
            <w:tcW w:w="0" w:type="auto"/>
            <w:vMerge/>
            <w:tcBorders>
              <w:top w:val="single" w:sz="4" w:space="0" w:color="auto"/>
              <w:left w:val="single" w:sz="4" w:space="0" w:color="auto"/>
              <w:bottom w:val="single" w:sz="4" w:space="0" w:color="auto"/>
              <w:right w:val="single" w:sz="4" w:space="0" w:color="auto"/>
            </w:tcBorders>
            <w:vAlign w:val="center"/>
            <w:hideMark/>
          </w:tcPr>
          <w:p w14:paraId="604DBFDD" w14:textId="77777777" w:rsidR="003008B4" w:rsidRPr="003008B4" w:rsidRDefault="003008B4" w:rsidP="003008B4">
            <w:pPr>
              <w:rPr>
                <w:rFonts w:cs="Times New Roman"/>
                <w:noProof/>
              </w:rPr>
            </w:pPr>
          </w:p>
        </w:tc>
        <w:tc>
          <w:tcPr>
            <w:tcW w:w="0" w:type="auto"/>
            <w:tcBorders>
              <w:top w:val="single" w:sz="4" w:space="0" w:color="auto"/>
              <w:left w:val="single" w:sz="4" w:space="0" w:color="auto"/>
              <w:bottom w:val="single" w:sz="4" w:space="0" w:color="auto"/>
              <w:right w:val="single" w:sz="4" w:space="0" w:color="auto"/>
            </w:tcBorders>
            <w:hideMark/>
          </w:tcPr>
          <w:p w14:paraId="21C6799F" w14:textId="77777777" w:rsidR="003008B4" w:rsidRPr="003008B4" w:rsidRDefault="003008B4" w:rsidP="003008B4">
            <w:pPr>
              <w:rPr>
                <w:rFonts w:cs="Times New Roman"/>
                <w:noProof/>
                <w:rtl/>
              </w:rPr>
            </w:pPr>
            <w:r w:rsidRPr="003008B4">
              <w:rPr>
                <w:rFonts w:cs="Times New Roman"/>
                <w:noProof/>
              </w:rPr>
              <w:t>Ascertainment of outcome</w:t>
            </w:r>
          </w:p>
        </w:tc>
        <w:tc>
          <w:tcPr>
            <w:tcW w:w="0" w:type="auto"/>
            <w:vMerge/>
            <w:tcBorders>
              <w:left w:val="single" w:sz="4" w:space="0" w:color="auto"/>
              <w:bottom w:val="single" w:sz="4" w:space="0" w:color="auto"/>
              <w:right w:val="single" w:sz="4" w:space="0" w:color="auto"/>
            </w:tcBorders>
          </w:tcPr>
          <w:p w14:paraId="563497A9" w14:textId="77777777" w:rsidR="003008B4" w:rsidRPr="003008B4" w:rsidRDefault="003008B4" w:rsidP="003008B4">
            <w:pPr>
              <w:rPr>
                <w:rFonts w:cs="Times New Roman"/>
                <w:noProof/>
                <w:rtl/>
              </w:rPr>
            </w:pPr>
          </w:p>
        </w:tc>
        <w:tc>
          <w:tcPr>
            <w:tcW w:w="0" w:type="auto"/>
            <w:tcBorders>
              <w:top w:val="single" w:sz="4" w:space="0" w:color="auto"/>
              <w:left w:val="single" w:sz="4" w:space="0" w:color="auto"/>
              <w:bottom w:val="single" w:sz="4" w:space="0" w:color="auto"/>
              <w:right w:val="single" w:sz="4" w:space="0" w:color="auto"/>
            </w:tcBorders>
            <w:hideMark/>
          </w:tcPr>
          <w:p w14:paraId="3AAB1280" w14:textId="77777777" w:rsidR="003008B4" w:rsidRPr="003008B4" w:rsidRDefault="003008B4" w:rsidP="003008B4">
            <w:pPr>
              <w:rPr>
                <w:rFonts w:cs="Times New Roman"/>
                <w:noProof/>
                <w:rtl/>
              </w:rPr>
            </w:pPr>
            <w:r w:rsidRPr="003008B4">
              <w:rPr>
                <w:rFonts w:cs="Times New Roman"/>
                <w:noProof/>
              </w:rPr>
              <w:t>Ascertainment of exposure</w:t>
            </w:r>
          </w:p>
        </w:tc>
        <w:tc>
          <w:tcPr>
            <w:tcW w:w="0" w:type="auto"/>
            <w:tcBorders>
              <w:top w:val="single" w:sz="4" w:space="0" w:color="auto"/>
              <w:left w:val="single" w:sz="4" w:space="0" w:color="auto"/>
              <w:bottom w:val="single" w:sz="4" w:space="0" w:color="auto"/>
              <w:right w:val="single" w:sz="4" w:space="0" w:color="auto"/>
            </w:tcBorders>
            <w:hideMark/>
          </w:tcPr>
          <w:p w14:paraId="4FF185C0" w14:textId="77777777" w:rsidR="003008B4" w:rsidRPr="003008B4" w:rsidRDefault="003008B4" w:rsidP="003008B4">
            <w:pPr>
              <w:rPr>
                <w:rFonts w:cs="Times New Roman"/>
                <w:noProof/>
                <w:rtl/>
              </w:rPr>
            </w:pPr>
            <w:r w:rsidRPr="003008B4">
              <w:rPr>
                <w:rFonts w:cs="Times New Roman"/>
                <w:noProof/>
              </w:rPr>
              <w:t>Selection of non-exposed participants</w:t>
            </w:r>
          </w:p>
        </w:tc>
        <w:tc>
          <w:tcPr>
            <w:tcW w:w="0" w:type="auto"/>
            <w:tcBorders>
              <w:top w:val="single" w:sz="4" w:space="0" w:color="auto"/>
              <w:left w:val="single" w:sz="4" w:space="0" w:color="auto"/>
              <w:bottom w:val="single" w:sz="4" w:space="0" w:color="auto"/>
              <w:right w:val="single" w:sz="4" w:space="0" w:color="auto"/>
            </w:tcBorders>
            <w:hideMark/>
          </w:tcPr>
          <w:p w14:paraId="7FA4FB00" w14:textId="77777777" w:rsidR="003008B4" w:rsidRPr="003008B4" w:rsidRDefault="003008B4" w:rsidP="003008B4">
            <w:pPr>
              <w:rPr>
                <w:rFonts w:cs="Times New Roman"/>
                <w:noProof/>
                <w:rtl/>
              </w:rPr>
            </w:pPr>
            <w:r w:rsidRPr="003008B4">
              <w:rPr>
                <w:rFonts w:cs="Times New Roman"/>
                <w:noProof/>
              </w:rPr>
              <w:t xml:space="preserve">Representativeness of the sample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E308C" w14:textId="77777777" w:rsidR="003008B4" w:rsidRPr="003008B4" w:rsidRDefault="003008B4" w:rsidP="003008B4">
            <w:pPr>
              <w:rPr>
                <w:rFonts w:cs="Times New Roman"/>
                <w:noProof/>
              </w:rPr>
            </w:pPr>
          </w:p>
        </w:tc>
      </w:tr>
      <w:tr w:rsidR="003008B4" w:rsidRPr="003008B4" w14:paraId="3E9F3458" w14:textId="77777777" w:rsidTr="00B04D7F">
        <w:tc>
          <w:tcPr>
            <w:tcW w:w="933" w:type="dxa"/>
            <w:tcBorders>
              <w:top w:val="single" w:sz="4" w:space="0" w:color="auto"/>
              <w:left w:val="single" w:sz="4" w:space="0" w:color="auto"/>
              <w:bottom w:val="single" w:sz="4" w:space="0" w:color="auto"/>
              <w:right w:val="single" w:sz="4" w:space="0" w:color="auto"/>
            </w:tcBorders>
            <w:hideMark/>
          </w:tcPr>
          <w:p w14:paraId="5B4352AE" w14:textId="77777777" w:rsidR="003008B4" w:rsidRPr="003008B4" w:rsidRDefault="003008B4" w:rsidP="003008B4">
            <w:pPr>
              <w:jc w:val="center"/>
              <w:rPr>
                <w:rFonts w:cs="Times New Roman"/>
                <w:noProof/>
                <w:rtl/>
              </w:rPr>
            </w:pPr>
            <w:r w:rsidRPr="003008B4">
              <w:rPr>
                <w:rFonts w:cs="Times New Roman"/>
                <w:noProof/>
              </w:rPr>
              <w:t>4/6</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7B507" w14:textId="77777777" w:rsidR="003008B4" w:rsidRPr="003008B4" w:rsidRDefault="003008B4" w:rsidP="003008B4">
            <w:pPr>
              <w:jc w:val="center"/>
              <w:rPr>
                <w:rFonts w:cs="Times New Roman"/>
                <w:noProof/>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8A2E3"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B408"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08161"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04459" w14:textId="77777777" w:rsidR="003008B4" w:rsidRPr="003008B4" w:rsidRDefault="003008B4" w:rsidP="003008B4">
            <w:pPr>
              <w:jc w:val="center"/>
              <w:rPr>
                <w:rFonts w:cs="Times New Roman"/>
                <w:noProof/>
                <w:rtl/>
              </w:rPr>
            </w:pPr>
            <w:r w:rsidRPr="003008B4">
              <w:rPr>
                <w:rFonts w:cs="Times New Roman"/>
                <w:noProof/>
              </w:rPr>
              <w:t>0</w:t>
            </w:r>
          </w:p>
        </w:tc>
        <w:tc>
          <w:tcPr>
            <w:tcW w:w="0" w:type="auto"/>
            <w:tcBorders>
              <w:top w:val="single" w:sz="4" w:space="0" w:color="auto"/>
              <w:left w:val="single" w:sz="4" w:space="0" w:color="auto"/>
              <w:bottom w:val="single" w:sz="4" w:space="0" w:color="auto"/>
              <w:right w:val="single" w:sz="4" w:space="0" w:color="auto"/>
            </w:tcBorders>
            <w:hideMark/>
          </w:tcPr>
          <w:p w14:paraId="15BAE992" w14:textId="77777777" w:rsidR="003008B4" w:rsidRPr="003008B4" w:rsidRDefault="003008B4" w:rsidP="003008B4">
            <w:pPr>
              <w:ind w:left="34"/>
              <w:rPr>
                <w:rFonts w:cs="Times New Roman"/>
                <w:noProof/>
                <w:rtl/>
              </w:rPr>
            </w:pPr>
            <w:r w:rsidRPr="003008B4">
              <w:rPr>
                <w:rFonts w:cs="Times New Roman"/>
                <w:noProof/>
              </w:rPr>
              <w:t xml:space="preserve">Hategan et al. </w:t>
            </w:r>
            <w:r w:rsidRPr="003008B4">
              <w:rPr>
                <w:rFonts w:cs="Times New Roman"/>
                <w:noProof/>
              </w:rPr>
              <w:fldChar w:fldCharType="begin"/>
            </w:r>
            <w:r w:rsidRPr="003008B4">
              <w:rPr>
                <w:rFonts w:cs="Times New Roman"/>
                <w:noProof/>
              </w:rPr>
              <w:instrText xml:space="preserve"> ADDIN ZOTERO_ITEM CSL_CITATION {"citationID":"a2a43cq1rmp","properties":{"formattedCitation":"[33]","plainCitation":"[33]","noteIndex":0},"citationItems":[{"id":39587,"uris":["http://zotero.org/users/local/XQFWVUaB/items/8U6QQNA9"],"uri":["http://zotero.org/users/local/XQFWVUaB/items/8U6QQNA9"],"itemData":{"id":39587,"type":"article-journal","abstract":"Background Periodontal disease is an inflammatory, dysbiotic condition. Studies have shown that in the elderly, periodontal disease was associated with cognitive dysfunction and Alzheimer's disease. Objective To investigate whether young healthy subjects with periodontal disease have lower cognition compared to those without periodontal disease. The salivary cytokines (IL-1 beta, TNF-alpha) levels in relation to cognition were also tested. Methods In a monocenter, cross-sectional study, forty subjects [mean age (SD) = 34 (5) and 48% female] from western Romania were classified into periodontal disease conditions using radiographic assessment: 10 subjects had aggressive periodontitis (AGG_P), 20 chronic mild-moderate periodontitis (CR_P), and 10 no periodontitis (NL_P). Neuropsychological assessment performed by standardized neurologists and psychologist included Rey Auditory Verbal Learning Test (RAVLT), Montreal Cognitive Assessment test (MOCA), Mini-Mental State Examination (MMSE), and Prague tests. Salivary cytokines levels were determined by ELISA. Results RAVLT and MOCA delayed recall scores were lower in AGG_P group compared to NL_P and CR_P. The learning curve was also different with subjects with AGG_P showing reduced learning performance. Contrary to our hypothesis, salivary IL-1 beta associated with immediate but not delayed cognitive scores. Conclusions These results showed for the first time that subjects with AGG_P had cognitive dysfunction and IL-1 beta may play a role in this process.","container-title":"Neurological Sciences","DOI":"10.1007/s10072-021-05115-3","title":"Cognitive dysfunction in young subjects with periodontal disease","author":[{"family":"Hategan","given":"S I"},{"family":"Kamer","given":"S A"},{"family":"Craig","given":"R G"},{"family":"Sinescu","given":"C"},{"family":"Leon","given":"M J","non-dropping-particle":"de"},{"family":"Jianu","given":"D C"},{"family":"Marian","given":"C"},{"family":"Bora","given":"B I"},{"family":"Dan","given":"T F"},{"family":"Birdac","given":"C D"},{"family":"Marcu","given":"A"},{"family":"Kamer","given":"A R"},{"family":"Negrutiu","given":"M L"}]}}],"schema":"https://github.com/citation-style-language/schema/raw/master/csl-citation.json"} </w:instrText>
            </w:r>
            <w:r w:rsidRPr="003008B4">
              <w:rPr>
                <w:rFonts w:cs="Times New Roman"/>
                <w:noProof/>
              </w:rPr>
              <w:fldChar w:fldCharType="separate"/>
            </w:r>
            <w:r w:rsidRPr="003008B4">
              <w:rPr>
                <w:rFonts w:cs="Times New Roman"/>
                <w:noProof/>
                <w:szCs w:val="24"/>
              </w:rPr>
              <w:t>[33]</w:t>
            </w:r>
            <w:r w:rsidRPr="003008B4">
              <w:rPr>
                <w:rFonts w:cs="Times New Roman"/>
                <w:noProof/>
              </w:rPr>
              <w:fldChar w:fldCharType="end"/>
            </w:r>
          </w:p>
        </w:tc>
      </w:tr>
      <w:tr w:rsidR="003008B4" w:rsidRPr="003008B4" w14:paraId="128F6065" w14:textId="77777777" w:rsidTr="00B04D7F">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7F78C" w14:textId="77777777" w:rsidR="003008B4" w:rsidRPr="003008B4" w:rsidRDefault="003008B4" w:rsidP="003008B4">
            <w:pPr>
              <w:jc w:val="center"/>
              <w:rPr>
                <w:rFonts w:cs="Times New Roman"/>
                <w:noProof/>
                <w:rtl/>
              </w:rPr>
            </w:pPr>
            <w:r w:rsidRPr="003008B4">
              <w:rPr>
                <w:rFonts w:cs="Times New Roman"/>
                <w:noProof/>
              </w:rPr>
              <w:t>5/6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09F0F" w14:textId="77777777" w:rsidR="003008B4" w:rsidRPr="003008B4" w:rsidRDefault="003008B4" w:rsidP="003008B4">
            <w:pPr>
              <w:jc w:val="center"/>
              <w:rPr>
                <w:rFonts w:cs="Times New Roman"/>
                <w:noProof/>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2DD30"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C5300"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91BA9"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71B7B"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hideMark/>
          </w:tcPr>
          <w:p w14:paraId="4A86058A" w14:textId="77777777" w:rsidR="003008B4" w:rsidRPr="003008B4" w:rsidRDefault="003008B4" w:rsidP="003008B4">
            <w:pPr>
              <w:ind w:left="34"/>
              <w:rPr>
                <w:rFonts w:cs="Times New Roman"/>
                <w:noProof/>
                <w:rtl/>
              </w:rPr>
            </w:pPr>
            <w:r w:rsidRPr="003008B4">
              <w:rPr>
                <w:rFonts w:cs="Times New Roman"/>
                <w:noProof/>
              </w:rPr>
              <w:t xml:space="preserve">Kamer et al. </w:t>
            </w:r>
            <w:r w:rsidRPr="003008B4">
              <w:rPr>
                <w:rFonts w:cs="Times New Roman"/>
                <w:noProof/>
              </w:rPr>
              <w:fldChar w:fldCharType="begin"/>
            </w:r>
            <w:r w:rsidRPr="003008B4">
              <w:rPr>
                <w:rFonts w:cs="Times New Roman"/>
                <w:noProof/>
              </w:rPr>
              <w:instrText xml:space="preserve"> ADDIN ZOTERO_ITEM CSL_CITATION {"citationID":"a79b3elmjh","properties":{"formattedCitation":"[34]","plainCitation":"[34]","noteIndex":0},"citationItems":[{"id":39593,"uris":["http://zotero.org/users/local/XQFWVUaB/items/CBWKDQ4M"],"uri":["http://zotero.org/users/local/XQFWVUaB/items/CBWKDQ4M"],"itemData":{"id":39593,"type":"article-journal","abstract":"Inflammation plays a significant role in Alzheimer's disease (AD) pathogenesis. Studies have shown that systemic, peripheral infections affect AD patients. Cognitive dysfunction is a consistent finding in AD and periodontal disease is a chronic, peripheral infection often resulting in tooth loss. We hypothesized that older adults with periodontal inflammation (PI) or many missing teeth would show impaired cognition compared to subjects without PI or with few missing teeth, and among subjects with PI, those with many missing teeth would show impaired cognition compared to those with few missing teeth. The effect of PI/tooth loss on cognitive function [measured by Digit Symbol (DST) and Block Design (BDT) tests] was assessed in 70-year old Danish subjects. We found: 1) subjects with PI obtained lower mean DST scores compared to subjects without PI (p &lt; 0.05); 2) subjects with many missing teeth had lower mean DST and BDT scores compared to subjects with few missing teeth (p &lt; 0.05); 3) the association of PI with DST and BDT scores was dependant on the number of missing teeth (interaction: p = 0.03 and p = 0.06); and 4) education and previous cognitive scores (age 50) were important covariates. Subjects with PI had significantly lower adjusted mean DST scores compared to subjects without PI. However for adjusted BDT, the significance held only for subjects with few missing teeth. No difference in the adjusted DST and BDT scores was seen between subjects with many missing teeth compared to those with few missing teeth. These results support the hypothesis that PI may affect cognition.","container-title":"Journal of Alzheimers Disease","DOI":"10.3233/jad-2011-102004","issue":"3","page":"613-624","title":"Periodontal Inflammation in Relation to Cognitive Function in an Older Adult Danish Population","volume":"28","author":[{"family":"Kamer","given":"A R"},{"family":"Morse","given":"D E"},{"family":"Holm-Pedersen","given":"P"},{"family":"Mortensen","given":"E L"},{"family":"Avlund","given":"K"}],"issued":{"date-parts":[["2012"]]}}}],"schema":"https://github.com/citation-style-language/schema/raw/master/csl-citation.json"} </w:instrText>
            </w:r>
            <w:r w:rsidRPr="003008B4">
              <w:rPr>
                <w:rFonts w:cs="Times New Roman"/>
                <w:noProof/>
              </w:rPr>
              <w:fldChar w:fldCharType="separate"/>
            </w:r>
            <w:r w:rsidRPr="003008B4">
              <w:rPr>
                <w:rFonts w:cs="Times New Roman"/>
                <w:noProof/>
                <w:szCs w:val="24"/>
              </w:rPr>
              <w:t>[34]</w:t>
            </w:r>
            <w:r w:rsidRPr="003008B4">
              <w:rPr>
                <w:rFonts w:cs="Times New Roman"/>
                <w:noProof/>
              </w:rPr>
              <w:fldChar w:fldCharType="end"/>
            </w:r>
          </w:p>
        </w:tc>
      </w:tr>
      <w:tr w:rsidR="003008B4" w:rsidRPr="003008B4" w14:paraId="03A0D04F" w14:textId="77777777" w:rsidTr="00B04D7F">
        <w:tc>
          <w:tcPr>
            <w:tcW w:w="933" w:type="dxa"/>
            <w:tcBorders>
              <w:top w:val="single" w:sz="4" w:space="0" w:color="auto"/>
              <w:left w:val="single" w:sz="4" w:space="0" w:color="auto"/>
              <w:bottom w:val="single" w:sz="4" w:space="0" w:color="auto"/>
              <w:right w:val="single" w:sz="4" w:space="0" w:color="auto"/>
            </w:tcBorders>
            <w:hideMark/>
          </w:tcPr>
          <w:p w14:paraId="2171AD54" w14:textId="77777777" w:rsidR="003008B4" w:rsidRPr="003008B4" w:rsidRDefault="003008B4" w:rsidP="003008B4">
            <w:pPr>
              <w:jc w:val="center"/>
              <w:rPr>
                <w:rFonts w:cs="Times New Roman"/>
                <w:noProof/>
                <w:rtl/>
              </w:rPr>
            </w:pPr>
            <w:r w:rsidRPr="003008B4">
              <w:rPr>
                <w:rFonts w:cs="Times New Roman"/>
                <w:noProof/>
              </w:rP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3308E" w14:textId="77777777" w:rsidR="003008B4" w:rsidRPr="003008B4" w:rsidRDefault="003008B4" w:rsidP="003008B4">
            <w:pPr>
              <w:jc w:val="center"/>
              <w:rPr>
                <w:rFonts w:cs="Times New Roman"/>
                <w:noProof/>
              </w:rPr>
            </w:pPr>
            <w:r w:rsidRPr="003008B4">
              <w:rPr>
                <w:rFonts w:cs="Times New Roman"/>
                <w:noProof/>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A8489"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B6A83"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20F6A"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617AC" w14:textId="77777777" w:rsidR="003008B4" w:rsidRPr="003008B4" w:rsidRDefault="003008B4" w:rsidP="003008B4">
            <w:pPr>
              <w:jc w:val="center"/>
              <w:rPr>
                <w:rFonts w:cs="Times New Roman"/>
                <w:noProof/>
                <w:rtl/>
              </w:rPr>
            </w:pPr>
            <w:r w:rsidRPr="003008B4">
              <w:rPr>
                <w:rFonts w:cs="Times New Roman"/>
                <w:noProof/>
              </w:rPr>
              <w:t>*</w:t>
            </w:r>
          </w:p>
        </w:tc>
        <w:tc>
          <w:tcPr>
            <w:tcW w:w="0" w:type="auto"/>
            <w:tcBorders>
              <w:top w:val="single" w:sz="4" w:space="0" w:color="auto"/>
              <w:left w:val="single" w:sz="4" w:space="0" w:color="auto"/>
              <w:bottom w:val="single" w:sz="4" w:space="0" w:color="auto"/>
              <w:right w:val="single" w:sz="4" w:space="0" w:color="auto"/>
            </w:tcBorders>
            <w:hideMark/>
          </w:tcPr>
          <w:p w14:paraId="5D46E3DF" w14:textId="77777777" w:rsidR="003008B4" w:rsidRPr="003008B4" w:rsidRDefault="003008B4" w:rsidP="003008B4">
            <w:pPr>
              <w:ind w:left="34"/>
              <w:rPr>
                <w:rFonts w:cs="Times New Roman"/>
                <w:noProof/>
                <w:rtl/>
              </w:rPr>
            </w:pPr>
            <w:r w:rsidRPr="003008B4">
              <w:rPr>
                <w:rFonts w:cs="Times New Roman"/>
                <w:noProof/>
              </w:rPr>
              <w:t xml:space="preserve">Noble et al. </w:t>
            </w:r>
            <w:r w:rsidRPr="003008B4">
              <w:rPr>
                <w:rFonts w:cs="Times New Roman"/>
                <w:noProof/>
              </w:rPr>
              <w:fldChar w:fldCharType="begin"/>
            </w:r>
            <w:r w:rsidRPr="003008B4">
              <w:rPr>
                <w:rFonts w:cs="Times New Roman"/>
                <w:noProof/>
              </w:rPr>
              <w:instrText xml:space="preserve"> ADDIN ZOTERO_ITEM CSL_CITATION {"citationID":"a103kh4htdt","properties":{"formattedCitation":"[35]","plainCitation":"[35]","noteIndex":0},"citationItems":[{"id":39604,"uris":["http://zotero.org/users/local/XQFWVUaB/items/XNZQ8AXI"],"uri":["http://zotero.org/users/local/XQFWVUaB/items/XNZQ8AXI"],"itemData":{"id":39604,"type":"article-journal","abstract":"Background: Periodontitis is ubiquitous and associated with serological evidence of exposure to periodontal organisms, systemic inflammation and vascular disease. Dementia is a major public health problem likely related to a complex interaction between genetics and diseases associated with systemic inflammation, including diabetes, smoking and stroke. Methods: To assess relationships between systemic exposure to periodontal pathogens and cognitive test outcomes, data were analysed from the Third National Health and Nutrition Examination Survey (NHANES-III), a nationally representative cross sectional observational study among older adults. We included 2355 participants &gt; 60 years who completed measures of cognition and Poryphyromonas gingivalis IgG. Using SUDAAN, logistic regression models examined the association of P gingivalis IgG with cognitive test performance. Results: Poor immediate verbal memory (&lt; 5/9 points) was prevalent in 5.7% of patients, and 6.5% overall had impaired delayed recall (&lt; 4/9); 22.1% had difficulty with serial subtractions (&lt; 5/5 trials correct). Individuals with the highest P gingivalis IgG (&gt; 119 ELISA Units (EU)) were more likely to have poor delayed verbal recall (OR 2.89, 95% CI 1.14 to 7.29) and impaired subtraction (OR 1.95, 95% CI 1.22 to 3.11) than those with the lowest (&lt;= 57 EU), with dose-response relationships for both (p trend, delayed memory = 0.045, subtraction = 0.04). After adjusting for socioeconomic and vascular variables, these relationships remained robust for the highest P gingivalis IgG group (delayed verbal memory OR 3.01 (95% CI 1.06 to 8.53); subtraction OR 2.00 (95% CI 1.19 to 3.36)). In contrast, immediate verbal memory was not significantly associated with P gingivalis. Conclusion: A serological marker of periodontitis is associated with impaired delayed memory and calculation. Further exploration of relationships between oral health and cognition is warranted.","container-title":"Journal of Neurology Neurosurgery and Psychiatry","DOI":"10.1136/jnnp.2009.174029","issue":"11","page":"1206-1211","title":"Periodontitis is associated with cognitive impairment among older adults: analysis of NHANES-III","volume":"80","author":[{"family":"Noble","given":"J M"},{"family":"Borrell","given":"L N"},{"family":"Papapanou","given":"P N"},{"family":"Elkind","given":"M S V"},{"family":"Scarmeas","given":"N"},{"family":"Wright","given":"C B"}],"issued":{"date-parts":[["2009"]]}}}],"schema":"https://github.com/citation-style-language/schema/raw/master/csl-citation.json"} </w:instrText>
            </w:r>
            <w:r w:rsidRPr="003008B4">
              <w:rPr>
                <w:rFonts w:cs="Times New Roman"/>
                <w:noProof/>
              </w:rPr>
              <w:fldChar w:fldCharType="separate"/>
            </w:r>
            <w:r w:rsidRPr="003008B4">
              <w:rPr>
                <w:rFonts w:cs="Times New Roman"/>
                <w:noProof/>
                <w:szCs w:val="24"/>
              </w:rPr>
              <w:t>[35]</w:t>
            </w:r>
            <w:r w:rsidRPr="003008B4">
              <w:rPr>
                <w:rFonts w:cs="Times New Roman"/>
                <w:noProof/>
              </w:rPr>
              <w:fldChar w:fldCharType="end"/>
            </w:r>
          </w:p>
        </w:tc>
      </w:tr>
    </w:tbl>
    <w:p w14:paraId="4B642890" w14:textId="77777777" w:rsidR="003008B4" w:rsidRPr="003008B4" w:rsidRDefault="003008B4" w:rsidP="003008B4">
      <w:pPr>
        <w:bidi w:val="0"/>
        <w:spacing w:line="260" w:lineRule="atLeast"/>
        <w:ind w:left="-1134" w:firstLine="141"/>
        <w:jc w:val="both"/>
        <w:rPr>
          <w:rFonts w:ascii="Palatino Linotype" w:eastAsia="宋体" w:hAnsi="Palatino Linotype" w:cs="Times New Roman"/>
          <w:b/>
          <w:bCs/>
          <w:noProof/>
          <w:color w:val="FF0000"/>
          <w:lang w:eastAsia="zh-CN"/>
        </w:rPr>
      </w:pPr>
      <w:r w:rsidRPr="003008B4">
        <w:rPr>
          <w:rFonts w:ascii="Palatino Linotype" w:eastAsia="宋体" w:hAnsi="Palatino Linotype" w:cs="Times New Roman"/>
          <w:b/>
          <w:bCs/>
          <w:noProof/>
          <w:color w:val="FF0000"/>
          <w:lang w:eastAsia="zh-CN"/>
        </w:rPr>
        <w:t>S2C. Risk of bias in cross-sectional stdies:</w:t>
      </w:r>
    </w:p>
    <w:p w14:paraId="5C74E930" w14:textId="77777777" w:rsidR="003008B4" w:rsidRPr="003008B4" w:rsidRDefault="003008B4" w:rsidP="003008B4">
      <w:pPr>
        <w:bidi w:val="0"/>
        <w:spacing w:line="260" w:lineRule="atLeast"/>
        <w:jc w:val="both"/>
        <w:rPr>
          <w:rFonts w:ascii="Palatino Linotype" w:eastAsia="宋体" w:hAnsi="Palatino Linotype" w:cs="Times New Roman"/>
          <w:noProof/>
          <w:color w:val="000000"/>
          <w:sz w:val="20"/>
          <w:szCs w:val="20"/>
          <w:lang w:eastAsia="zh-CN"/>
        </w:rPr>
      </w:pPr>
    </w:p>
    <w:p w14:paraId="3EE58238" w14:textId="77777777" w:rsidR="003008B4" w:rsidRDefault="003008B4" w:rsidP="003008B4">
      <w:pPr>
        <w:bidi w:val="0"/>
        <w:ind w:left="-1134"/>
      </w:pPr>
    </w:p>
    <w:sectPr w:rsidR="003008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F32C" w14:textId="77777777" w:rsidR="003D017A" w:rsidRDefault="003D017A" w:rsidP="003B01A3">
      <w:r>
        <w:separator/>
      </w:r>
    </w:p>
  </w:endnote>
  <w:endnote w:type="continuationSeparator" w:id="0">
    <w:p w14:paraId="4C4572EE" w14:textId="77777777" w:rsidR="003D017A" w:rsidRDefault="003D017A" w:rsidP="003B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8B7E" w14:textId="77777777" w:rsidR="003D017A" w:rsidRDefault="003D017A" w:rsidP="003B01A3">
      <w:r>
        <w:separator/>
      </w:r>
    </w:p>
  </w:footnote>
  <w:footnote w:type="continuationSeparator" w:id="0">
    <w:p w14:paraId="1B16CB2E" w14:textId="77777777" w:rsidR="003D017A" w:rsidRDefault="003D017A" w:rsidP="003B0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66"/>
    <w:rsid w:val="0009724C"/>
    <w:rsid w:val="003008B4"/>
    <w:rsid w:val="003B01A3"/>
    <w:rsid w:val="003D017A"/>
    <w:rsid w:val="004D7F57"/>
    <w:rsid w:val="00594C21"/>
    <w:rsid w:val="007B7966"/>
    <w:rsid w:val="00862472"/>
    <w:rsid w:val="00E46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7BE"/>
  <w15:chartTrackingRefBased/>
  <w15:docId w15:val="{4A2CC507-AF5B-433E-99D7-66A21478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21"/>
    <w:rPr>
      <w:rFonts w:ascii="Segoe UI" w:hAnsi="Segoe UI" w:cs="Segoe UI"/>
      <w:sz w:val="18"/>
      <w:szCs w:val="18"/>
    </w:rPr>
  </w:style>
  <w:style w:type="paragraph" w:styleId="Header">
    <w:name w:val="header"/>
    <w:basedOn w:val="Normal"/>
    <w:link w:val="HeaderChar"/>
    <w:uiPriority w:val="99"/>
    <w:unhideWhenUsed/>
    <w:rsid w:val="003B01A3"/>
    <w:pPr>
      <w:tabs>
        <w:tab w:val="center" w:pos="4320"/>
        <w:tab w:val="right" w:pos="8640"/>
      </w:tabs>
    </w:pPr>
  </w:style>
  <w:style w:type="character" w:customStyle="1" w:styleId="HeaderChar">
    <w:name w:val="Header Char"/>
    <w:basedOn w:val="DefaultParagraphFont"/>
    <w:link w:val="Header"/>
    <w:uiPriority w:val="99"/>
    <w:rsid w:val="003B01A3"/>
  </w:style>
  <w:style w:type="paragraph" w:styleId="Footer">
    <w:name w:val="footer"/>
    <w:basedOn w:val="Normal"/>
    <w:link w:val="FooterChar"/>
    <w:uiPriority w:val="99"/>
    <w:unhideWhenUsed/>
    <w:rsid w:val="003B01A3"/>
    <w:pPr>
      <w:tabs>
        <w:tab w:val="center" w:pos="4320"/>
        <w:tab w:val="right" w:pos="8640"/>
      </w:tabs>
    </w:pPr>
  </w:style>
  <w:style w:type="character" w:customStyle="1" w:styleId="FooterChar">
    <w:name w:val="Footer Char"/>
    <w:basedOn w:val="DefaultParagraphFont"/>
    <w:link w:val="Footer"/>
    <w:uiPriority w:val="99"/>
    <w:rsid w:val="003B01A3"/>
  </w:style>
  <w:style w:type="table" w:customStyle="1" w:styleId="TableGrid1">
    <w:name w:val="Table Grid1"/>
    <w:basedOn w:val="TableNormal"/>
    <w:next w:val="TableGrid"/>
    <w:uiPriority w:val="59"/>
    <w:rsid w:val="003008B4"/>
    <w:pPr>
      <w:bidi w:val="0"/>
      <w:spacing w:line="260" w:lineRule="atLeast"/>
      <w:jc w:val="both"/>
    </w:pPr>
    <w:rPr>
      <w:rFonts w:ascii="Palatino Linotype" w:eastAsia="宋体" w:hAnsi="Palatino Linotype" w:cs="Calibri"/>
      <w:color w:val="000000"/>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0123">
      <w:bodyDiv w:val="1"/>
      <w:marLeft w:val="0"/>
      <w:marRight w:val="0"/>
      <w:marTop w:val="0"/>
      <w:marBottom w:val="0"/>
      <w:divBdr>
        <w:top w:val="none" w:sz="0" w:space="0" w:color="auto"/>
        <w:left w:val="none" w:sz="0" w:space="0" w:color="auto"/>
        <w:bottom w:val="none" w:sz="0" w:space="0" w:color="auto"/>
        <w:right w:val="none" w:sz="0" w:space="0" w:color="auto"/>
      </w:divBdr>
      <w:divsChild>
        <w:div w:id="742918548">
          <w:marLeft w:val="0"/>
          <w:marRight w:val="0"/>
          <w:marTop w:val="0"/>
          <w:marBottom w:val="0"/>
          <w:divBdr>
            <w:top w:val="none" w:sz="0" w:space="0" w:color="auto"/>
            <w:left w:val="none" w:sz="0" w:space="0" w:color="auto"/>
            <w:bottom w:val="none" w:sz="0" w:space="0" w:color="auto"/>
            <w:right w:val="none" w:sz="0" w:space="0" w:color="auto"/>
          </w:divBdr>
        </w:div>
        <w:div w:id="2042170273">
          <w:marLeft w:val="0"/>
          <w:marRight w:val="0"/>
          <w:marTop w:val="0"/>
          <w:marBottom w:val="0"/>
          <w:divBdr>
            <w:top w:val="none" w:sz="0" w:space="0" w:color="auto"/>
            <w:left w:val="none" w:sz="0" w:space="0" w:color="auto"/>
            <w:bottom w:val="none" w:sz="0" w:space="0" w:color="auto"/>
            <w:right w:val="none" w:sz="0" w:space="0" w:color="auto"/>
          </w:divBdr>
        </w:div>
        <w:div w:id="754745214">
          <w:marLeft w:val="0"/>
          <w:marRight w:val="0"/>
          <w:marTop w:val="0"/>
          <w:marBottom w:val="0"/>
          <w:divBdr>
            <w:top w:val="none" w:sz="0" w:space="0" w:color="auto"/>
            <w:left w:val="none" w:sz="0" w:space="0" w:color="auto"/>
            <w:bottom w:val="none" w:sz="0" w:space="0" w:color="auto"/>
            <w:right w:val="none" w:sz="0" w:space="0" w:color="auto"/>
          </w:divBdr>
        </w:div>
        <w:div w:id="634723214">
          <w:marLeft w:val="0"/>
          <w:marRight w:val="0"/>
          <w:marTop w:val="0"/>
          <w:marBottom w:val="0"/>
          <w:divBdr>
            <w:top w:val="none" w:sz="0" w:space="0" w:color="auto"/>
            <w:left w:val="none" w:sz="0" w:space="0" w:color="auto"/>
            <w:bottom w:val="none" w:sz="0" w:space="0" w:color="auto"/>
            <w:right w:val="none" w:sz="0" w:space="0" w:color="auto"/>
          </w:divBdr>
        </w:div>
        <w:div w:id="933855223">
          <w:marLeft w:val="0"/>
          <w:marRight w:val="0"/>
          <w:marTop w:val="0"/>
          <w:marBottom w:val="0"/>
          <w:divBdr>
            <w:top w:val="none" w:sz="0" w:space="0" w:color="auto"/>
            <w:left w:val="none" w:sz="0" w:space="0" w:color="auto"/>
            <w:bottom w:val="none" w:sz="0" w:space="0" w:color="auto"/>
            <w:right w:val="none" w:sz="0" w:space="0" w:color="auto"/>
          </w:divBdr>
        </w:div>
        <w:div w:id="1740595347">
          <w:marLeft w:val="0"/>
          <w:marRight w:val="0"/>
          <w:marTop w:val="0"/>
          <w:marBottom w:val="0"/>
          <w:divBdr>
            <w:top w:val="none" w:sz="0" w:space="0" w:color="auto"/>
            <w:left w:val="none" w:sz="0" w:space="0" w:color="auto"/>
            <w:bottom w:val="none" w:sz="0" w:space="0" w:color="auto"/>
            <w:right w:val="none" w:sz="0" w:space="0" w:color="auto"/>
          </w:divBdr>
        </w:div>
        <w:div w:id="446126929">
          <w:marLeft w:val="0"/>
          <w:marRight w:val="0"/>
          <w:marTop w:val="0"/>
          <w:marBottom w:val="0"/>
          <w:divBdr>
            <w:top w:val="none" w:sz="0" w:space="0" w:color="auto"/>
            <w:left w:val="none" w:sz="0" w:space="0" w:color="auto"/>
            <w:bottom w:val="none" w:sz="0" w:space="0" w:color="auto"/>
            <w:right w:val="none" w:sz="0" w:space="0" w:color="auto"/>
          </w:divBdr>
        </w:div>
        <w:div w:id="1151671975">
          <w:marLeft w:val="0"/>
          <w:marRight w:val="0"/>
          <w:marTop w:val="0"/>
          <w:marBottom w:val="0"/>
          <w:divBdr>
            <w:top w:val="none" w:sz="0" w:space="0" w:color="auto"/>
            <w:left w:val="none" w:sz="0" w:space="0" w:color="auto"/>
            <w:bottom w:val="none" w:sz="0" w:space="0" w:color="auto"/>
            <w:right w:val="none" w:sz="0" w:space="0" w:color="auto"/>
          </w:divBdr>
        </w:div>
      </w:divsChild>
    </w:div>
    <w:div w:id="134416195">
      <w:bodyDiv w:val="1"/>
      <w:marLeft w:val="0"/>
      <w:marRight w:val="0"/>
      <w:marTop w:val="0"/>
      <w:marBottom w:val="0"/>
      <w:divBdr>
        <w:top w:val="none" w:sz="0" w:space="0" w:color="auto"/>
        <w:left w:val="none" w:sz="0" w:space="0" w:color="auto"/>
        <w:bottom w:val="none" w:sz="0" w:space="0" w:color="auto"/>
        <w:right w:val="none" w:sz="0" w:space="0" w:color="auto"/>
      </w:divBdr>
      <w:divsChild>
        <w:div w:id="90780095">
          <w:marLeft w:val="0"/>
          <w:marRight w:val="0"/>
          <w:marTop w:val="0"/>
          <w:marBottom w:val="0"/>
          <w:divBdr>
            <w:top w:val="none" w:sz="0" w:space="0" w:color="auto"/>
            <w:left w:val="none" w:sz="0" w:space="0" w:color="auto"/>
            <w:bottom w:val="none" w:sz="0" w:space="0" w:color="auto"/>
            <w:right w:val="none" w:sz="0" w:space="0" w:color="auto"/>
          </w:divBdr>
        </w:div>
        <w:div w:id="1986931820">
          <w:marLeft w:val="0"/>
          <w:marRight w:val="0"/>
          <w:marTop w:val="0"/>
          <w:marBottom w:val="0"/>
          <w:divBdr>
            <w:top w:val="none" w:sz="0" w:space="0" w:color="auto"/>
            <w:left w:val="none" w:sz="0" w:space="0" w:color="auto"/>
            <w:bottom w:val="none" w:sz="0" w:space="0" w:color="auto"/>
            <w:right w:val="none" w:sz="0" w:space="0" w:color="auto"/>
          </w:divBdr>
        </w:div>
        <w:div w:id="763182405">
          <w:marLeft w:val="0"/>
          <w:marRight w:val="0"/>
          <w:marTop w:val="0"/>
          <w:marBottom w:val="0"/>
          <w:divBdr>
            <w:top w:val="none" w:sz="0" w:space="0" w:color="auto"/>
            <w:left w:val="none" w:sz="0" w:space="0" w:color="auto"/>
            <w:bottom w:val="none" w:sz="0" w:space="0" w:color="auto"/>
            <w:right w:val="none" w:sz="0" w:space="0" w:color="auto"/>
          </w:divBdr>
        </w:div>
        <w:div w:id="203907859">
          <w:marLeft w:val="0"/>
          <w:marRight w:val="0"/>
          <w:marTop w:val="0"/>
          <w:marBottom w:val="0"/>
          <w:divBdr>
            <w:top w:val="none" w:sz="0" w:space="0" w:color="auto"/>
            <w:left w:val="none" w:sz="0" w:space="0" w:color="auto"/>
            <w:bottom w:val="none" w:sz="0" w:space="0" w:color="auto"/>
            <w:right w:val="none" w:sz="0" w:space="0" w:color="auto"/>
          </w:divBdr>
        </w:div>
      </w:divsChild>
    </w:div>
    <w:div w:id="136843713">
      <w:bodyDiv w:val="1"/>
      <w:marLeft w:val="0"/>
      <w:marRight w:val="0"/>
      <w:marTop w:val="0"/>
      <w:marBottom w:val="0"/>
      <w:divBdr>
        <w:top w:val="none" w:sz="0" w:space="0" w:color="auto"/>
        <w:left w:val="none" w:sz="0" w:space="0" w:color="auto"/>
        <w:bottom w:val="none" w:sz="0" w:space="0" w:color="auto"/>
        <w:right w:val="none" w:sz="0" w:space="0" w:color="auto"/>
      </w:divBdr>
      <w:divsChild>
        <w:div w:id="179516292">
          <w:marLeft w:val="0"/>
          <w:marRight w:val="0"/>
          <w:marTop w:val="0"/>
          <w:marBottom w:val="0"/>
          <w:divBdr>
            <w:top w:val="none" w:sz="0" w:space="0" w:color="auto"/>
            <w:left w:val="none" w:sz="0" w:space="0" w:color="auto"/>
            <w:bottom w:val="none" w:sz="0" w:space="0" w:color="auto"/>
            <w:right w:val="none" w:sz="0" w:space="0" w:color="auto"/>
          </w:divBdr>
        </w:div>
        <w:div w:id="1651253667">
          <w:marLeft w:val="0"/>
          <w:marRight w:val="0"/>
          <w:marTop w:val="0"/>
          <w:marBottom w:val="0"/>
          <w:divBdr>
            <w:top w:val="none" w:sz="0" w:space="0" w:color="auto"/>
            <w:left w:val="none" w:sz="0" w:space="0" w:color="auto"/>
            <w:bottom w:val="none" w:sz="0" w:space="0" w:color="auto"/>
            <w:right w:val="none" w:sz="0" w:space="0" w:color="auto"/>
          </w:divBdr>
        </w:div>
        <w:div w:id="94447844">
          <w:marLeft w:val="0"/>
          <w:marRight w:val="0"/>
          <w:marTop w:val="0"/>
          <w:marBottom w:val="0"/>
          <w:divBdr>
            <w:top w:val="none" w:sz="0" w:space="0" w:color="auto"/>
            <w:left w:val="none" w:sz="0" w:space="0" w:color="auto"/>
            <w:bottom w:val="none" w:sz="0" w:space="0" w:color="auto"/>
            <w:right w:val="none" w:sz="0" w:space="0" w:color="auto"/>
          </w:divBdr>
        </w:div>
        <w:div w:id="1029650543">
          <w:marLeft w:val="0"/>
          <w:marRight w:val="0"/>
          <w:marTop w:val="0"/>
          <w:marBottom w:val="0"/>
          <w:divBdr>
            <w:top w:val="none" w:sz="0" w:space="0" w:color="auto"/>
            <w:left w:val="none" w:sz="0" w:space="0" w:color="auto"/>
            <w:bottom w:val="none" w:sz="0" w:space="0" w:color="auto"/>
            <w:right w:val="none" w:sz="0" w:space="0" w:color="auto"/>
          </w:divBdr>
        </w:div>
      </w:divsChild>
    </w:div>
    <w:div w:id="1087381390">
      <w:bodyDiv w:val="1"/>
      <w:marLeft w:val="0"/>
      <w:marRight w:val="0"/>
      <w:marTop w:val="0"/>
      <w:marBottom w:val="0"/>
      <w:divBdr>
        <w:top w:val="none" w:sz="0" w:space="0" w:color="auto"/>
        <w:left w:val="none" w:sz="0" w:space="0" w:color="auto"/>
        <w:bottom w:val="none" w:sz="0" w:space="0" w:color="auto"/>
        <w:right w:val="none" w:sz="0" w:space="0" w:color="auto"/>
      </w:divBdr>
      <w:divsChild>
        <w:div w:id="333840432">
          <w:marLeft w:val="0"/>
          <w:marRight w:val="0"/>
          <w:marTop w:val="0"/>
          <w:marBottom w:val="0"/>
          <w:divBdr>
            <w:top w:val="none" w:sz="0" w:space="0" w:color="auto"/>
            <w:left w:val="none" w:sz="0" w:space="0" w:color="auto"/>
            <w:bottom w:val="none" w:sz="0" w:space="0" w:color="auto"/>
            <w:right w:val="none" w:sz="0" w:space="0" w:color="auto"/>
          </w:divBdr>
        </w:div>
        <w:div w:id="1014768547">
          <w:marLeft w:val="0"/>
          <w:marRight w:val="0"/>
          <w:marTop w:val="0"/>
          <w:marBottom w:val="0"/>
          <w:divBdr>
            <w:top w:val="none" w:sz="0" w:space="0" w:color="auto"/>
            <w:left w:val="none" w:sz="0" w:space="0" w:color="auto"/>
            <w:bottom w:val="none" w:sz="0" w:space="0" w:color="auto"/>
            <w:right w:val="none" w:sz="0" w:space="0" w:color="auto"/>
          </w:divBdr>
        </w:div>
        <w:div w:id="972445922">
          <w:marLeft w:val="0"/>
          <w:marRight w:val="0"/>
          <w:marTop w:val="0"/>
          <w:marBottom w:val="0"/>
          <w:divBdr>
            <w:top w:val="none" w:sz="0" w:space="0" w:color="auto"/>
            <w:left w:val="none" w:sz="0" w:space="0" w:color="auto"/>
            <w:bottom w:val="none" w:sz="0" w:space="0" w:color="auto"/>
            <w:right w:val="none" w:sz="0" w:space="0" w:color="auto"/>
          </w:divBdr>
        </w:div>
        <w:div w:id="1855875011">
          <w:marLeft w:val="0"/>
          <w:marRight w:val="0"/>
          <w:marTop w:val="0"/>
          <w:marBottom w:val="0"/>
          <w:divBdr>
            <w:top w:val="none" w:sz="0" w:space="0" w:color="auto"/>
            <w:left w:val="none" w:sz="0" w:space="0" w:color="auto"/>
            <w:bottom w:val="none" w:sz="0" w:space="0" w:color="auto"/>
            <w:right w:val="none" w:sz="0" w:space="0" w:color="auto"/>
          </w:divBdr>
        </w:div>
      </w:divsChild>
    </w:div>
    <w:div w:id="1469782002">
      <w:bodyDiv w:val="1"/>
      <w:marLeft w:val="0"/>
      <w:marRight w:val="0"/>
      <w:marTop w:val="0"/>
      <w:marBottom w:val="0"/>
      <w:divBdr>
        <w:top w:val="none" w:sz="0" w:space="0" w:color="auto"/>
        <w:left w:val="none" w:sz="0" w:space="0" w:color="auto"/>
        <w:bottom w:val="none" w:sz="0" w:space="0" w:color="auto"/>
        <w:right w:val="none" w:sz="0" w:space="0" w:color="auto"/>
      </w:divBdr>
      <w:divsChild>
        <w:div w:id="726488455">
          <w:marLeft w:val="0"/>
          <w:marRight w:val="0"/>
          <w:marTop w:val="0"/>
          <w:marBottom w:val="0"/>
          <w:divBdr>
            <w:top w:val="none" w:sz="0" w:space="0" w:color="auto"/>
            <w:left w:val="none" w:sz="0" w:space="0" w:color="auto"/>
            <w:bottom w:val="none" w:sz="0" w:space="0" w:color="auto"/>
            <w:right w:val="none" w:sz="0" w:space="0" w:color="auto"/>
          </w:divBdr>
        </w:div>
        <w:div w:id="1056974637">
          <w:marLeft w:val="0"/>
          <w:marRight w:val="0"/>
          <w:marTop w:val="0"/>
          <w:marBottom w:val="0"/>
          <w:divBdr>
            <w:top w:val="none" w:sz="0" w:space="0" w:color="auto"/>
            <w:left w:val="none" w:sz="0" w:space="0" w:color="auto"/>
            <w:bottom w:val="none" w:sz="0" w:space="0" w:color="auto"/>
            <w:right w:val="none" w:sz="0" w:space="0" w:color="auto"/>
          </w:divBdr>
        </w:div>
        <w:div w:id="56511797">
          <w:marLeft w:val="0"/>
          <w:marRight w:val="0"/>
          <w:marTop w:val="0"/>
          <w:marBottom w:val="0"/>
          <w:divBdr>
            <w:top w:val="none" w:sz="0" w:space="0" w:color="auto"/>
            <w:left w:val="none" w:sz="0" w:space="0" w:color="auto"/>
            <w:bottom w:val="none" w:sz="0" w:space="0" w:color="auto"/>
            <w:right w:val="none" w:sz="0" w:space="0" w:color="auto"/>
          </w:divBdr>
        </w:div>
        <w:div w:id="36267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491</Words>
  <Characters>2615</Characters>
  <Application>Microsoft Office Word</Application>
  <DocSecurity>0</DocSecurity>
  <Lines>301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MDPI</cp:lastModifiedBy>
  <cp:revision>2</cp:revision>
  <dcterms:created xsi:type="dcterms:W3CDTF">2022-12-22T01:16:00Z</dcterms:created>
  <dcterms:modified xsi:type="dcterms:W3CDTF">2022-12-22T01:16:00Z</dcterms:modified>
</cp:coreProperties>
</file>