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38BA" w14:textId="77777777" w:rsidR="005552E7" w:rsidRPr="00433E75" w:rsidRDefault="005552E7" w:rsidP="005552E7">
      <w:pPr>
        <w:pStyle w:val="MDPI41tablecaption"/>
        <w:rPr>
          <w:color w:val="auto"/>
          <w:u w:val="single"/>
          <w:lang w:val="hu-HU"/>
        </w:rPr>
      </w:pPr>
      <w:r w:rsidRPr="00433E75">
        <w:rPr>
          <w:b/>
          <w:color w:val="auto"/>
        </w:rPr>
        <w:t>Table 1</w:t>
      </w:r>
      <w:r w:rsidRPr="00433E75">
        <w:rPr>
          <w:b/>
          <w:bCs/>
          <w:color w:val="auto"/>
        </w:rPr>
        <w:t>S</w:t>
      </w:r>
      <w:r w:rsidRPr="00433E75">
        <w:rPr>
          <w:color w:val="auto"/>
        </w:rPr>
        <w:t xml:space="preserve">. The scoring system published by Amin et al. (2012) </w:t>
      </w:r>
      <w:proofErr w:type="gramStart"/>
      <w:r w:rsidRPr="00433E75">
        <w:rPr>
          <w:color w:val="auto"/>
        </w:rPr>
        <w:t>˙</w:t>
      </w:r>
      <w:r w:rsidRPr="00433E75">
        <w:rPr>
          <w:color w:val="auto"/>
          <w:u w:val="single"/>
        </w:rPr>
        <w:t>[</w:t>
      </w:r>
      <w:proofErr w:type="gramEnd"/>
      <w:r w:rsidRPr="00433E75">
        <w:rPr>
          <w:color w:val="auto"/>
          <w:u w:val="single"/>
        </w:rPr>
        <w:t>44</w:t>
      </w:r>
      <w:r w:rsidRPr="00433E75">
        <w:rPr>
          <w:color w:val="auto"/>
        </w:rPr>
        <w:t>]was applied to assess the degree of LMH monolayer destruction</w:t>
      </w:r>
      <w:r w:rsidRPr="00433E75">
        <w:rPr>
          <w:color w:val="auto"/>
          <w:u w:val="single"/>
          <w:lang w:val="hu-HU"/>
        </w:rPr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2797"/>
        <w:gridCol w:w="826"/>
        <w:gridCol w:w="526"/>
        <w:gridCol w:w="1352"/>
        <w:gridCol w:w="1352"/>
        <w:gridCol w:w="1352"/>
        <w:gridCol w:w="1355"/>
      </w:tblGrid>
      <w:tr w:rsidR="005552E7" w:rsidRPr="00433E75" w14:paraId="1CE1F48A" w14:textId="77777777" w:rsidTr="00A54CCF">
        <w:trPr>
          <w:jc w:val="center"/>
        </w:trPr>
        <w:tc>
          <w:tcPr>
            <w:tcW w:w="905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050C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2797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37028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</w:p>
        </w:tc>
        <w:tc>
          <w:tcPr>
            <w:tcW w:w="826" w:type="dxa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27D5B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</w:p>
        </w:tc>
        <w:tc>
          <w:tcPr>
            <w:tcW w:w="5937" w:type="dxa"/>
            <w:gridSpan w:val="5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E932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SCORES</w:t>
            </w:r>
          </w:p>
        </w:tc>
      </w:tr>
      <w:tr w:rsidR="005552E7" w:rsidRPr="00433E75" w14:paraId="0073F920" w14:textId="77777777" w:rsidTr="00A54CCF">
        <w:trPr>
          <w:jc w:val="center"/>
        </w:trPr>
        <w:tc>
          <w:tcPr>
            <w:tcW w:w="3702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0FA7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Score</w:t>
            </w:r>
          </w:p>
        </w:tc>
        <w:tc>
          <w:tcPr>
            <w:tcW w:w="1352" w:type="dxa"/>
            <w:gridSpan w:val="2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83203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0</w:t>
            </w:r>
          </w:p>
        </w:tc>
        <w:tc>
          <w:tcPr>
            <w:tcW w:w="135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8DB6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1</w:t>
            </w:r>
          </w:p>
        </w:tc>
        <w:tc>
          <w:tcPr>
            <w:tcW w:w="135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032E4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2</w:t>
            </w:r>
          </w:p>
        </w:tc>
        <w:tc>
          <w:tcPr>
            <w:tcW w:w="1352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D425F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3</w:t>
            </w:r>
          </w:p>
        </w:tc>
        <w:tc>
          <w:tcPr>
            <w:tcW w:w="135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825ED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4</w:t>
            </w:r>
          </w:p>
        </w:tc>
      </w:tr>
      <w:tr w:rsidR="005552E7" w:rsidRPr="00433E75" w14:paraId="26DB62FB" w14:textId="77777777" w:rsidTr="00A54CCF">
        <w:trPr>
          <w:jc w:val="center"/>
        </w:trPr>
        <w:tc>
          <w:tcPr>
            <w:tcW w:w="90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F632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0</w:t>
            </w:r>
          </w:p>
        </w:tc>
        <w:tc>
          <w:tcPr>
            <w:tcW w:w="2797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9D77F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intact monolayer</w:t>
            </w:r>
          </w:p>
        </w:tc>
        <w:tc>
          <w:tcPr>
            <w:tcW w:w="1352" w:type="dxa"/>
            <w:gridSpan w:val="2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D07C4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noProof/>
                <w:color w:val="auto"/>
                <w:sz w:val="20"/>
                <w:szCs w:val="16"/>
                <w:lang w:bidi="en-US"/>
              </w:rPr>
              <w:drawing>
                <wp:inline distT="0" distB="0" distL="0" distR="0" wp14:anchorId="0CA8AE79" wp14:editId="3E3A0CC8">
                  <wp:extent cx="579120" cy="1249680"/>
                  <wp:effectExtent l="0" t="0" r="0" b="7620"/>
                  <wp:docPr id="1499525957" name="Picture 4" descr="A yellow surface with a black stri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525957" name="Picture 4" descr="A yellow surface with a black stripe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C1DF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noProof/>
                <w:color w:val="auto"/>
                <w:sz w:val="20"/>
                <w:szCs w:val="16"/>
                <w:lang w:bidi="en-US"/>
              </w:rPr>
              <w:drawing>
                <wp:inline distT="0" distB="0" distL="0" distR="0" wp14:anchorId="540930AB" wp14:editId="7F9CEC0E">
                  <wp:extent cx="560705" cy="1268095"/>
                  <wp:effectExtent l="0" t="0" r="0" b="8255"/>
                  <wp:docPr id="1060899826" name="Picture 3" descr="A close up of a yellow su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99826" name="Picture 3" descr="A close up of a yellow su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D4F6C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noProof/>
                <w:color w:val="auto"/>
                <w:sz w:val="20"/>
                <w:szCs w:val="16"/>
                <w:lang w:bidi="en-US"/>
              </w:rPr>
              <w:drawing>
                <wp:inline distT="0" distB="0" distL="0" distR="0" wp14:anchorId="4218D06B" wp14:editId="4D00721C">
                  <wp:extent cx="585470" cy="1268095"/>
                  <wp:effectExtent l="0" t="0" r="5080" b="8255"/>
                  <wp:docPr id="1282887397" name="Picture 2" descr="A yellow surface with a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887397" name="Picture 2" descr="A yellow surface with a patter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99AE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noProof/>
                <w:color w:val="auto"/>
                <w:sz w:val="20"/>
                <w:szCs w:val="16"/>
                <w:lang w:bidi="en-US"/>
              </w:rPr>
              <w:drawing>
                <wp:inline distT="0" distB="0" distL="0" distR="0" wp14:anchorId="252682D3" wp14:editId="5175ACA5">
                  <wp:extent cx="615950" cy="1256030"/>
                  <wp:effectExtent l="0" t="0" r="0" b="1270"/>
                  <wp:docPr id="1621681790" name="Picture 1" descr="A yellow surface with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681790" name="Picture 1" descr="A yellow surface with li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1256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5" w:type="dxa"/>
            <w:vMerge w:val="restar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91F0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noProof/>
                <w:color w:val="auto"/>
                <w:sz w:val="20"/>
                <w:lang w:val="de-AT" w:eastAsia="de-AT"/>
              </w:rPr>
              <w:drawing>
                <wp:inline distT="0" distB="0" distL="0" distR="0" wp14:anchorId="2A6D2789" wp14:editId="38927455">
                  <wp:extent cx="558800" cy="1238250"/>
                  <wp:effectExtent l="0" t="0" r="0" b="0"/>
                  <wp:docPr id="16" name="Picture 24" descr="Img1897 5895 LMH score4  Kop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2E7" w:rsidRPr="00433E75" w14:paraId="67B8AE78" w14:textId="77777777" w:rsidTr="00A54CCF">
        <w:trPr>
          <w:jc w:val="center"/>
        </w:trPr>
        <w:tc>
          <w:tcPr>
            <w:tcW w:w="90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F2E7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1</w:t>
            </w:r>
          </w:p>
        </w:tc>
        <w:tc>
          <w:tcPr>
            <w:tcW w:w="2797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358D8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up to 25%</w:t>
            </w:r>
          </w:p>
          <w:p w14:paraId="2014108A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of the monolayer destructed</w:t>
            </w:r>
          </w:p>
        </w:tc>
        <w:tc>
          <w:tcPr>
            <w:tcW w:w="135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4F35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6C42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0F2B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D3BE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E1CF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</w:tr>
      <w:tr w:rsidR="005552E7" w:rsidRPr="00433E75" w14:paraId="5B0CF282" w14:textId="77777777" w:rsidTr="00A54CCF">
        <w:trPr>
          <w:jc w:val="center"/>
        </w:trPr>
        <w:tc>
          <w:tcPr>
            <w:tcW w:w="90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A1D7E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2</w:t>
            </w:r>
          </w:p>
        </w:tc>
        <w:tc>
          <w:tcPr>
            <w:tcW w:w="2797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A33D5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25-50%</w:t>
            </w:r>
          </w:p>
          <w:p w14:paraId="564329AD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of the monolayer destructed</w:t>
            </w:r>
          </w:p>
        </w:tc>
        <w:tc>
          <w:tcPr>
            <w:tcW w:w="135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ADA2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0D40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50B39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3B50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C28FB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</w:tr>
      <w:tr w:rsidR="005552E7" w:rsidRPr="00433E75" w14:paraId="06420737" w14:textId="77777777" w:rsidTr="00A54CCF">
        <w:trPr>
          <w:jc w:val="center"/>
        </w:trPr>
        <w:tc>
          <w:tcPr>
            <w:tcW w:w="905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5074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3</w:t>
            </w:r>
          </w:p>
        </w:tc>
        <w:tc>
          <w:tcPr>
            <w:tcW w:w="2797" w:type="dxa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B22D8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50-75%</w:t>
            </w:r>
          </w:p>
          <w:p w14:paraId="17D494DC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of the monolayer destructed</w:t>
            </w:r>
          </w:p>
        </w:tc>
        <w:tc>
          <w:tcPr>
            <w:tcW w:w="1352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F6DF9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D02F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1760A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A24BD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4EF6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</w:tr>
      <w:tr w:rsidR="005552E7" w:rsidRPr="00433E75" w14:paraId="7A6C63D1" w14:textId="77777777" w:rsidTr="00A54CCF">
        <w:trPr>
          <w:jc w:val="center"/>
        </w:trPr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8646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lang w:bidi="en-US"/>
              </w:rPr>
              <w:t>4</w:t>
            </w:r>
          </w:p>
        </w:tc>
        <w:tc>
          <w:tcPr>
            <w:tcW w:w="2797" w:type="dxa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AF53B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more than 75%</w:t>
            </w:r>
          </w:p>
          <w:p w14:paraId="669ED569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</w:pPr>
            <w:r w:rsidRPr="00433E75">
              <w:rPr>
                <w:rFonts w:ascii="Palatino Linotype" w:hAnsi="Palatino Linotype" w:cs="Palatino Linotype"/>
                <w:color w:val="auto"/>
                <w:sz w:val="20"/>
                <w:szCs w:val="16"/>
                <w:lang w:bidi="en-US"/>
              </w:rPr>
              <w:t>of the monolayer destructed</w:t>
            </w:r>
          </w:p>
        </w:tc>
        <w:tc>
          <w:tcPr>
            <w:tcW w:w="13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1C72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328D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5638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2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E53B8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355" w:type="dxa"/>
            <w:vMerge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EAE95" w14:textId="77777777" w:rsidR="005552E7" w:rsidRPr="00433E7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</w:tr>
    </w:tbl>
    <w:p w14:paraId="2B3E3307" w14:textId="77777777" w:rsidR="005552E7" w:rsidRPr="00433E75" w:rsidRDefault="005552E7" w:rsidP="005552E7">
      <w:pPr>
        <w:pStyle w:val="MDPI43tablefooter"/>
        <w:spacing w:after="240"/>
        <w:rPr>
          <w:rFonts w:cs="Palatino Linotype"/>
          <w:color w:val="auto"/>
          <w:sz w:val="20"/>
        </w:rPr>
      </w:pPr>
      <w:r w:rsidRPr="00433E75">
        <w:rPr>
          <w:rFonts w:eastAsia="SimSun"/>
          <w:color w:val="auto"/>
          <w:sz w:val="20"/>
          <w:vertAlign w:val="superscript"/>
          <w:lang w:eastAsia="zh-CN"/>
        </w:rPr>
        <w:t>1</w:t>
      </w:r>
      <w:r w:rsidRPr="00433E75">
        <w:rPr>
          <w:rFonts w:eastAsia="SimSun"/>
          <w:color w:val="auto"/>
          <w:sz w:val="20"/>
          <w:lang w:eastAsia="zh-CN"/>
        </w:rPr>
        <w:t xml:space="preserve"> </w:t>
      </w:r>
      <w:r w:rsidRPr="00433E75">
        <w:rPr>
          <w:rFonts w:eastAsia="SimSun"/>
          <w:color w:val="auto"/>
          <w:lang w:eastAsia="zh-CN"/>
        </w:rPr>
        <w:t xml:space="preserve">Scoring system for the degree of LMH monolayer destruction </w:t>
      </w:r>
      <w:proofErr w:type="spellStart"/>
      <w:r w:rsidRPr="00433E75">
        <w:rPr>
          <w:rFonts w:eastAsia="SimSun"/>
          <w:color w:val="auto"/>
          <w:lang w:eastAsia="zh-CN"/>
        </w:rPr>
        <w:t>Abbreviaaitions</w:t>
      </w:r>
      <w:proofErr w:type="spellEnd"/>
      <w:r w:rsidRPr="00433E75">
        <w:rPr>
          <w:rFonts w:eastAsia="SimSun"/>
          <w:color w:val="auto"/>
          <w:lang w:eastAsia="zh-CN"/>
        </w:rPr>
        <w:t xml:space="preserve">: EPB= entomopathogenic bacteria with </w:t>
      </w:r>
      <w:proofErr w:type="spellStart"/>
      <w:r w:rsidRPr="00433E75">
        <w:rPr>
          <w:rFonts w:eastAsia="SimSun"/>
          <w:color w:val="auto"/>
          <w:lang w:eastAsia="zh-CN"/>
        </w:rPr>
        <w:t>anticrobial</w:t>
      </w:r>
      <w:proofErr w:type="spellEnd"/>
      <w:r w:rsidRPr="00433E75">
        <w:rPr>
          <w:rFonts w:eastAsia="SimSun"/>
          <w:color w:val="auto"/>
          <w:lang w:eastAsia="zh-CN"/>
        </w:rPr>
        <w:t xml:space="preserve"> and cytopathogenic potential.</w:t>
      </w:r>
    </w:p>
    <w:p w14:paraId="0C384ED1" w14:textId="77777777" w:rsidR="005552E7" w:rsidRPr="00433E75" w:rsidRDefault="005552E7" w:rsidP="005552E7">
      <w:pPr>
        <w:pStyle w:val="MDPI31text"/>
        <w:rPr>
          <w:color w:val="auto"/>
          <w:lang w:val="hu-HU"/>
        </w:rPr>
      </w:pPr>
      <w:r w:rsidRPr="00433E75">
        <w:rPr>
          <w:color w:val="auto"/>
        </w:rPr>
        <w:t>Supplementary Material to Results 2.2.2. The Second Experiment See details in the article. Score:</w:t>
      </w:r>
    </w:p>
    <w:tbl>
      <w:tblPr>
        <w:tblW w:w="8598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3054"/>
        <w:gridCol w:w="578"/>
        <w:gridCol w:w="1216"/>
      </w:tblGrid>
      <w:tr w:rsidR="005552E7" w:rsidRPr="00433E75" w14:paraId="758E8EE7" w14:textId="77777777" w:rsidTr="00A54CCF">
        <w:tc>
          <w:tcPr>
            <w:tcW w:w="37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344F09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0</w:t>
            </w:r>
          </w:p>
        </w:tc>
        <w:tc>
          <w:tcPr>
            <w:tcW w:w="305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C9056D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bidi="en-US"/>
              </w:rPr>
              <w:t>an intact monolayer of LMH cells</w:t>
            </w:r>
          </w:p>
        </w:tc>
        <w:tc>
          <w:tcPr>
            <w:tcW w:w="57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E21BCA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/>
                <w:bCs/>
                <w:color w:val="auto"/>
                <w:sz w:val="20"/>
                <w:szCs w:val="22"/>
                <w:lang w:val="hu-HU" w:bidi="en-US"/>
              </w:rPr>
            </w:pPr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50CB28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/>
                <w:bCs/>
                <w:color w:val="auto"/>
                <w:sz w:val="20"/>
                <w:szCs w:val="22"/>
                <w:lang w:val="hu-HU" w:bidi="en-US"/>
              </w:rPr>
            </w:pPr>
          </w:p>
        </w:tc>
      </w:tr>
      <w:tr w:rsidR="005552E7" w:rsidRPr="00433E75" w14:paraId="4AD8E17D" w14:textId="77777777" w:rsidTr="00A54CCF">
        <w:tc>
          <w:tcPr>
            <w:tcW w:w="37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0D17CB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1</w:t>
            </w:r>
          </w:p>
        </w:tc>
        <w:tc>
          <w:tcPr>
            <w:tcW w:w="4848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56CBE6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bidi="en-US"/>
              </w:rPr>
              <w:t>up to 25% of the monolayer destructed</w:t>
            </w:r>
          </w:p>
        </w:tc>
      </w:tr>
      <w:tr w:rsidR="005552E7" w:rsidRPr="00433E75" w14:paraId="12F78F0A" w14:textId="77777777" w:rsidTr="00A54CCF">
        <w:tc>
          <w:tcPr>
            <w:tcW w:w="37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F5551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2</w:t>
            </w:r>
          </w:p>
        </w:tc>
        <w:tc>
          <w:tcPr>
            <w:tcW w:w="36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890D9E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25-50%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of</w:t>
            </w:r>
            <w:proofErr w:type="spellEnd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the</w:t>
            </w:r>
            <w:proofErr w:type="spellEnd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monolayer</w:t>
            </w:r>
            <w:proofErr w:type="spellEnd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destructed</w:t>
            </w:r>
            <w:proofErr w:type="spellEnd"/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DC56B8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/>
                <w:bCs/>
                <w:color w:val="auto"/>
                <w:sz w:val="20"/>
                <w:szCs w:val="22"/>
                <w:lang w:val="hu-HU" w:bidi="en-US"/>
              </w:rPr>
            </w:pPr>
          </w:p>
        </w:tc>
      </w:tr>
      <w:tr w:rsidR="005552E7" w:rsidRPr="00433E75" w14:paraId="49BCA169" w14:textId="77777777" w:rsidTr="00A54CCF">
        <w:tc>
          <w:tcPr>
            <w:tcW w:w="37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371CF8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3</w:t>
            </w:r>
          </w:p>
        </w:tc>
        <w:tc>
          <w:tcPr>
            <w:tcW w:w="3632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5F219F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hu-HU"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50-75%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of</w:t>
            </w:r>
            <w:proofErr w:type="spellEnd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the</w:t>
            </w:r>
            <w:proofErr w:type="spellEnd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monolayer</w:t>
            </w:r>
            <w:proofErr w:type="spellEnd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 xml:space="preserve"> </w:t>
            </w:r>
            <w:proofErr w:type="spellStart"/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val="de-DE" w:bidi="en-US"/>
              </w:rPr>
              <w:t>destructed</w:t>
            </w:r>
            <w:proofErr w:type="spellEnd"/>
          </w:p>
        </w:tc>
        <w:tc>
          <w:tcPr>
            <w:tcW w:w="121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99AE32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/>
                <w:bCs/>
                <w:color w:val="auto"/>
                <w:sz w:val="20"/>
                <w:szCs w:val="22"/>
                <w:lang w:val="hu-HU" w:bidi="en-US"/>
              </w:rPr>
            </w:pPr>
          </w:p>
        </w:tc>
      </w:tr>
      <w:tr w:rsidR="005552E7" w:rsidRPr="00433E75" w14:paraId="02D4EE24" w14:textId="77777777" w:rsidTr="00A54CCF">
        <w:tc>
          <w:tcPr>
            <w:tcW w:w="375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890C8A" w14:textId="77777777" w:rsidR="005552E7" w:rsidRPr="00433E75" w:rsidRDefault="005552E7" w:rsidP="00A54CCF">
            <w:pPr>
              <w:suppressAutoHyphens/>
              <w:autoSpaceDN w:val="0"/>
              <w:snapToGrid w:val="0"/>
              <w:spacing w:line="228" w:lineRule="auto"/>
              <w:ind w:left="2608" w:firstLine="425"/>
              <w:textAlignment w:val="baseline"/>
              <w:rPr>
                <w:rFonts w:ascii="Palatino Linotype" w:hAnsi="Palatino Linotype" w:cs="Palatino Linotype"/>
                <w:b/>
                <w:bCs/>
                <w:color w:val="auto"/>
                <w:sz w:val="20"/>
                <w:szCs w:val="22"/>
                <w:lang w:val="hu-HU" w:bidi="en-US"/>
              </w:rPr>
            </w:pPr>
          </w:p>
        </w:tc>
        <w:tc>
          <w:tcPr>
            <w:tcW w:w="4848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B2EA56" w14:textId="77777777" w:rsidR="005552E7" w:rsidRPr="00FD28C5" w:rsidRDefault="005552E7" w:rsidP="00A54CCF">
            <w:pPr>
              <w:suppressAutoHyphens/>
              <w:autoSpaceDN w:val="0"/>
              <w:snapToGrid w:val="0"/>
              <w:spacing w:line="228" w:lineRule="auto"/>
              <w:textAlignment w:val="baseline"/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bidi="en-US"/>
              </w:rPr>
            </w:pPr>
            <w:r w:rsidRPr="00433E75">
              <w:rPr>
                <w:rFonts w:ascii="Palatino Linotype" w:hAnsi="Palatino Linotype" w:cs="Palatino Linotype"/>
                <w:bCs/>
                <w:color w:val="auto"/>
                <w:sz w:val="20"/>
                <w:szCs w:val="22"/>
                <w:lang w:bidi="en-US"/>
              </w:rPr>
              <w:t>more than 75% of the monolayer destructed</w:t>
            </w:r>
          </w:p>
        </w:tc>
      </w:tr>
    </w:tbl>
    <w:p w14:paraId="3DC08929" w14:textId="77777777" w:rsidR="005552E7" w:rsidRPr="00433E75" w:rsidRDefault="005552E7" w:rsidP="005552E7">
      <w:pPr>
        <w:pStyle w:val="MDPI41tablecaption"/>
        <w:jc w:val="left"/>
        <w:rPr>
          <w:lang w:val="hu-HU"/>
        </w:rPr>
      </w:pPr>
      <w:r w:rsidRPr="00433E75">
        <w:rPr>
          <w:b/>
        </w:rPr>
        <w:t xml:space="preserve">Table S1. </w:t>
      </w:r>
      <w:r w:rsidRPr="00433E75">
        <w:rPr>
          <w:lang w:val="hu-HU"/>
        </w:rPr>
        <w:t>Stocks solutions and dilutions, and dilutions of EMA and EMC  CFCMs</w:t>
      </w:r>
      <w:r>
        <w:rPr>
          <w:lang w:val="hu-HU"/>
        </w:rPr>
        <w:t>.</w:t>
      </w:r>
    </w:p>
    <w:tbl>
      <w:tblPr>
        <w:tblW w:w="10465" w:type="dxa"/>
        <w:jc w:val="center"/>
        <w:tblBorders>
          <w:top w:val="single" w:sz="8" w:space="0" w:color="auto"/>
          <w:bottom w:val="single" w:sz="8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9"/>
        <w:gridCol w:w="3488"/>
        <w:gridCol w:w="3488"/>
      </w:tblGrid>
      <w:tr w:rsidR="005552E7" w:rsidRPr="00FD28C5" w14:paraId="4DD83C7E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AB89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proofErr w:type="spellStart"/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Dilutions</w:t>
            </w:r>
            <w:proofErr w:type="spellEnd"/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79F3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EMA 80%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4DE1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EMC 60%</w:t>
            </w:r>
          </w:p>
        </w:tc>
      </w:tr>
      <w:tr w:rsidR="005552E7" w:rsidRPr="00FD28C5" w14:paraId="3D8C09B4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5937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1:2.5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8F4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32%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34AD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24%</w:t>
            </w:r>
          </w:p>
        </w:tc>
      </w:tr>
      <w:tr w:rsidR="005552E7" w:rsidRPr="00FD28C5" w14:paraId="693A7A22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D1D2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1:5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5189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16%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6EF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12%</w:t>
            </w:r>
          </w:p>
        </w:tc>
      </w:tr>
      <w:tr w:rsidR="005552E7" w:rsidRPr="00FD28C5" w14:paraId="4697F43F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C5A3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1:7.5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DF77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10.63%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E03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7.97%</w:t>
            </w:r>
          </w:p>
        </w:tc>
      </w:tr>
      <w:tr w:rsidR="005552E7" w:rsidRPr="00FD28C5" w14:paraId="3A4AA364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E82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1:10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329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8%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9E88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6%</w:t>
            </w:r>
          </w:p>
        </w:tc>
      </w:tr>
      <w:tr w:rsidR="005552E7" w:rsidRPr="00FD28C5" w14:paraId="3CE0B76E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B021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1:25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B8F7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3.2%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6AD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2.4%</w:t>
            </w:r>
          </w:p>
        </w:tc>
      </w:tr>
      <w:tr w:rsidR="005552E7" w:rsidRPr="00FD28C5" w14:paraId="0B388E51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D93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1:50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E0BA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1.6%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22A9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1.2%</w:t>
            </w:r>
          </w:p>
        </w:tc>
      </w:tr>
      <w:tr w:rsidR="005552E7" w:rsidRPr="00FD28C5" w14:paraId="35E9389C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7A6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1:75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C145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1.063%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40D9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0.797%</w:t>
            </w:r>
          </w:p>
        </w:tc>
      </w:tr>
      <w:tr w:rsidR="005552E7" w:rsidRPr="00FD28C5" w14:paraId="1B31FB84" w14:textId="77777777" w:rsidTr="00A54CCF">
        <w:trPr>
          <w:jc w:val="center"/>
        </w:trPr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D96B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1:100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B760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0.8%</w:t>
            </w:r>
          </w:p>
        </w:tc>
        <w:tc>
          <w:tcPr>
            <w:tcW w:w="26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B769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Cs/>
                <w:color w:val="auto"/>
                <w:sz w:val="20"/>
                <w:lang w:val="de-DE"/>
              </w:rPr>
              <w:t>0.6%</w:t>
            </w:r>
          </w:p>
        </w:tc>
      </w:tr>
    </w:tbl>
    <w:p w14:paraId="678ABD4F" w14:textId="77777777" w:rsidR="005552E7" w:rsidRPr="00433E75" w:rsidRDefault="005552E7" w:rsidP="005552E7">
      <w:pPr>
        <w:pStyle w:val="MDPI41tablecaption"/>
        <w:jc w:val="left"/>
      </w:pPr>
      <w:r w:rsidRPr="00FD28C5">
        <w:rPr>
          <w:b/>
        </w:rPr>
        <w:t xml:space="preserve">Table S2. </w:t>
      </w:r>
      <w:r w:rsidRPr="00433E75">
        <w:t>Results (Scores) of Experiment 2</w:t>
      </w:r>
      <w:r>
        <w:t>.</w:t>
      </w:r>
    </w:p>
    <w:tbl>
      <w:tblPr>
        <w:tblW w:w="104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494"/>
        <w:gridCol w:w="1496"/>
        <w:gridCol w:w="1494"/>
        <w:gridCol w:w="1496"/>
        <w:gridCol w:w="1494"/>
        <w:gridCol w:w="1496"/>
      </w:tblGrid>
      <w:tr w:rsidR="005552E7" w:rsidRPr="00FD28C5" w14:paraId="19BCF8A9" w14:textId="77777777" w:rsidTr="00A54CCF">
        <w:trPr>
          <w:jc w:val="center"/>
        </w:trPr>
        <w:tc>
          <w:tcPr>
            <w:tcW w:w="112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D6F0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Sample</w:t>
            </w:r>
          </w:p>
        </w:tc>
        <w:tc>
          <w:tcPr>
            <w:tcW w:w="112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9CFB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172D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2FB57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24 h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2614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48 h</w:t>
            </w:r>
          </w:p>
        </w:tc>
        <w:tc>
          <w:tcPr>
            <w:tcW w:w="112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6A33E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72 h</w:t>
            </w:r>
          </w:p>
        </w:tc>
        <w:tc>
          <w:tcPr>
            <w:tcW w:w="112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6530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  <w:t>96 h</w:t>
            </w:r>
          </w:p>
        </w:tc>
      </w:tr>
      <w:tr w:rsidR="005552E7" w:rsidRPr="00FD28C5" w14:paraId="173F33B3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243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</w:rPr>
              <w:t>Original (unchanged) media in which the cell layer had developed</w:t>
            </w:r>
          </w:p>
          <w:p w14:paraId="5E25398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</w:rPr>
              <w:t>RPMI1640+10%FKS+0,5% AB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1BCB3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4F57D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E8C32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94251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5F760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30C9DBAC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F0F0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F5CF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FDAA2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44AE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AE32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9A0BF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26BC2C05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D204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</w:rPr>
              <w:t>Fresh media (original media replaced by fresh RPMI1640+10%FKS+0,5% AB)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B9A5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C143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FF59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0E897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BB5BC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4136DA25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1900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F896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70FF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ECE8A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A6FC2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25478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0C0837EB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B82D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 xml:space="preserve">Original media replaced by EMA 80% 1:2.5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6BA2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0F905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20C88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99DA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151B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</w:tr>
      <w:tr w:rsidR="005552E7" w:rsidRPr="00FD28C5" w14:paraId="6723ACC7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D77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37A05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ECE3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B19E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EDBD0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8ECD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</w:tr>
      <w:tr w:rsidR="005552E7" w:rsidRPr="00FD28C5" w14:paraId="2798134E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84DF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EMA 80% 1:5</w:t>
            </w:r>
          </w:p>
          <w:p w14:paraId="79C410B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20C5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0CAD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1599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7C3E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52ABD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</w:tr>
      <w:tr w:rsidR="005552E7" w:rsidRPr="00FD28C5" w14:paraId="446D7FF4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95EE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A3C9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62B4E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2280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5896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F5027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</w:tr>
      <w:tr w:rsidR="005552E7" w:rsidRPr="00FD28C5" w14:paraId="5AC9F422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287D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EMA 80% 1:7.5</w:t>
            </w:r>
          </w:p>
          <w:p w14:paraId="22B2E30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BD6BA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D797C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E7347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D3A9E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297DC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</w:tr>
      <w:tr w:rsidR="005552E7" w:rsidRPr="00FD28C5" w14:paraId="13F4F2A9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79DD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EDA4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8D73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4673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9735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3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AA4E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3</w:t>
            </w:r>
          </w:p>
        </w:tc>
      </w:tr>
      <w:tr w:rsidR="005552E7" w:rsidRPr="00FD28C5" w14:paraId="6FF42328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DEE7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lastRenderedPageBreak/>
              <w:t>EMA 80% 1:10</w:t>
            </w:r>
          </w:p>
          <w:p w14:paraId="2C8270D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2F127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4217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E4C1F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F15A7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7B91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24DBB95B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5AF2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4CCA6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E82F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3805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EAFE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FF93F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28F61FC0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2970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EMA 80% 1:25</w:t>
            </w:r>
          </w:p>
          <w:p w14:paraId="0D47A4A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489B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A3EC4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AD100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BBB8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65D05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3B6250A7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DE8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2538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2A9A5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6FB59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69F0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6081D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6192C2FD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CE2F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EMA 80% 1:50</w:t>
            </w:r>
          </w:p>
          <w:p w14:paraId="7A5B344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27EB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C97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0B10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4C74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E48F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506E4DFD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F3CC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B621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4F680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75DB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308A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FB9F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</w:tr>
      <w:tr w:rsidR="005552E7" w:rsidRPr="00FD28C5" w14:paraId="0CDC4F8F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2B62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EMA 80% 1:75</w:t>
            </w:r>
          </w:p>
          <w:p w14:paraId="0D02FA4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7E57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AA2C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38E0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B6A7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F661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66C7EDCB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D43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AD8BA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D391D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F78F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217A7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4316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3BA5B91B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A797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EMA 80% 1:100</w:t>
            </w:r>
          </w:p>
          <w:p w14:paraId="0A1363B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E60D6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9CBD5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7E6A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7814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79C5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56D4B100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B122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5529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E499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909E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8EC98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6004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1099FD84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742B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1:2.5</w:t>
            </w:r>
          </w:p>
          <w:p w14:paraId="1DE727A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E9A60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2813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47A7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8C073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EBCB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</w:tr>
      <w:tr w:rsidR="005552E7" w:rsidRPr="00FD28C5" w14:paraId="6BCAD237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F664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47E6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1F49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0D6B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99009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B98FB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4</w:t>
            </w:r>
          </w:p>
        </w:tc>
      </w:tr>
      <w:tr w:rsidR="005552E7" w:rsidRPr="00FD28C5" w14:paraId="0F8F57A5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F826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1:5</w:t>
            </w:r>
          </w:p>
          <w:p w14:paraId="256AEED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A12F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550B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453F1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911B7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73EC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24AF146D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20D2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5EDA6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D370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63BA7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F53B4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F0CB2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5709D18F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F715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1:7.5</w:t>
            </w:r>
          </w:p>
          <w:p w14:paraId="449BE4F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C4B0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C6F6D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F8E29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1962B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ECF89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4D5DDE7E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93BD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392EE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C9033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C869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14C24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6EBD3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48FA6A87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D56C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1:10</w:t>
            </w:r>
          </w:p>
          <w:p w14:paraId="5765C87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C81FF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805E4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D2E7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B99D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AA93F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3DCCAA8B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59F0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37FA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85F46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FDE41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51E8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0FF8E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2</w:t>
            </w:r>
          </w:p>
        </w:tc>
      </w:tr>
      <w:tr w:rsidR="005552E7" w:rsidRPr="00FD28C5" w14:paraId="44701D38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778F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1:25</w:t>
            </w:r>
          </w:p>
          <w:p w14:paraId="6CA7F60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96CFE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B2848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3A81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A4FC0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5B22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413C4A02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DB6C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F9A41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80DB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D33B1D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8F974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AAA30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11ED1547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0171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1:50</w:t>
            </w:r>
          </w:p>
          <w:p w14:paraId="55B31B4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9928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E675C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0D9AA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EB132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B2C3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2DD08F6B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5F49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95671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A0276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4A30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BE88F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8AA7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25C29CDE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ABCD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1:75</w:t>
            </w:r>
          </w:p>
          <w:p w14:paraId="5DCB23B9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6631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394D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61B3C7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3AB18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BA93B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6512364B" w14:textId="77777777" w:rsidTr="00A54CCF">
        <w:trPr>
          <w:jc w:val="center"/>
        </w:trPr>
        <w:tc>
          <w:tcPr>
            <w:tcW w:w="2244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B70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6190B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F9467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10635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BF2DC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4D430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62B566FE" w14:textId="77777777" w:rsidTr="00A54CCF">
        <w:trPr>
          <w:jc w:val="center"/>
        </w:trPr>
        <w:tc>
          <w:tcPr>
            <w:tcW w:w="2244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9BCA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color w:val="auto"/>
                <w:sz w:val="20"/>
                <w:lang w:val="de-DE"/>
              </w:rPr>
            </w:pPr>
            <w:r w:rsidRPr="00FD28C5">
              <w:rPr>
                <w:rFonts w:ascii="Palatino Linotype" w:hAnsi="Palatino Linotype"/>
                <w:color w:val="auto"/>
                <w:sz w:val="20"/>
                <w:lang w:val="de-DE"/>
              </w:rPr>
              <w:t>EMC 60% 1:100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87319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A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6C01B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849983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01F7E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9127E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0D597AEE" w14:textId="77777777" w:rsidTr="00A54CCF">
        <w:trPr>
          <w:jc w:val="center"/>
        </w:trPr>
        <w:tc>
          <w:tcPr>
            <w:tcW w:w="2244" w:type="dxa"/>
            <w:gridSpan w:val="2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D0B7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CE0D8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B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A7C6F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04907C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7969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861B6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  <w:r w:rsidRPr="00FD28C5"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  <w:t>0</w:t>
            </w:r>
          </w:p>
        </w:tc>
      </w:tr>
      <w:tr w:rsidR="005552E7" w:rsidRPr="00FD28C5" w14:paraId="470101A3" w14:textId="77777777" w:rsidTr="00A54CCF">
        <w:trPr>
          <w:jc w:val="center"/>
        </w:trPr>
        <w:tc>
          <w:tcPr>
            <w:tcW w:w="112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C0F2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6FDE81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hAnsi="Palatino Linotype"/>
                <w:b/>
                <w:bCs/>
                <w:color w:val="auto"/>
                <w:sz w:val="20"/>
                <w:lang w:val="de-DE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7C57E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20495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A97A65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CC969F4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F299C0" w14:textId="77777777" w:rsidR="005552E7" w:rsidRPr="00FD28C5" w:rsidRDefault="005552E7" w:rsidP="00A54CCF">
            <w:pPr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Palatino Linotype" w:eastAsia="SimSun" w:hAnsi="Palatino Linotype"/>
                <w:color w:val="auto"/>
                <w:sz w:val="20"/>
                <w:lang w:eastAsia="zh-CN"/>
              </w:rPr>
            </w:pPr>
          </w:p>
        </w:tc>
      </w:tr>
    </w:tbl>
    <w:p w14:paraId="65569336" w14:textId="647611F8" w:rsidR="00996419" w:rsidRPr="005552E7" w:rsidRDefault="00996419" w:rsidP="005552E7"/>
    <w:sectPr w:rsidR="00996419" w:rsidRPr="005552E7" w:rsidSect="00DA2505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8FA2" w14:textId="77777777" w:rsidR="0014737E" w:rsidRDefault="0014737E">
      <w:pPr>
        <w:spacing w:line="240" w:lineRule="auto"/>
      </w:pPr>
      <w:r>
        <w:separator/>
      </w:r>
    </w:p>
  </w:endnote>
  <w:endnote w:type="continuationSeparator" w:id="0">
    <w:p w14:paraId="7FB7D325" w14:textId="77777777" w:rsidR="0014737E" w:rsidRDefault="00147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1E71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7F1E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8BCD8" w14:textId="77777777" w:rsidR="0014737E" w:rsidRDefault="0014737E">
      <w:pPr>
        <w:spacing w:line="240" w:lineRule="auto"/>
      </w:pPr>
      <w:r>
        <w:separator/>
      </w:r>
    </w:p>
  </w:footnote>
  <w:footnote w:type="continuationSeparator" w:id="0">
    <w:p w14:paraId="0EE9983C" w14:textId="77777777" w:rsidR="0014737E" w:rsidRDefault="001473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E83B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E7BC7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389645">
    <w:abstractNumId w:val="1"/>
  </w:num>
  <w:num w:numId="2" w16cid:durableId="1537309697">
    <w:abstractNumId w:val="2"/>
  </w:num>
  <w:num w:numId="3" w16cid:durableId="1307473107">
    <w:abstractNumId w:val="0"/>
  </w:num>
  <w:num w:numId="4" w16cid:durableId="9394888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4737E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52E7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548E8"/>
    <w:rsid w:val="00EA1A0C"/>
    <w:rsid w:val="00EB34C8"/>
    <w:rsid w:val="00EB730D"/>
    <w:rsid w:val="00EC2CB7"/>
    <w:rsid w:val="00F159D6"/>
    <w:rsid w:val="00F41D77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F2384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2023-10-27T07:36:00Z</dcterms:created>
  <dcterms:modified xsi:type="dcterms:W3CDTF">2023-10-27T07:38:00Z</dcterms:modified>
</cp:coreProperties>
</file>