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A4D9C" w14:textId="5C6A7E6A" w:rsidR="00A33B75" w:rsidRDefault="00A33B75" w:rsidP="00CB1995">
      <w:pPr>
        <w:spacing w:after="0" w:line="360" w:lineRule="auto"/>
        <w:jc w:val="both"/>
        <w:rPr>
          <w:rFonts w:ascii="Arial" w:eastAsia="Times New Roman" w:hAnsi="Arial" w:cs="Arial"/>
          <w:b/>
          <w:bCs/>
          <w:color w:val="000000"/>
          <w:sz w:val="28"/>
          <w:szCs w:val="28"/>
        </w:rPr>
      </w:pPr>
      <w:r w:rsidRPr="00A33B75">
        <w:rPr>
          <w:rFonts w:ascii="Arial" w:eastAsia="Times New Roman" w:hAnsi="Arial" w:cs="Arial"/>
          <w:b/>
          <w:bCs/>
          <w:color w:val="000000"/>
          <w:sz w:val="28"/>
          <w:szCs w:val="28"/>
        </w:rPr>
        <w:t>Sup</w:t>
      </w:r>
      <w:r w:rsidR="00CE5AEF">
        <w:rPr>
          <w:rFonts w:ascii="Arial" w:eastAsia="Times New Roman" w:hAnsi="Arial" w:cs="Arial"/>
          <w:b/>
          <w:bCs/>
          <w:color w:val="000000"/>
          <w:sz w:val="28"/>
          <w:szCs w:val="28"/>
        </w:rPr>
        <w:t>p</w:t>
      </w:r>
      <w:r w:rsidR="00992AA2">
        <w:rPr>
          <w:rFonts w:ascii="Arial" w:eastAsia="Times New Roman" w:hAnsi="Arial" w:cs="Arial"/>
          <w:b/>
          <w:bCs/>
          <w:color w:val="000000"/>
          <w:sz w:val="28"/>
          <w:szCs w:val="28"/>
        </w:rPr>
        <w:t>lementary Material</w:t>
      </w:r>
      <w:r>
        <w:rPr>
          <w:rFonts w:ascii="Arial" w:eastAsia="Times New Roman" w:hAnsi="Arial" w:cs="Arial"/>
          <w:b/>
          <w:bCs/>
          <w:color w:val="000000"/>
          <w:sz w:val="28"/>
          <w:szCs w:val="28"/>
        </w:rPr>
        <w:t>:</w:t>
      </w:r>
    </w:p>
    <w:p w14:paraId="5FF9BBDA" w14:textId="77777777" w:rsidR="00A33B75" w:rsidRDefault="00A33B75" w:rsidP="00CB1995">
      <w:pPr>
        <w:spacing w:after="0" w:line="360" w:lineRule="auto"/>
        <w:jc w:val="both"/>
        <w:rPr>
          <w:rFonts w:ascii="Arial" w:eastAsia="Times New Roman" w:hAnsi="Arial" w:cs="Arial"/>
          <w:b/>
          <w:bCs/>
          <w:color w:val="000000"/>
          <w:sz w:val="28"/>
          <w:szCs w:val="28"/>
        </w:rPr>
      </w:pPr>
    </w:p>
    <w:p w14:paraId="7C021767" w14:textId="77777777" w:rsidR="00FF07F0" w:rsidRPr="000F6A04" w:rsidRDefault="00FF07F0" w:rsidP="00FF07F0">
      <w:pPr>
        <w:spacing w:line="360" w:lineRule="auto"/>
        <w:ind w:left="576" w:right="576"/>
        <w:jc w:val="both"/>
        <w:rPr>
          <w:rFonts w:ascii="Arial" w:eastAsia="Calibri" w:hAnsi="Arial" w:cs="Arial"/>
          <w:b/>
          <w:bCs/>
          <w:sz w:val="28"/>
          <w:szCs w:val="28"/>
        </w:rPr>
      </w:pPr>
      <w:r w:rsidRPr="000F6A04">
        <w:rPr>
          <w:rFonts w:ascii="Arial" w:hAnsi="Arial" w:cs="Arial"/>
          <w:b/>
          <w:bCs/>
          <w:sz w:val="28"/>
          <w:szCs w:val="28"/>
        </w:rPr>
        <w:t>A VEGFB-based peptidomimetic inhibits VEGFR2-mediated PI3K/Akt</w:t>
      </w:r>
      <w:r>
        <w:rPr>
          <w:rFonts w:ascii="Arial" w:hAnsi="Arial" w:cs="Arial"/>
          <w:b/>
          <w:bCs/>
          <w:sz w:val="28"/>
          <w:szCs w:val="28"/>
        </w:rPr>
        <w:t>/mTOR</w:t>
      </w:r>
      <w:r w:rsidRPr="000F6A04">
        <w:rPr>
          <w:rFonts w:ascii="Arial" w:hAnsi="Arial" w:cs="Arial"/>
          <w:b/>
          <w:bCs/>
          <w:sz w:val="28"/>
          <w:szCs w:val="28"/>
        </w:rPr>
        <w:t xml:space="preserve"> and</w:t>
      </w:r>
      <w:r w:rsidRPr="000F6A04">
        <w:rPr>
          <w:rFonts w:ascii="Arial" w:hAnsi="Arial" w:cs="Arial"/>
          <w:b/>
          <w:bCs/>
          <w:sz w:val="24"/>
          <w:szCs w:val="24"/>
        </w:rPr>
        <w:t xml:space="preserve"> </w:t>
      </w:r>
      <w:r w:rsidRPr="004262A7">
        <w:rPr>
          <w:rFonts w:ascii="Arial" w:hAnsi="Arial" w:cs="Arial"/>
          <w:b/>
          <w:bCs/>
          <w:sz w:val="28"/>
          <w:szCs w:val="28"/>
        </w:rPr>
        <w:t>PLCγ/ERK signaling and elicits apopto</w:t>
      </w:r>
      <w:r>
        <w:rPr>
          <w:rFonts w:ascii="Arial" w:hAnsi="Arial" w:cs="Arial"/>
          <w:b/>
          <w:bCs/>
          <w:sz w:val="28"/>
          <w:szCs w:val="28"/>
        </w:rPr>
        <w:t>t</w:t>
      </w:r>
      <w:r w:rsidRPr="004262A7">
        <w:rPr>
          <w:rFonts w:ascii="Arial" w:hAnsi="Arial" w:cs="Arial"/>
          <w:b/>
          <w:bCs/>
          <w:sz w:val="28"/>
          <w:szCs w:val="28"/>
        </w:rPr>
        <w:t>ic,</w:t>
      </w:r>
      <w:r w:rsidRPr="000F6A04">
        <w:rPr>
          <w:rFonts w:ascii="Arial" w:hAnsi="Arial" w:cs="Arial"/>
          <w:b/>
          <w:bCs/>
          <w:sz w:val="24"/>
          <w:szCs w:val="24"/>
        </w:rPr>
        <w:t xml:space="preserve"> </w:t>
      </w:r>
      <w:r w:rsidRPr="000F6A04">
        <w:rPr>
          <w:rFonts w:ascii="Arial" w:hAnsi="Arial" w:cs="Arial"/>
          <w:b/>
          <w:bCs/>
          <w:sz w:val="28"/>
          <w:szCs w:val="28"/>
        </w:rPr>
        <w:t>antiangiogenic, and antitumor activities</w:t>
      </w:r>
    </w:p>
    <w:p w14:paraId="43B76F3E" w14:textId="77777777" w:rsidR="006B6206" w:rsidRPr="00E15EE9" w:rsidRDefault="006B6206" w:rsidP="006B6206">
      <w:pPr>
        <w:spacing w:line="360" w:lineRule="auto"/>
        <w:rPr>
          <w:rFonts w:ascii="Arial" w:hAnsi="Arial" w:cs="Arial"/>
          <w:b/>
          <w:bCs/>
          <w:sz w:val="24"/>
          <w:szCs w:val="24"/>
        </w:rPr>
      </w:pPr>
    </w:p>
    <w:p w14:paraId="6F3388D1" w14:textId="3BADD18A" w:rsidR="006B6206" w:rsidRPr="000F6A04" w:rsidRDefault="006B6206" w:rsidP="006B6206">
      <w:pPr>
        <w:spacing w:before="240" w:after="240" w:line="360" w:lineRule="auto"/>
        <w:ind w:left="576" w:right="576"/>
        <w:jc w:val="both"/>
        <w:rPr>
          <w:rFonts w:ascii="Arial" w:hAnsi="Arial" w:cs="Arial"/>
        </w:rPr>
      </w:pPr>
      <w:r w:rsidRPr="000F6A04">
        <w:rPr>
          <w:rFonts w:ascii="Arial" w:hAnsi="Arial" w:cs="Arial"/>
        </w:rPr>
        <w:t>Mohadeseh Namjoo</w:t>
      </w:r>
      <w:r w:rsidRPr="000F6A04">
        <w:rPr>
          <w:rFonts w:ascii="Arial" w:hAnsi="Arial" w:cs="Arial"/>
          <w:vertAlign w:val="superscript"/>
        </w:rPr>
        <w:t>1</w:t>
      </w:r>
      <w:r w:rsidRPr="000F6A04">
        <w:rPr>
          <w:rFonts w:ascii="Arial" w:hAnsi="Arial" w:cs="Arial"/>
        </w:rPr>
        <w:t>, Hossein Ghafoori</w:t>
      </w:r>
      <w:r w:rsidRPr="000F6A04">
        <w:rPr>
          <w:rFonts w:ascii="Arial" w:hAnsi="Arial" w:cs="Arial"/>
          <w:vertAlign w:val="superscript"/>
        </w:rPr>
        <w:t>2</w:t>
      </w:r>
      <w:r w:rsidRPr="000F6A04">
        <w:rPr>
          <w:rFonts w:ascii="Arial" w:hAnsi="Arial" w:cs="Arial"/>
        </w:rPr>
        <w:t>, Elham Assareh</w:t>
      </w:r>
      <w:r w:rsidRPr="000F6A04">
        <w:rPr>
          <w:rFonts w:ascii="Arial" w:hAnsi="Arial" w:cs="Arial"/>
          <w:vertAlign w:val="superscript"/>
        </w:rPr>
        <w:t>2</w:t>
      </w:r>
      <w:r w:rsidRPr="000F6A04">
        <w:rPr>
          <w:rFonts w:ascii="Arial" w:hAnsi="Arial" w:cs="Arial"/>
        </w:rPr>
        <w:t>, Amir Reza Aref</w:t>
      </w:r>
      <w:r w:rsidRPr="000F6A04">
        <w:rPr>
          <w:rFonts w:ascii="Arial" w:hAnsi="Arial" w:cs="Arial"/>
          <w:vertAlign w:val="superscript"/>
        </w:rPr>
        <w:t>3</w:t>
      </w:r>
      <w:r w:rsidRPr="000F6A04">
        <w:rPr>
          <w:rFonts w:ascii="Arial" w:hAnsi="Arial" w:cs="Arial"/>
        </w:rPr>
        <w:t>, Ebrahim Mostafavi</w:t>
      </w:r>
      <w:r w:rsidRPr="00F11D9C">
        <w:rPr>
          <w:rFonts w:ascii="Arial" w:hAnsi="Arial" w:cs="Arial"/>
          <w:vertAlign w:val="superscript"/>
        </w:rPr>
        <w:t>4</w:t>
      </w:r>
      <w:r w:rsidRPr="000F6A04">
        <w:rPr>
          <w:rFonts w:ascii="Arial" w:hAnsi="Arial" w:cs="Arial"/>
        </w:rPr>
        <w:t>, Ali Hamrahi</w:t>
      </w:r>
      <w:r w:rsidR="00FD72F6">
        <w:rPr>
          <w:rFonts w:ascii="Arial" w:hAnsi="Arial" w:cs="Arial"/>
        </w:rPr>
        <w:t xml:space="preserve"> Mohsen</w:t>
      </w:r>
      <w:r>
        <w:rPr>
          <w:rFonts w:ascii="Arial" w:hAnsi="Arial" w:cs="Arial"/>
          <w:vertAlign w:val="superscript"/>
        </w:rPr>
        <w:t>5</w:t>
      </w:r>
      <w:r w:rsidRPr="000F6A04">
        <w:rPr>
          <w:rFonts w:ascii="Arial" w:hAnsi="Arial" w:cs="Arial"/>
        </w:rPr>
        <w:t>, Saeed Balalaei</w:t>
      </w:r>
      <w:r>
        <w:rPr>
          <w:rFonts w:ascii="Arial" w:hAnsi="Arial" w:cs="Arial"/>
          <w:vertAlign w:val="superscript"/>
        </w:rPr>
        <w:t>6</w:t>
      </w:r>
      <w:r w:rsidRPr="000F6A04">
        <w:rPr>
          <w:rFonts w:ascii="Arial" w:hAnsi="Arial" w:cs="Arial"/>
        </w:rPr>
        <w:t>, Sylvain Broussy</w:t>
      </w:r>
      <w:r>
        <w:rPr>
          <w:rFonts w:ascii="Arial" w:hAnsi="Arial" w:cs="Arial"/>
          <w:vertAlign w:val="superscript"/>
        </w:rPr>
        <w:t>7</w:t>
      </w:r>
      <w:r w:rsidRPr="000F6A04">
        <w:rPr>
          <w:rFonts w:ascii="Arial" w:hAnsi="Arial" w:cs="Arial"/>
        </w:rPr>
        <w:t>, S. Mohsen Asghari</w:t>
      </w:r>
      <w:r>
        <w:rPr>
          <w:rFonts w:ascii="Arial" w:hAnsi="Arial" w:cs="Arial"/>
          <w:vertAlign w:val="superscript"/>
        </w:rPr>
        <w:t>5</w:t>
      </w:r>
      <w:r w:rsidRPr="000F6A04">
        <w:rPr>
          <w:rFonts w:ascii="Arial" w:hAnsi="Arial" w:cs="Arial"/>
          <w:vertAlign w:val="superscript"/>
        </w:rPr>
        <w:t>*</w:t>
      </w:r>
    </w:p>
    <w:p w14:paraId="2714BE53" w14:textId="77777777" w:rsidR="006B6206" w:rsidRPr="00E15EE9" w:rsidRDefault="006B6206" w:rsidP="006B6206">
      <w:pPr>
        <w:spacing w:before="240" w:after="240" w:line="240" w:lineRule="auto"/>
        <w:jc w:val="both"/>
        <w:rPr>
          <w:rFonts w:ascii="Arial" w:eastAsia="Times New Roman" w:hAnsi="Arial" w:cs="Arial"/>
          <w:color w:val="000000"/>
        </w:rPr>
      </w:pPr>
    </w:p>
    <w:p w14:paraId="61D64E7E" w14:textId="77777777" w:rsidR="006B6206" w:rsidRPr="00443CB8" w:rsidRDefault="006B6206" w:rsidP="006B6206">
      <w:pPr>
        <w:pStyle w:val="ListParagraph"/>
        <w:numPr>
          <w:ilvl w:val="0"/>
          <w:numId w:val="2"/>
        </w:numPr>
        <w:spacing w:before="240" w:after="240" w:line="240" w:lineRule="auto"/>
        <w:jc w:val="both"/>
        <w:rPr>
          <w:rFonts w:ascii="Arial" w:eastAsia="Times New Roman" w:hAnsi="Arial" w:cs="Arial"/>
        </w:rPr>
      </w:pPr>
      <w:r w:rsidRPr="00443CB8">
        <w:rPr>
          <w:rFonts w:ascii="Arial" w:eastAsia="Times New Roman" w:hAnsi="Arial" w:cs="Arial"/>
          <w:color w:val="000000"/>
        </w:rPr>
        <w:t>Department of Biology, University Campus II, University of Guilan, Rasht, Iran.</w:t>
      </w:r>
    </w:p>
    <w:p w14:paraId="758E1787" w14:textId="77777777" w:rsidR="006B6206" w:rsidRPr="00443CB8" w:rsidRDefault="006B6206" w:rsidP="006B6206">
      <w:pPr>
        <w:pStyle w:val="ListParagraph"/>
        <w:numPr>
          <w:ilvl w:val="0"/>
          <w:numId w:val="2"/>
        </w:numPr>
        <w:spacing w:before="240" w:after="240" w:line="240" w:lineRule="auto"/>
        <w:jc w:val="both"/>
        <w:rPr>
          <w:rFonts w:ascii="Arial" w:eastAsia="Times New Roman" w:hAnsi="Arial" w:cs="Arial"/>
        </w:rPr>
      </w:pPr>
      <w:r w:rsidRPr="00443CB8">
        <w:rPr>
          <w:rFonts w:ascii="Arial" w:eastAsia="Times New Roman" w:hAnsi="Arial" w:cs="Arial"/>
          <w:color w:val="000000"/>
        </w:rPr>
        <w:t>Department of Biology, Faculty of Sciences, University of Guilan, Rasht, Iran.</w:t>
      </w:r>
    </w:p>
    <w:p w14:paraId="67299B7D" w14:textId="77777777" w:rsidR="006B6206" w:rsidRPr="00443CB8" w:rsidRDefault="006B6206" w:rsidP="006B6206">
      <w:pPr>
        <w:pStyle w:val="ListParagraph"/>
        <w:numPr>
          <w:ilvl w:val="0"/>
          <w:numId w:val="2"/>
        </w:numPr>
        <w:spacing w:before="240" w:after="240" w:line="240" w:lineRule="auto"/>
        <w:jc w:val="both"/>
        <w:rPr>
          <w:rFonts w:ascii="Arial" w:eastAsia="Times New Roman" w:hAnsi="Arial" w:cs="Arial"/>
        </w:rPr>
      </w:pPr>
      <w:r w:rsidRPr="00443CB8">
        <w:rPr>
          <w:rFonts w:ascii="Arial" w:eastAsia="Times New Roman" w:hAnsi="Arial" w:cs="Arial"/>
          <w:color w:val="000000"/>
        </w:rPr>
        <w:t>Belfer Center for Applied Cancer Science, Dana-Farber Cancer Institute, Harvard Medical School, Boston, MA, USA</w:t>
      </w:r>
    </w:p>
    <w:p w14:paraId="423EF795" w14:textId="77777777" w:rsidR="006B6206" w:rsidRPr="00443CB8" w:rsidRDefault="006B6206" w:rsidP="006B6206">
      <w:pPr>
        <w:pStyle w:val="ListParagraph"/>
        <w:numPr>
          <w:ilvl w:val="0"/>
          <w:numId w:val="2"/>
        </w:numPr>
        <w:spacing w:before="240" w:after="240" w:line="240" w:lineRule="auto"/>
        <w:jc w:val="both"/>
        <w:rPr>
          <w:rFonts w:ascii="Arial" w:eastAsia="Times New Roman" w:hAnsi="Arial" w:cs="Arial"/>
        </w:rPr>
      </w:pPr>
      <w:r w:rsidRPr="00443CB8">
        <w:rPr>
          <w:rFonts w:ascii="Arial" w:eastAsia="Times New Roman" w:hAnsi="Arial" w:cs="Arial"/>
          <w:lang w:val="en-US"/>
        </w:rPr>
        <w:t>Department of Medicine, Stanford University School of Medicine, Stanford, CA, USA</w:t>
      </w:r>
      <w:r>
        <w:rPr>
          <w:rFonts w:ascii="Arial" w:eastAsia="Times New Roman" w:hAnsi="Arial" w:cs="Arial"/>
          <w:lang w:val="en-US"/>
        </w:rPr>
        <w:t>.</w:t>
      </w:r>
    </w:p>
    <w:p w14:paraId="04ACDB8F" w14:textId="77777777" w:rsidR="006B6206" w:rsidRPr="007A177E" w:rsidRDefault="006B6206" w:rsidP="006B6206">
      <w:pPr>
        <w:pStyle w:val="ListParagraph"/>
        <w:numPr>
          <w:ilvl w:val="0"/>
          <w:numId w:val="2"/>
        </w:numPr>
        <w:spacing w:before="240" w:after="240" w:line="240" w:lineRule="auto"/>
        <w:jc w:val="both"/>
        <w:rPr>
          <w:rFonts w:ascii="Arial" w:eastAsia="Times New Roman" w:hAnsi="Arial" w:cs="Arial"/>
        </w:rPr>
      </w:pPr>
      <w:r w:rsidRPr="007A177E">
        <w:rPr>
          <w:rFonts w:ascii="Arial" w:eastAsia="Times New Roman" w:hAnsi="Arial" w:cs="Arial"/>
          <w:lang w:val="en-US"/>
        </w:rPr>
        <w:t>Institute of Biochemistry and Biophysics (IBB), University of Tehran, Tehran, Iran</w:t>
      </w:r>
    </w:p>
    <w:p w14:paraId="766FBAE9" w14:textId="77777777" w:rsidR="006B6206" w:rsidRPr="00443CB8" w:rsidRDefault="006B6206" w:rsidP="006B6206">
      <w:pPr>
        <w:pStyle w:val="ListParagraph"/>
        <w:numPr>
          <w:ilvl w:val="0"/>
          <w:numId w:val="2"/>
        </w:numPr>
        <w:spacing w:before="240" w:after="240" w:line="240" w:lineRule="auto"/>
        <w:jc w:val="both"/>
        <w:rPr>
          <w:rFonts w:ascii="Arial" w:eastAsia="Times New Roman" w:hAnsi="Arial" w:cs="Arial"/>
        </w:rPr>
      </w:pPr>
      <w:r w:rsidRPr="00443CB8">
        <w:rPr>
          <w:rFonts w:ascii="Arial" w:eastAsia="Times New Roman" w:hAnsi="Arial" w:cs="Arial"/>
          <w:color w:val="000000"/>
        </w:rPr>
        <w:t>Peptide Chemistry Research Center, K. N. Toosi University of Technology, K. N. Toosi University of Technology, Tehran, Iran.</w:t>
      </w:r>
    </w:p>
    <w:p w14:paraId="3762852A" w14:textId="1AE593B2" w:rsidR="006B6206" w:rsidRPr="005D617A" w:rsidRDefault="005D617A" w:rsidP="005D617A">
      <w:pPr>
        <w:pStyle w:val="ListParagraph"/>
        <w:numPr>
          <w:ilvl w:val="0"/>
          <w:numId w:val="2"/>
        </w:numPr>
        <w:rPr>
          <w:rFonts w:ascii="Arial" w:eastAsia="Times New Roman" w:hAnsi="Arial" w:cs="Arial"/>
          <w:color w:val="000000"/>
        </w:rPr>
      </w:pPr>
      <w:r w:rsidRPr="005D617A">
        <w:rPr>
          <w:rFonts w:ascii="Arial" w:eastAsia="Times New Roman" w:hAnsi="Arial" w:cs="Arial"/>
          <w:color w:val="000000"/>
        </w:rPr>
        <w:t>Faculty of Pharmacy, Université Paris Cité, Paris, France.</w:t>
      </w:r>
      <w:bookmarkStart w:id="0" w:name="_GoBack"/>
      <w:bookmarkEnd w:id="0"/>
    </w:p>
    <w:p w14:paraId="023FF450" w14:textId="77777777" w:rsidR="00FF07F0" w:rsidRPr="00E15EE9" w:rsidRDefault="00FF07F0" w:rsidP="00FF07F0">
      <w:pPr>
        <w:spacing w:line="360" w:lineRule="auto"/>
        <w:jc w:val="both"/>
        <w:rPr>
          <w:rFonts w:ascii="Arial" w:hAnsi="Arial" w:cs="Arial"/>
          <w:sz w:val="24"/>
          <w:szCs w:val="24"/>
        </w:rPr>
      </w:pPr>
    </w:p>
    <w:p w14:paraId="6A8C4B2C" w14:textId="77777777" w:rsidR="00FF07F0" w:rsidRPr="00443CB8" w:rsidRDefault="00FF07F0" w:rsidP="00FF07F0">
      <w:pPr>
        <w:spacing w:before="240" w:after="120" w:line="240" w:lineRule="auto"/>
        <w:ind w:left="576" w:right="576"/>
        <w:jc w:val="both"/>
        <w:rPr>
          <w:rFonts w:ascii="Arial" w:eastAsia="Times New Roman" w:hAnsi="Arial" w:cs="Arial"/>
        </w:rPr>
      </w:pPr>
      <w:r w:rsidRPr="00E15EE9">
        <w:rPr>
          <w:rFonts w:ascii="Arial" w:eastAsia="Times New Roman" w:hAnsi="Arial" w:cs="Arial"/>
          <w:color w:val="000000"/>
        </w:rPr>
        <w:t>Correspond</w:t>
      </w:r>
      <w:r>
        <w:rPr>
          <w:rFonts w:ascii="Arial" w:eastAsia="Times New Roman" w:hAnsi="Arial" w:cs="Arial"/>
          <w:color w:val="000000"/>
        </w:rPr>
        <w:t xml:space="preserve">ence to S. Mohsen Asghari: Department of Biochemistry, Institute of Biochemistry and Biophysics (IBB), University of Tehran, Iran. </w:t>
      </w:r>
      <w:r w:rsidRPr="00443CB8">
        <w:rPr>
          <w:rFonts w:ascii="Arial" w:eastAsia="Times New Roman" w:hAnsi="Arial" w:cs="Arial"/>
          <w:color w:val="000000"/>
        </w:rPr>
        <w:t>Postal Code: 1417614411</w:t>
      </w:r>
      <w:r>
        <w:rPr>
          <w:rFonts w:ascii="Arial" w:eastAsia="Times New Roman" w:hAnsi="Arial" w:cs="Arial"/>
        </w:rPr>
        <w:t xml:space="preserve">. </w:t>
      </w:r>
      <w:hyperlink r:id="rId7" w:history="1">
        <w:r w:rsidRPr="00E15EE9">
          <w:rPr>
            <w:rStyle w:val="Hyperlink"/>
            <w:rFonts w:ascii="Arial" w:eastAsia="Times New Roman" w:hAnsi="Arial" w:cs="Arial"/>
          </w:rPr>
          <w:t>sm.asghari@ut.ac.ir</w:t>
        </w:r>
      </w:hyperlink>
    </w:p>
    <w:p w14:paraId="232CB3FA" w14:textId="77777777" w:rsidR="00FF07F0" w:rsidRPr="00E15EE9" w:rsidRDefault="00FF07F0" w:rsidP="00FF07F0">
      <w:pPr>
        <w:spacing w:line="360" w:lineRule="auto"/>
        <w:jc w:val="both"/>
        <w:rPr>
          <w:rFonts w:ascii="Arial" w:hAnsi="Arial" w:cs="Arial"/>
          <w:sz w:val="24"/>
          <w:szCs w:val="24"/>
        </w:rPr>
      </w:pPr>
    </w:p>
    <w:p w14:paraId="517D3B48" w14:textId="224FD2B1" w:rsidR="00FF07F0" w:rsidRPr="00056816" w:rsidRDefault="00FF07F0" w:rsidP="00890427">
      <w:pPr>
        <w:spacing w:before="240" w:after="0" w:line="240" w:lineRule="auto"/>
        <w:jc w:val="both"/>
        <w:rPr>
          <w:rFonts w:ascii="Arial" w:eastAsia="Times New Roman" w:hAnsi="Arial" w:cs="Arial"/>
          <w:color w:val="000000"/>
        </w:rPr>
      </w:pPr>
    </w:p>
    <w:p w14:paraId="3268A592" w14:textId="1FEF8D47" w:rsidR="00D41EE7" w:rsidRPr="00933151" w:rsidRDefault="00D41EE7" w:rsidP="00D57158">
      <w:pPr>
        <w:spacing w:before="240" w:after="0" w:line="240" w:lineRule="auto"/>
        <w:jc w:val="both"/>
        <w:rPr>
          <w:rFonts w:ascii="Arial" w:eastAsia="Times New Roman" w:hAnsi="Arial" w:cs="Arial"/>
          <w:color w:val="000000"/>
          <w:sz w:val="24"/>
          <w:szCs w:val="24"/>
        </w:rPr>
      </w:pPr>
      <w:r w:rsidRPr="00933151">
        <w:rPr>
          <w:rFonts w:ascii="Arial" w:eastAsia="Times New Roman" w:hAnsi="Arial" w:cs="Arial"/>
          <w:color w:val="000000"/>
          <w:sz w:val="24"/>
          <w:szCs w:val="24"/>
        </w:rPr>
        <w:t xml:space="preserve">This </w:t>
      </w:r>
      <w:r w:rsidR="00D57158" w:rsidRPr="00933151">
        <w:rPr>
          <w:rFonts w:ascii="Arial" w:eastAsia="Times New Roman" w:hAnsi="Arial" w:cs="Arial"/>
          <w:color w:val="000000"/>
          <w:sz w:val="24"/>
          <w:szCs w:val="24"/>
        </w:rPr>
        <w:t>s</w:t>
      </w:r>
      <w:r w:rsidR="00A33B75" w:rsidRPr="00933151">
        <w:rPr>
          <w:rFonts w:ascii="Arial" w:eastAsia="Times New Roman" w:hAnsi="Arial" w:cs="Arial"/>
          <w:color w:val="000000"/>
          <w:sz w:val="24"/>
          <w:szCs w:val="24"/>
        </w:rPr>
        <w:t xml:space="preserve">upporting </w:t>
      </w:r>
      <w:r w:rsidR="00D57158" w:rsidRPr="00933151">
        <w:rPr>
          <w:rFonts w:ascii="Arial" w:eastAsia="Times New Roman" w:hAnsi="Arial" w:cs="Arial"/>
          <w:color w:val="000000"/>
          <w:sz w:val="24"/>
          <w:szCs w:val="24"/>
        </w:rPr>
        <w:t>i</w:t>
      </w:r>
      <w:r w:rsidR="00A33B75" w:rsidRPr="00933151">
        <w:rPr>
          <w:rFonts w:ascii="Arial" w:eastAsia="Times New Roman" w:hAnsi="Arial" w:cs="Arial"/>
          <w:color w:val="000000"/>
          <w:sz w:val="24"/>
          <w:szCs w:val="24"/>
        </w:rPr>
        <w:t xml:space="preserve">nformation </w:t>
      </w:r>
      <w:r w:rsidRPr="00933151">
        <w:rPr>
          <w:rFonts w:ascii="Arial" w:eastAsia="Times New Roman" w:hAnsi="Arial" w:cs="Arial"/>
          <w:color w:val="000000"/>
          <w:sz w:val="24"/>
          <w:szCs w:val="24"/>
        </w:rPr>
        <w:t>file contains:</w:t>
      </w:r>
    </w:p>
    <w:p w14:paraId="73A491BA" w14:textId="392A3CB3" w:rsidR="00D41EE7" w:rsidRPr="00933151" w:rsidRDefault="00D41EE7" w:rsidP="00C92A85">
      <w:pPr>
        <w:pStyle w:val="ListParagraph"/>
        <w:numPr>
          <w:ilvl w:val="0"/>
          <w:numId w:val="4"/>
        </w:numPr>
        <w:spacing w:before="240" w:after="0" w:line="240" w:lineRule="auto"/>
        <w:jc w:val="both"/>
        <w:rPr>
          <w:rFonts w:ascii="Arial" w:eastAsia="Times New Roman" w:hAnsi="Arial" w:cs="Arial"/>
          <w:color w:val="000000"/>
          <w:sz w:val="24"/>
          <w:szCs w:val="24"/>
        </w:rPr>
      </w:pPr>
      <w:r w:rsidRPr="00933151">
        <w:rPr>
          <w:rFonts w:ascii="Arial" w:eastAsia="Times New Roman" w:hAnsi="Arial" w:cs="Arial"/>
          <w:color w:val="000000"/>
          <w:sz w:val="24"/>
          <w:szCs w:val="24"/>
        </w:rPr>
        <w:t>Supplementary Figure 1-</w:t>
      </w:r>
      <w:r w:rsidR="00C92A85">
        <w:rPr>
          <w:rFonts w:ascii="Arial" w:eastAsia="Times New Roman" w:hAnsi="Arial" w:cs="Arial"/>
          <w:color w:val="000000"/>
          <w:sz w:val="24"/>
          <w:szCs w:val="24"/>
        </w:rPr>
        <w:t>7</w:t>
      </w:r>
    </w:p>
    <w:p w14:paraId="4FB5328F" w14:textId="6CDBD91F" w:rsidR="00033E65" w:rsidRPr="00933151" w:rsidRDefault="00D41EE7" w:rsidP="00033E65">
      <w:pPr>
        <w:pStyle w:val="ListParagraph"/>
        <w:numPr>
          <w:ilvl w:val="0"/>
          <w:numId w:val="4"/>
        </w:numPr>
        <w:spacing w:before="240" w:after="0" w:line="240" w:lineRule="auto"/>
        <w:jc w:val="both"/>
        <w:rPr>
          <w:rFonts w:ascii="Arial" w:eastAsia="Times New Roman" w:hAnsi="Arial" w:cs="Arial"/>
          <w:color w:val="000000"/>
          <w:sz w:val="24"/>
          <w:szCs w:val="24"/>
        </w:rPr>
      </w:pPr>
      <w:r w:rsidRPr="00933151">
        <w:rPr>
          <w:rFonts w:ascii="Arial" w:eastAsia="Times New Roman" w:hAnsi="Arial" w:cs="Arial"/>
          <w:color w:val="000000"/>
          <w:sz w:val="24"/>
          <w:szCs w:val="24"/>
        </w:rPr>
        <w:t>Supplementary Table 1-</w:t>
      </w:r>
      <w:r w:rsidR="00AF5D8F" w:rsidRPr="00933151">
        <w:rPr>
          <w:rFonts w:ascii="Arial" w:eastAsia="Times New Roman" w:hAnsi="Arial" w:cs="Arial"/>
          <w:color w:val="000000"/>
          <w:sz w:val="24"/>
          <w:szCs w:val="24"/>
        </w:rPr>
        <w:t>3</w:t>
      </w:r>
    </w:p>
    <w:p w14:paraId="79E4D2B0" w14:textId="693FCD55" w:rsidR="00033E65" w:rsidRPr="00933151" w:rsidRDefault="00033E65" w:rsidP="00033E65">
      <w:pPr>
        <w:pStyle w:val="ListParagraph"/>
        <w:numPr>
          <w:ilvl w:val="0"/>
          <w:numId w:val="4"/>
        </w:numPr>
        <w:spacing w:before="240" w:after="0" w:line="240" w:lineRule="auto"/>
        <w:jc w:val="both"/>
        <w:rPr>
          <w:rFonts w:ascii="Arial" w:eastAsia="Times New Roman" w:hAnsi="Arial" w:cs="Arial"/>
          <w:color w:val="000000"/>
          <w:sz w:val="24"/>
          <w:szCs w:val="24"/>
        </w:rPr>
      </w:pPr>
      <w:r w:rsidRPr="00933151">
        <w:rPr>
          <w:rFonts w:ascii="Arial" w:eastAsia="Times New Roman" w:hAnsi="Arial" w:cs="Arial"/>
          <w:color w:val="000000"/>
          <w:sz w:val="24"/>
          <w:szCs w:val="24"/>
        </w:rPr>
        <w:t>Supplementary Methods</w:t>
      </w:r>
    </w:p>
    <w:p w14:paraId="4279C64F" w14:textId="5B194870" w:rsidR="001D50CD" w:rsidRPr="002447EA" w:rsidRDefault="00B4348B" w:rsidP="002447EA">
      <w:pPr>
        <w:pStyle w:val="ListParagraph"/>
        <w:numPr>
          <w:ilvl w:val="0"/>
          <w:numId w:val="4"/>
        </w:numPr>
        <w:spacing w:before="240" w:after="0" w:line="240" w:lineRule="auto"/>
        <w:jc w:val="both"/>
        <w:rPr>
          <w:rFonts w:ascii="Arial" w:eastAsia="Times New Roman" w:hAnsi="Arial" w:cs="Arial"/>
          <w:color w:val="000000"/>
          <w:sz w:val="24"/>
          <w:szCs w:val="24"/>
        </w:rPr>
      </w:pPr>
      <w:r w:rsidRPr="00933151">
        <w:rPr>
          <w:rFonts w:ascii="Arial" w:eastAsia="Times New Roman" w:hAnsi="Arial" w:cs="Arial"/>
          <w:color w:val="000000"/>
          <w:sz w:val="24"/>
          <w:szCs w:val="24"/>
        </w:rPr>
        <w:t>Reference</w:t>
      </w:r>
    </w:p>
    <w:p w14:paraId="17261183" w14:textId="77777777" w:rsidR="00A27830" w:rsidRDefault="00A27830" w:rsidP="005C790E">
      <w:pPr>
        <w:spacing w:before="240" w:after="240" w:line="240" w:lineRule="auto"/>
        <w:jc w:val="both"/>
        <w:rPr>
          <w:rFonts w:ascii="Arial" w:eastAsia="Times New Roman" w:hAnsi="Arial" w:cs="Arial"/>
          <w:b/>
          <w:bCs/>
          <w:color w:val="000000"/>
          <w:sz w:val="28"/>
          <w:szCs w:val="28"/>
          <w:lang w:eastAsia="nl-NL"/>
        </w:rPr>
      </w:pPr>
    </w:p>
    <w:p w14:paraId="5D7DBD11" w14:textId="0E9FC8D3" w:rsidR="00934CE6" w:rsidRPr="00B4348B" w:rsidRDefault="00D41EE7" w:rsidP="005C790E">
      <w:pPr>
        <w:spacing w:before="240" w:after="240" w:line="240" w:lineRule="auto"/>
        <w:jc w:val="both"/>
        <w:rPr>
          <w:rFonts w:ascii="Arial" w:eastAsia="Times New Roman" w:hAnsi="Arial" w:cs="Arial"/>
          <w:b/>
          <w:bCs/>
          <w:color w:val="000000"/>
          <w:sz w:val="28"/>
          <w:szCs w:val="28"/>
          <w:lang w:eastAsia="nl-NL"/>
        </w:rPr>
      </w:pPr>
      <w:r w:rsidRPr="00B4348B">
        <w:rPr>
          <w:rFonts w:ascii="Arial" w:eastAsia="Times New Roman" w:hAnsi="Arial" w:cs="Arial"/>
          <w:b/>
          <w:bCs/>
          <w:color w:val="000000"/>
          <w:sz w:val="28"/>
          <w:szCs w:val="28"/>
          <w:lang w:eastAsia="nl-NL"/>
        </w:rPr>
        <w:lastRenderedPageBreak/>
        <w:t>Supplementary Figures:</w:t>
      </w:r>
    </w:p>
    <w:p w14:paraId="3BCB2ABD" w14:textId="77777777" w:rsidR="00601D0F" w:rsidRDefault="00601D0F" w:rsidP="005C790E">
      <w:pPr>
        <w:spacing w:before="240" w:after="240" w:line="240" w:lineRule="auto"/>
        <w:jc w:val="both"/>
        <w:rPr>
          <w:rFonts w:asciiTheme="majorBidi" w:eastAsia="Times New Roman" w:hAnsiTheme="majorBidi" w:cstheme="majorBidi"/>
          <w:b/>
          <w:bCs/>
          <w:color w:val="000000"/>
          <w:sz w:val="28"/>
          <w:szCs w:val="28"/>
          <w:lang w:eastAsia="nl-NL"/>
        </w:rPr>
      </w:pPr>
    </w:p>
    <w:p w14:paraId="7C336E45" w14:textId="77777777" w:rsidR="00601D0F" w:rsidRPr="00934CE6" w:rsidRDefault="00601D0F" w:rsidP="00601D0F">
      <w:pPr>
        <w:spacing w:before="240" w:after="240" w:line="240" w:lineRule="auto"/>
        <w:jc w:val="both"/>
        <w:rPr>
          <w:rFonts w:asciiTheme="majorBidi" w:eastAsia="Times New Roman" w:hAnsiTheme="majorBidi" w:cstheme="majorBidi"/>
          <w:b/>
          <w:bCs/>
          <w:color w:val="000000"/>
          <w:lang w:eastAsia="nl-NL"/>
        </w:rPr>
      </w:pPr>
    </w:p>
    <w:p w14:paraId="5C1A568F" w14:textId="77777777" w:rsidR="00601D0F" w:rsidRPr="00934CE6" w:rsidRDefault="00601D0F" w:rsidP="00601D0F">
      <w:pPr>
        <w:spacing w:before="240" w:after="240" w:line="240" w:lineRule="auto"/>
        <w:jc w:val="both"/>
        <w:rPr>
          <w:rFonts w:asciiTheme="majorBidi" w:eastAsia="Times New Roman" w:hAnsiTheme="majorBidi" w:cstheme="majorBidi"/>
          <w:lang w:eastAsia="nl-NL"/>
        </w:rPr>
      </w:pPr>
      <w:r w:rsidRPr="00790E23">
        <w:rPr>
          <w:rFonts w:asciiTheme="majorBidi" w:eastAsia="Times New Roman" w:hAnsiTheme="majorBidi" w:cstheme="majorBidi"/>
          <w:noProof/>
          <w:lang w:val="en-US"/>
        </w:rPr>
        <w:drawing>
          <wp:inline distT="0" distB="0" distL="0" distR="0" wp14:anchorId="11CF9DFE" wp14:editId="64ECC52E">
            <wp:extent cx="5943600" cy="5458663"/>
            <wp:effectExtent l="0" t="0" r="0" b="8890"/>
            <wp:docPr id="9" name="Picture 9" descr="C:\Users\alisa\Desktop\Elham\Namjoo\1401.9.20_Namjoo\manuscript new\Figures\supplementary figures\Supplementary Fig 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isa\Desktop\Elham\Namjoo\1401.9.20_Namjoo\manuscript new\Figures\supplementary figures\Supplementary Fig S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458663"/>
                    </a:xfrm>
                    <a:prstGeom prst="rect">
                      <a:avLst/>
                    </a:prstGeom>
                    <a:noFill/>
                    <a:ln>
                      <a:noFill/>
                    </a:ln>
                  </pic:spPr>
                </pic:pic>
              </a:graphicData>
            </a:graphic>
          </wp:inline>
        </w:drawing>
      </w:r>
    </w:p>
    <w:p w14:paraId="797791C6" w14:textId="77777777" w:rsidR="00601D0F" w:rsidRPr="00B82D59" w:rsidRDefault="00601D0F" w:rsidP="00601D0F">
      <w:pPr>
        <w:spacing w:before="240" w:after="240" w:line="240" w:lineRule="auto"/>
        <w:jc w:val="both"/>
        <w:rPr>
          <w:rFonts w:ascii="Arial" w:eastAsia="Times New Roman" w:hAnsi="Arial" w:cs="Arial"/>
          <w:sz w:val="24"/>
          <w:szCs w:val="24"/>
          <w:lang w:eastAsia="nl-NL"/>
        </w:rPr>
      </w:pPr>
      <w:r w:rsidRPr="00B82D59">
        <w:rPr>
          <w:rFonts w:ascii="Arial" w:eastAsia="Times New Roman" w:hAnsi="Arial" w:cs="Arial"/>
          <w:b/>
          <w:bCs/>
          <w:sz w:val="24"/>
          <w:szCs w:val="24"/>
          <w:lang w:eastAsia="nl-NL"/>
        </w:rPr>
        <w:t>Figure S1</w:t>
      </w:r>
      <w:r w:rsidRPr="00B82D59">
        <w:rPr>
          <w:rFonts w:ascii="Arial" w:eastAsia="Times New Roman" w:hAnsi="Arial" w:cs="Arial"/>
          <w:sz w:val="24"/>
          <w:szCs w:val="24"/>
          <w:lang w:eastAsia="nl-NL"/>
        </w:rPr>
        <w:t xml:space="preserve">. </w:t>
      </w:r>
      <w:r w:rsidRPr="00F4404F">
        <w:rPr>
          <w:rFonts w:ascii="Arial" w:eastAsia="Times New Roman" w:hAnsi="Arial" w:cs="Arial"/>
          <w:b/>
          <w:bCs/>
          <w:sz w:val="24"/>
          <w:szCs w:val="24"/>
          <w:lang w:eastAsia="nl-NL"/>
        </w:rPr>
        <w:t>The Synthetic pathway for the synthesis of cyclic peptide sequence.</w:t>
      </w:r>
      <w:r w:rsidRPr="00B82D59">
        <w:rPr>
          <w:rFonts w:ascii="Arial" w:eastAsia="Times New Roman" w:hAnsi="Arial" w:cs="Arial"/>
          <w:sz w:val="24"/>
          <w:szCs w:val="24"/>
          <w:lang w:eastAsia="nl-NL"/>
        </w:rPr>
        <w:t xml:space="preserve"> The general method for the synthesis of cyclic peptide based peptide using SPPS.</w:t>
      </w:r>
    </w:p>
    <w:p w14:paraId="7B20535C" w14:textId="77777777" w:rsidR="00601D0F" w:rsidRPr="005C790E" w:rsidRDefault="00601D0F" w:rsidP="005C790E">
      <w:pPr>
        <w:spacing w:before="240" w:after="240" w:line="240" w:lineRule="auto"/>
        <w:jc w:val="both"/>
        <w:rPr>
          <w:rFonts w:asciiTheme="majorBidi" w:eastAsia="Times New Roman" w:hAnsiTheme="majorBidi" w:cstheme="majorBidi"/>
          <w:b/>
          <w:bCs/>
          <w:color w:val="000000"/>
          <w:sz w:val="28"/>
          <w:szCs w:val="28"/>
          <w:lang w:eastAsia="nl-NL"/>
        </w:rPr>
      </w:pPr>
    </w:p>
    <w:p w14:paraId="222AE922" w14:textId="77777777" w:rsidR="00934CE6" w:rsidRPr="00934CE6" w:rsidRDefault="00934CE6" w:rsidP="00D41EE7">
      <w:pPr>
        <w:spacing w:before="240" w:after="240" w:line="240" w:lineRule="auto"/>
        <w:jc w:val="both"/>
        <w:rPr>
          <w:rFonts w:asciiTheme="majorBidi" w:eastAsia="Times New Roman" w:hAnsiTheme="majorBidi" w:cstheme="majorBidi"/>
          <w:b/>
          <w:bCs/>
          <w:color w:val="000000"/>
          <w:lang w:eastAsia="nl-NL"/>
        </w:rPr>
      </w:pPr>
    </w:p>
    <w:p w14:paraId="7343CDB9" w14:textId="019D36BB" w:rsidR="00D41EE7" w:rsidRPr="00934CE6" w:rsidRDefault="00D41EE7" w:rsidP="00D41EE7">
      <w:pPr>
        <w:spacing w:after="240" w:line="240" w:lineRule="auto"/>
        <w:rPr>
          <w:rFonts w:asciiTheme="majorBidi" w:eastAsia="Times New Roman" w:hAnsiTheme="majorBidi" w:cstheme="majorBidi"/>
          <w:lang w:val="en-US" w:eastAsia="nl-NL"/>
        </w:rPr>
      </w:pPr>
    </w:p>
    <w:p w14:paraId="0B38253A" w14:textId="77777777" w:rsidR="00D41EE7" w:rsidRPr="00934CE6" w:rsidRDefault="004F1EF2" w:rsidP="00C255D0">
      <w:pPr>
        <w:spacing w:before="240" w:after="240" w:line="240" w:lineRule="auto"/>
        <w:jc w:val="center"/>
        <w:rPr>
          <w:rFonts w:asciiTheme="majorBidi" w:eastAsia="Times New Roman" w:hAnsiTheme="majorBidi" w:cstheme="majorBidi"/>
          <w:lang w:eastAsia="nl-NL"/>
        </w:rPr>
      </w:pPr>
      <w:r w:rsidRPr="004F1EF2">
        <w:rPr>
          <w:rFonts w:asciiTheme="majorBidi" w:eastAsia="Times New Roman" w:hAnsiTheme="majorBidi" w:cstheme="majorBidi"/>
          <w:noProof/>
          <w:lang w:val="en-US"/>
        </w:rPr>
        <w:lastRenderedPageBreak/>
        <w:drawing>
          <wp:inline distT="0" distB="0" distL="0" distR="0" wp14:anchorId="6A55607B" wp14:editId="686348AA">
            <wp:extent cx="5908675" cy="2538730"/>
            <wp:effectExtent l="0" t="0" r="0" b="0"/>
            <wp:docPr id="13" name="Picture 13" descr="C:\Users\alisa\Desktop\Elham\Namjoo\1401.9.20_Namjoo\manuscript new\Figures\supplementary figures\Supplementary Fig 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isa\Desktop\Elham\Namjoo\1401.9.20_Namjoo\manuscript new\Figures\supplementary figures\Supplementary Fig S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8675" cy="2538730"/>
                    </a:xfrm>
                    <a:prstGeom prst="rect">
                      <a:avLst/>
                    </a:prstGeom>
                    <a:noFill/>
                    <a:ln>
                      <a:noFill/>
                    </a:ln>
                  </pic:spPr>
                </pic:pic>
              </a:graphicData>
            </a:graphic>
          </wp:inline>
        </w:drawing>
      </w:r>
    </w:p>
    <w:p w14:paraId="03F8CEA8" w14:textId="77777777" w:rsidR="00C255D0" w:rsidRPr="00B82D59" w:rsidRDefault="00D41EE7" w:rsidP="00601D0F">
      <w:pPr>
        <w:spacing w:before="240" w:after="240" w:line="240" w:lineRule="auto"/>
        <w:rPr>
          <w:rFonts w:ascii="Arial" w:eastAsia="Times New Roman" w:hAnsi="Arial" w:cs="Arial"/>
          <w:color w:val="000000"/>
          <w:sz w:val="24"/>
          <w:szCs w:val="24"/>
          <w:lang w:val="en-US" w:eastAsia="nl-NL"/>
        </w:rPr>
      </w:pPr>
      <w:r w:rsidRPr="00B82D59">
        <w:rPr>
          <w:rFonts w:ascii="Arial" w:eastAsia="Times New Roman" w:hAnsi="Arial" w:cs="Arial"/>
          <w:b/>
          <w:bCs/>
          <w:color w:val="000000"/>
          <w:sz w:val="24"/>
          <w:szCs w:val="24"/>
          <w:lang w:val="en-US" w:eastAsia="nl-NL"/>
        </w:rPr>
        <w:t>Figure S</w:t>
      </w:r>
      <w:r w:rsidR="00601D0F" w:rsidRPr="00B82D59">
        <w:rPr>
          <w:rFonts w:ascii="Arial" w:eastAsia="Times New Roman" w:hAnsi="Arial" w:cs="Arial"/>
          <w:b/>
          <w:bCs/>
          <w:color w:val="000000"/>
          <w:sz w:val="24"/>
          <w:szCs w:val="24"/>
          <w:lang w:val="en-US" w:eastAsia="nl-NL"/>
        </w:rPr>
        <w:t>2</w:t>
      </w:r>
      <w:r w:rsidRPr="00B82D59">
        <w:rPr>
          <w:rFonts w:ascii="Arial" w:eastAsia="Times New Roman" w:hAnsi="Arial" w:cs="Arial"/>
          <w:b/>
          <w:bCs/>
          <w:color w:val="000000"/>
          <w:sz w:val="24"/>
          <w:szCs w:val="24"/>
          <w:lang w:val="en-US" w:eastAsia="nl-NL"/>
        </w:rPr>
        <w:t>.</w:t>
      </w:r>
      <w:r w:rsidRPr="00B82D59">
        <w:rPr>
          <w:rFonts w:ascii="Arial" w:eastAsia="Times New Roman" w:hAnsi="Arial" w:cs="Arial"/>
          <w:color w:val="000000"/>
          <w:sz w:val="24"/>
          <w:szCs w:val="24"/>
          <w:lang w:val="en-US" w:eastAsia="nl-NL"/>
        </w:rPr>
        <w:t xml:space="preserve"> </w:t>
      </w:r>
      <w:r w:rsidRPr="00F4404F">
        <w:rPr>
          <w:rFonts w:ascii="Arial" w:eastAsia="Times New Roman" w:hAnsi="Arial" w:cs="Arial"/>
          <w:b/>
          <w:bCs/>
          <w:color w:val="000000"/>
          <w:sz w:val="24"/>
          <w:szCs w:val="24"/>
          <w:lang w:val="en-US" w:eastAsia="nl-NL"/>
        </w:rPr>
        <w:t>HPLC chromatogram of linear peptide</w:t>
      </w:r>
      <w:r w:rsidRPr="00B82D59">
        <w:rPr>
          <w:rFonts w:ascii="Arial" w:eastAsia="Times New Roman" w:hAnsi="Arial" w:cs="Arial"/>
          <w:color w:val="000000"/>
          <w:sz w:val="24"/>
          <w:szCs w:val="24"/>
          <w:lang w:val="en-US" w:eastAsia="nl-NL"/>
        </w:rPr>
        <w:t xml:space="preserve"> </w:t>
      </w:r>
    </w:p>
    <w:p w14:paraId="7B1CB96D" w14:textId="77777777" w:rsidR="008A3736" w:rsidRPr="00934CE6" w:rsidRDefault="008A3736" w:rsidP="00206702">
      <w:pPr>
        <w:spacing w:before="240" w:after="240" w:line="240" w:lineRule="auto"/>
        <w:rPr>
          <w:rFonts w:asciiTheme="majorBidi" w:eastAsia="Times New Roman" w:hAnsiTheme="majorBidi" w:cstheme="majorBidi"/>
          <w:noProof/>
          <w:color w:val="000000"/>
          <w:bdr w:val="none" w:sz="0" w:space="0" w:color="auto" w:frame="1"/>
          <w:lang w:val="en-US"/>
        </w:rPr>
      </w:pPr>
    </w:p>
    <w:p w14:paraId="180285DC" w14:textId="77777777" w:rsidR="008A3736" w:rsidRPr="00206702" w:rsidRDefault="00206702" w:rsidP="00206702">
      <w:pPr>
        <w:spacing w:before="240" w:after="240" w:line="240" w:lineRule="auto"/>
        <w:rPr>
          <w:rFonts w:asciiTheme="majorBidi" w:eastAsia="Times New Roman" w:hAnsiTheme="majorBidi" w:cstheme="majorBidi"/>
          <w:noProof/>
          <w:color w:val="000000"/>
          <w:bdr w:val="none" w:sz="0" w:space="0" w:color="auto" w:frame="1"/>
          <w:lang w:val="en-US"/>
        </w:rPr>
      </w:pPr>
      <w:r w:rsidRPr="00206702">
        <w:rPr>
          <w:rFonts w:asciiTheme="majorBidi" w:eastAsia="Times New Roman" w:hAnsiTheme="majorBidi" w:cstheme="majorBidi"/>
          <w:noProof/>
          <w:color w:val="000000"/>
          <w:bdr w:val="none" w:sz="0" w:space="0" w:color="auto" w:frame="1"/>
          <w:lang w:val="en-US"/>
        </w:rPr>
        <w:drawing>
          <wp:inline distT="0" distB="0" distL="0" distR="0" wp14:anchorId="43E796DF" wp14:editId="2693BF2E">
            <wp:extent cx="5943600" cy="2703656"/>
            <wp:effectExtent l="0" t="0" r="0" b="1905"/>
            <wp:docPr id="14" name="Picture 14" descr="C:\Users\alisa\Desktop\Elham\Namjoo\1401.9.20_Namjoo\manuscript new\Figures\supplementary figures\Supplementary Fig 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lisa\Desktop\Elham\Namjoo\1401.9.20_Namjoo\manuscript new\Figures\supplementary figures\Supplementary Fig S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703656"/>
                    </a:xfrm>
                    <a:prstGeom prst="rect">
                      <a:avLst/>
                    </a:prstGeom>
                    <a:noFill/>
                    <a:ln>
                      <a:noFill/>
                    </a:ln>
                  </pic:spPr>
                </pic:pic>
              </a:graphicData>
            </a:graphic>
          </wp:inline>
        </w:drawing>
      </w:r>
    </w:p>
    <w:p w14:paraId="33D5F4C2" w14:textId="77777777" w:rsidR="008A3736" w:rsidRPr="00B82D59" w:rsidRDefault="008A3736" w:rsidP="00601D0F">
      <w:pPr>
        <w:spacing w:before="240" w:after="240" w:line="240" w:lineRule="auto"/>
        <w:rPr>
          <w:rFonts w:ascii="Arial" w:eastAsia="Times New Roman" w:hAnsi="Arial" w:cs="Arial"/>
          <w:color w:val="000000"/>
          <w:sz w:val="24"/>
          <w:szCs w:val="24"/>
          <w:lang w:val="en-US" w:eastAsia="nl-NL"/>
        </w:rPr>
      </w:pPr>
      <w:r w:rsidRPr="00B82D59">
        <w:rPr>
          <w:rFonts w:ascii="Arial" w:eastAsia="Times New Roman" w:hAnsi="Arial" w:cs="Arial"/>
          <w:b/>
          <w:bCs/>
          <w:color w:val="000000"/>
          <w:sz w:val="24"/>
          <w:szCs w:val="24"/>
          <w:lang w:val="en-US" w:eastAsia="nl-NL"/>
        </w:rPr>
        <w:t>Figure S</w:t>
      </w:r>
      <w:r w:rsidR="00601D0F" w:rsidRPr="00B82D59">
        <w:rPr>
          <w:rFonts w:ascii="Arial" w:eastAsia="Times New Roman" w:hAnsi="Arial" w:cs="Arial"/>
          <w:b/>
          <w:bCs/>
          <w:color w:val="000000"/>
          <w:sz w:val="24"/>
          <w:szCs w:val="24"/>
          <w:lang w:val="en-US" w:eastAsia="nl-NL"/>
        </w:rPr>
        <w:t>3</w:t>
      </w:r>
      <w:r w:rsidRPr="00B82D59">
        <w:rPr>
          <w:rFonts w:ascii="Arial" w:eastAsia="Times New Roman" w:hAnsi="Arial" w:cs="Arial"/>
          <w:b/>
          <w:bCs/>
          <w:color w:val="000000"/>
          <w:sz w:val="24"/>
          <w:szCs w:val="24"/>
          <w:lang w:val="en-US" w:eastAsia="nl-NL"/>
        </w:rPr>
        <w:t>.</w:t>
      </w:r>
      <w:r w:rsidRPr="00B82D59">
        <w:rPr>
          <w:rFonts w:ascii="Arial" w:eastAsia="Times New Roman" w:hAnsi="Arial" w:cs="Arial"/>
          <w:color w:val="000000"/>
          <w:sz w:val="24"/>
          <w:szCs w:val="24"/>
          <w:lang w:val="en-US" w:eastAsia="nl-NL"/>
        </w:rPr>
        <w:t xml:space="preserve"> </w:t>
      </w:r>
      <w:r w:rsidRPr="00F4404F">
        <w:rPr>
          <w:rFonts w:ascii="Arial" w:eastAsia="Times New Roman" w:hAnsi="Arial" w:cs="Arial"/>
          <w:b/>
          <w:bCs/>
          <w:color w:val="000000"/>
          <w:sz w:val="24"/>
          <w:szCs w:val="24"/>
          <w:lang w:val="en-US" w:eastAsia="nl-NL"/>
        </w:rPr>
        <w:t>HPLC chromatogram of cyclic peptide</w:t>
      </w:r>
      <w:r w:rsidRPr="00B82D59">
        <w:rPr>
          <w:rFonts w:ascii="Arial" w:eastAsia="Times New Roman" w:hAnsi="Arial" w:cs="Arial"/>
          <w:color w:val="000000"/>
          <w:sz w:val="24"/>
          <w:szCs w:val="24"/>
          <w:lang w:val="en-US" w:eastAsia="nl-NL"/>
        </w:rPr>
        <w:t xml:space="preserve"> </w:t>
      </w:r>
    </w:p>
    <w:p w14:paraId="321B73EB" w14:textId="77777777" w:rsidR="008A3736" w:rsidRDefault="008A3736" w:rsidP="005B5A2E">
      <w:pPr>
        <w:spacing w:before="240" w:after="240" w:line="240" w:lineRule="auto"/>
        <w:rPr>
          <w:rFonts w:asciiTheme="majorBidi" w:eastAsia="Times New Roman" w:hAnsiTheme="majorBidi" w:cstheme="majorBidi"/>
          <w:color w:val="000000"/>
          <w:lang w:val="en-US" w:eastAsia="nl-NL"/>
        </w:rPr>
      </w:pPr>
    </w:p>
    <w:p w14:paraId="623AD61C" w14:textId="77777777" w:rsidR="008A3736" w:rsidRDefault="008A3736" w:rsidP="005B5A2E">
      <w:pPr>
        <w:spacing w:before="240" w:after="240" w:line="240" w:lineRule="auto"/>
        <w:rPr>
          <w:rFonts w:asciiTheme="majorBidi" w:eastAsia="Times New Roman" w:hAnsiTheme="majorBidi" w:cstheme="majorBidi"/>
          <w:color w:val="000000"/>
          <w:lang w:val="en-US" w:eastAsia="nl-NL"/>
        </w:rPr>
      </w:pPr>
    </w:p>
    <w:p w14:paraId="0634E4EA" w14:textId="77777777" w:rsidR="008A3736" w:rsidRDefault="008A3736" w:rsidP="005B5A2E">
      <w:pPr>
        <w:spacing w:before="240" w:after="240" w:line="240" w:lineRule="auto"/>
        <w:rPr>
          <w:rFonts w:asciiTheme="majorBidi" w:eastAsia="Times New Roman" w:hAnsiTheme="majorBidi" w:cstheme="majorBidi"/>
          <w:color w:val="000000"/>
          <w:lang w:val="en-US" w:eastAsia="nl-NL"/>
        </w:rPr>
      </w:pPr>
    </w:p>
    <w:p w14:paraId="363E9856" w14:textId="77777777" w:rsidR="008A3736" w:rsidRDefault="008A3736" w:rsidP="005B5A2E">
      <w:pPr>
        <w:spacing w:before="240" w:after="240" w:line="240" w:lineRule="auto"/>
        <w:rPr>
          <w:rFonts w:asciiTheme="majorBidi" w:eastAsia="Times New Roman" w:hAnsiTheme="majorBidi" w:cstheme="majorBidi"/>
          <w:color w:val="000000"/>
          <w:lang w:val="en-US" w:eastAsia="nl-NL"/>
        </w:rPr>
      </w:pPr>
    </w:p>
    <w:p w14:paraId="1A66DEFB" w14:textId="77777777" w:rsidR="008A3736" w:rsidRDefault="008A3736" w:rsidP="005B5A2E">
      <w:pPr>
        <w:spacing w:before="240" w:after="240" w:line="240" w:lineRule="auto"/>
        <w:rPr>
          <w:rFonts w:asciiTheme="majorBidi" w:eastAsia="Times New Roman" w:hAnsiTheme="majorBidi" w:cstheme="majorBidi"/>
          <w:color w:val="000000"/>
          <w:lang w:val="en-US" w:eastAsia="nl-NL"/>
        </w:rPr>
      </w:pPr>
    </w:p>
    <w:p w14:paraId="7784FE73" w14:textId="77777777" w:rsidR="00443E4B" w:rsidRDefault="00443E4B" w:rsidP="00443E4B">
      <w:pPr>
        <w:spacing w:before="240" w:after="240" w:line="240" w:lineRule="auto"/>
        <w:rPr>
          <w:rFonts w:ascii="Arial" w:eastAsia="Times New Roman" w:hAnsi="Arial" w:cs="Arial"/>
          <w:sz w:val="24"/>
          <w:szCs w:val="24"/>
          <w:lang w:eastAsia="nl-NL"/>
        </w:rPr>
      </w:pPr>
    </w:p>
    <w:p w14:paraId="4422759E" w14:textId="77777777" w:rsidR="00C255D0" w:rsidRPr="00443E4B" w:rsidRDefault="00206702" w:rsidP="00443E4B">
      <w:pPr>
        <w:spacing w:before="240" w:after="240" w:line="240" w:lineRule="auto"/>
        <w:rPr>
          <w:rFonts w:ascii="Arial" w:eastAsia="Times New Roman" w:hAnsi="Arial" w:cs="Arial"/>
          <w:sz w:val="24"/>
          <w:szCs w:val="24"/>
          <w:lang w:eastAsia="nl-NL"/>
        </w:rPr>
      </w:pPr>
      <w:r w:rsidRPr="00206702">
        <w:rPr>
          <w:rFonts w:ascii="Arial" w:eastAsia="Times New Roman" w:hAnsi="Arial" w:cs="Arial"/>
          <w:noProof/>
          <w:sz w:val="24"/>
          <w:szCs w:val="24"/>
          <w:lang w:val="en-US"/>
        </w:rPr>
        <w:drawing>
          <wp:inline distT="0" distB="0" distL="0" distR="0" wp14:anchorId="0D1A1D35" wp14:editId="3DDF3765">
            <wp:extent cx="5943600" cy="2279172"/>
            <wp:effectExtent l="0" t="0" r="0" b="6985"/>
            <wp:docPr id="15" name="Picture 15" descr="C:\Users\alisa\Desktop\Elham\Namjoo\1401.9.20_Namjoo\manuscript new\Figures\supplementary figures\Supplementary Fig 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lisa\Desktop\Elham\Namjoo\1401.9.20_Namjoo\manuscript new\Figures\supplementary figures\Supplementary Fig S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279172"/>
                    </a:xfrm>
                    <a:prstGeom prst="rect">
                      <a:avLst/>
                    </a:prstGeom>
                    <a:noFill/>
                    <a:ln>
                      <a:noFill/>
                    </a:ln>
                  </pic:spPr>
                </pic:pic>
              </a:graphicData>
            </a:graphic>
          </wp:inline>
        </w:drawing>
      </w:r>
    </w:p>
    <w:p w14:paraId="79070157" w14:textId="77777777" w:rsidR="008A3736" w:rsidRPr="00B82D59" w:rsidRDefault="00C255D0" w:rsidP="00601D0F">
      <w:pPr>
        <w:spacing w:before="240" w:after="240" w:line="240" w:lineRule="auto"/>
        <w:rPr>
          <w:rFonts w:ascii="Arial" w:eastAsia="Times New Roman" w:hAnsi="Arial" w:cs="Arial"/>
          <w:color w:val="000000"/>
          <w:sz w:val="24"/>
          <w:szCs w:val="24"/>
          <w:lang w:val="en-US" w:eastAsia="nl-NL"/>
        </w:rPr>
      </w:pPr>
      <w:r w:rsidRPr="00B82D59">
        <w:rPr>
          <w:rFonts w:ascii="Arial" w:eastAsia="Times New Roman" w:hAnsi="Arial" w:cs="Arial"/>
          <w:b/>
          <w:bCs/>
          <w:color w:val="000000"/>
          <w:sz w:val="24"/>
          <w:szCs w:val="24"/>
          <w:lang w:val="en-US" w:eastAsia="nl-NL"/>
        </w:rPr>
        <w:t>Figure S</w:t>
      </w:r>
      <w:r w:rsidR="00601D0F" w:rsidRPr="00B82D59">
        <w:rPr>
          <w:rFonts w:ascii="Arial" w:eastAsia="Times New Roman" w:hAnsi="Arial" w:cs="Arial"/>
          <w:b/>
          <w:bCs/>
          <w:color w:val="000000"/>
          <w:sz w:val="24"/>
          <w:szCs w:val="24"/>
          <w:lang w:val="en-US" w:eastAsia="nl-NL"/>
        </w:rPr>
        <w:t>4</w:t>
      </w:r>
      <w:r w:rsidR="00753AA6" w:rsidRPr="00B82D59">
        <w:rPr>
          <w:rFonts w:ascii="Arial" w:eastAsia="Times New Roman" w:hAnsi="Arial" w:cs="Arial"/>
          <w:b/>
          <w:bCs/>
          <w:color w:val="000000"/>
          <w:sz w:val="24"/>
          <w:szCs w:val="24"/>
          <w:lang w:val="en-US" w:eastAsia="nl-NL"/>
        </w:rPr>
        <w:t>.</w:t>
      </w:r>
      <w:r w:rsidRPr="00B82D59">
        <w:rPr>
          <w:rFonts w:ascii="Arial" w:eastAsia="Times New Roman" w:hAnsi="Arial" w:cs="Arial"/>
          <w:color w:val="000000"/>
          <w:sz w:val="24"/>
          <w:szCs w:val="24"/>
          <w:lang w:val="en-US" w:eastAsia="nl-NL"/>
        </w:rPr>
        <w:t xml:space="preserve"> </w:t>
      </w:r>
      <w:r w:rsidRPr="00F4404F">
        <w:rPr>
          <w:rFonts w:ascii="Arial" w:eastAsia="Times New Roman" w:hAnsi="Arial" w:cs="Arial"/>
          <w:b/>
          <w:bCs/>
          <w:color w:val="000000"/>
          <w:sz w:val="24"/>
          <w:szCs w:val="24"/>
          <w:lang w:val="en-US" w:eastAsia="nl-NL"/>
        </w:rPr>
        <w:t xml:space="preserve">LC-MS of linear </w:t>
      </w:r>
      <w:r w:rsidR="005B5A2E" w:rsidRPr="00F4404F">
        <w:rPr>
          <w:rFonts w:ascii="Arial" w:eastAsia="Times New Roman" w:hAnsi="Arial" w:cs="Arial"/>
          <w:b/>
          <w:bCs/>
          <w:color w:val="000000"/>
          <w:sz w:val="24"/>
          <w:szCs w:val="24"/>
          <w:lang w:val="en-US" w:eastAsia="nl-NL"/>
        </w:rPr>
        <w:t>peptide</w:t>
      </w:r>
    </w:p>
    <w:p w14:paraId="1CCB69BC" w14:textId="77777777" w:rsidR="004A6092" w:rsidRPr="00934CE6" w:rsidRDefault="004A6092" w:rsidP="00CA19C6">
      <w:pPr>
        <w:spacing w:before="240" w:after="240" w:line="240" w:lineRule="auto"/>
        <w:rPr>
          <w:rFonts w:asciiTheme="majorBidi" w:eastAsia="Times New Roman" w:hAnsiTheme="majorBidi" w:cstheme="majorBidi"/>
          <w:color w:val="000000"/>
          <w:lang w:val="en-US" w:eastAsia="nl-NL"/>
        </w:rPr>
      </w:pPr>
    </w:p>
    <w:p w14:paraId="42A3FFFA" w14:textId="77777777" w:rsidR="004A6092" w:rsidRPr="00934CE6" w:rsidRDefault="004A6092" w:rsidP="00CA19C6">
      <w:pPr>
        <w:spacing w:before="240" w:after="240" w:line="240" w:lineRule="auto"/>
        <w:rPr>
          <w:rFonts w:asciiTheme="majorBidi" w:eastAsia="Times New Roman" w:hAnsiTheme="majorBidi" w:cstheme="majorBidi"/>
          <w:color w:val="000000"/>
          <w:lang w:val="en-US" w:eastAsia="nl-NL"/>
        </w:rPr>
      </w:pPr>
    </w:p>
    <w:p w14:paraId="289FF9E1" w14:textId="77777777" w:rsidR="004A6092" w:rsidRPr="00934CE6" w:rsidRDefault="00206702" w:rsidP="00206702">
      <w:pPr>
        <w:spacing w:before="240" w:after="240" w:line="240" w:lineRule="auto"/>
        <w:rPr>
          <w:rFonts w:asciiTheme="majorBidi" w:eastAsia="Times New Roman" w:hAnsiTheme="majorBidi" w:cstheme="majorBidi"/>
          <w:color w:val="000000"/>
          <w:lang w:val="en-US" w:eastAsia="nl-NL"/>
        </w:rPr>
      </w:pPr>
      <w:r w:rsidRPr="00206702">
        <w:rPr>
          <w:rFonts w:asciiTheme="majorBidi" w:eastAsia="Times New Roman" w:hAnsiTheme="majorBidi" w:cstheme="majorBidi"/>
          <w:noProof/>
          <w:color w:val="000000"/>
          <w:lang w:val="en-US"/>
        </w:rPr>
        <w:drawing>
          <wp:inline distT="0" distB="0" distL="0" distR="0" wp14:anchorId="375CFFEC" wp14:editId="05D2DF99">
            <wp:extent cx="5943600" cy="2291077"/>
            <wp:effectExtent l="0" t="0" r="0" b="0"/>
            <wp:docPr id="16" name="Picture 16" descr="C:\Users\alisa\Desktop\Elham\Namjoo\1401.9.20_Namjoo\manuscript new\Figures\supplementary figures\Supplementary Fig 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lisa\Desktop\Elham\Namjoo\1401.9.20_Namjoo\manuscript new\Figures\supplementary figures\Supplementary Fig S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291077"/>
                    </a:xfrm>
                    <a:prstGeom prst="rect">
                      <a:avLst/>
                    </a:prstGeom>
                    <a:noFill/>
                    <a:ln>
                      <a:noFill/>
                    </a:ln>
                  </pic:spPr>
                </pic:pic>
              </a:graphicData>
            </a:graphic>
          </wp:inline>
        </w:drawing>
      </w:r>
    </w:p>
    <w:p w14:paraId="1C420156" w14:textId="77777777" w:rsidR="004A6092" w:rsidRPr="00B82D59" w:rsidRDefault="004A6092" w:rsidP="00601D0F">
      <w:pPr>
        <w:spacing w:before="240" w:after="240" w:line="240" w:lineRule="auto"/>
        <w:rPr>
          <w:rFonts w:ascii="Arial" w:eastAsia="Times New Roman" w:hAnsi="Arial" w:cs="Arial"/>
          <w:color w:val="000000"/>
          <w:sz w:val="24"/>
          <w:szCs w:val="24"/>
          <w:lang w:val="en-US" w:eastAsia="nl-NL"/>
        </w:rPr>
      </w:pPr>
      <w:r w:rsidRPr="00B82D59">
        <w:rPr>
          <w:rFonts w:ascii="Arial" w:eastAsia="Times New Roman" w:hAnsi="Arial" w:cs="Arial"/>
          <w:b/>
          <w:bCs/>
          <w:color w:val="000000"/>
          <w:sz w:val="24"/>
          <w:szCs w:val="24"/>
          <w:lang w:val="en-US" w:eastAsia="nl-NL"/>
        </w:rPr>
        <w:t>Figure S</w:t>
      </w:r>
      <w:r w:rsidR="00601D0F" w:rsidRPr="00B82D59">
        <w:rPr>
          <w:rFonts w:ascii="Arial" w:eastAsia="Times New Roman" w:hAnsi="Arial" w:cs="Arial"/>
          <w:b/>
          <w:bCs/>
          <w:color w:val="000000"/>
          <w:sz w:val="24"/>
          <w:szCs w:val="24"/>
          <w:lang w:val="en-US" w:eastAsia="nl-NL"/>
        </w:rPr>
        <w:t>5</w:t>
      </w:r>
      <w:r w:rsidRPr="00B82D59">
        <w:rPr>
          <w:rFonts w:ascii="Arial" w:eastAsia="Times New Roman" w:hAnsi="Arial" w:cs="Arial"/>
          <w:b/>
          <w:bCs/>
          <w:color w:val="000000"/>
          <w:sz w:val="24"/>
          <w:szCs w:val="24"/>
          <w:lang w:val="en-US" w:eastAsia="nl-NL"/>
        </w:rPr>
        <w:t>.</w:t>
      </w:r>
      <w:r w:rsidRPr="00B82D59">
        <w:rPr>
          <w:rFonts w:ascii="Arial" w:eastAsia="Times New Roman" w:hAnsi="Arial" w:cs="Arial"/>
          <w:color w:val="000000"/>
          <w:sz w:val="24"/>
          <w:szCs w:val="24"/>
          <w:lang w:val="en-US" w:eastAsia="nl-NL"/>
        </w:rPr>
        <w:t xml:space="preserve"> </w:t>
      </w:r>
      <w:r w:rsidRPr="00F4404F">
        <w:rPr>
          <w:rFonts w:ascii="Arial" w:eastAsia="Times New Roman" w:hAnsi="Arial" w:cs="Arial"/>
          <w:b/>
          <w:bCs/>
          <w:color w:val="000000"/>
          <w:sz w:val="24"/>
          <w:szCs w:val="24"/>
          <w:lang w:val="en-US" w:eastAsia="nl-NL"/>
        </w:rPr>
        <w:t>LC-MS of cycl</w:t>
      </w:r>
      <w:r w:rsidR="005B5A2E" w:rsidRPr="00F4404F">
        <w:rPr>
          <w:rFonts w:ascii="Arial" w:eastAsia="Times New Roman" w:hAnsi="Arial" w:cs="Arial"/>
          <w:b/>
          <w:bCs/>
          <w:color w:val="000000"/>
          <w:sz w:val="24"/>
          <w:szCs w:val="24"/>
          <w:lang w:val="en-US" w:eastAsia="nl-NL"/>
        </w:rPr>
        <w:t xml:space="preserve">ic </w:t>
      </w:r>
      <w:r w:rsidRPr="00F4404F">
        <w:rPr>
          <w:rFonts w:ascii="Arial" w:eastAsia="Times New Roman" w:hAnsi="Arial" w:cs="Arial"/>
          <w:b/>
          <w:bCs/>
          <w:color w:val="000000"/>
          <w:sz w:val="24"/>
          <w:szCs w:val="24"/>
          <w:lang w:val="en-US" w:eastAsia="nl-NL"/>
        </w:rPr>
        <w:t>peptide</w:t>
      </w:r>
    </w:p>
    <w:p w14:paraId="2B39F67E" w14:textId="77777777" w:rsidR="00D57ED9" w:rsidRPr="00934CE6" w:rsidRDefault="00D57ED9" w:rsidP="004A6092">
      <w:pPr>
        <w:spacing w:before="240" w:after="240" w:line="240" w:lineRule="auto"/>
        <w:rPr>
          <w:rFonts w:asciiTheme="majorBidi" w:eastAsia="Times New Roman" w:hAnsiTheme="majorBidi" w:cstheme="majorBidi"/>
          <w:b/>
          <w:bCs/>
          <w:color w:val="000000"/>
        </w:rPr>
      </w:pPr>
    </w:p>
    <w:p w14:paraId="69B206BA" w14:textId="77777777" w:rsidR="007D3A07" w:rsidRDefault="007D3A07" w:rsidP="004A6092">
      <w:pPr>
        <w:spacing w:before="240" w:after="240" w:line="240" w:lineRule="auto"/>
        <w:rPr>
          <w:rFonts w:asciiTheme="majorBidi" w:eastAsia="Times New Roman" w:hAnsiTheme="majorBidi" w:cstheme="majorBidi"/>
          <w:b/>
          <w:bCs/>
          <w:color w:val="000000"/>
        </w:rPr>
      </w:pPr>
    </w:p>
    <w:p w14:paraId="6DB90E4B" w14:textId="77777777" w:rsidR="007D3A07" w:rsidRDefault="007D3A07" w:rsidP="004A6092">
      <w:pPr>
        <w:spacing w:before="240" w:after="240" w:line="240" w:lineRule="auto"/>
        <w:rPr>
          <w:rFonts w:asciiTheme="majorBidi" w:eastAsia="Times New Roman" w:hAnsiTheme="majorBidi" w:cstheme="majorBidi"/>
          <w:b/>
          <w:bCs/>
          <w:color w:val="000000"/>
        </w:rPr>
      </w:pPr>
    </w:p>
    <w:p w14:paraId="6F6655B2" w14:textId="7C50F47A" w:rsidR="00601D0F" w:rsidRPr="00934CE6" w:rsidRDefault="00F84476" w:rsidP="00601D0F">
      <w:pPr>
        <w:spacing w:before="240" w:after="240" w:line="240" w:lineRule="auto"/>
        <w:jc w:val="center"/>
        <w:rPr>
          <w:rFonts w:asciiTheme="majorBidi" w:eastAsia="Times New Roman" w:hAnsiTheme="majorBidi" w:cstheme="majorBidi"/>
          <w:b/>
          <w:bCs/>
          <w:color w:val="000000"/>
          <w:lang w:eastAsia="nl-NL"/>
        </w:rPr>
      </w:pPr>
      <w:r w:rsidRPr="00F84476">
        <w:rPr>
          <w:rFonts w:asciiTheme="majorBidi" w:eastAsia="Times New Roman" w:hAnsiTheme="majorBidi" w:cstheme="majorBidi"/>
          <w:b/>
          <w:bCs/>
          <w:noProof/>
          <w:color w:val="000000"/>
          <w:lang w:val="en-US"/>
        </w:rPr>
        <w:lastRenderedPageBreak/>
        <w:drawing>
          <wp:inline distT="0" distB="0" distL="0" distR="0" wp14:anchorId="421BD4D2" wp14:editId="67B67955">
            <wp:extent cx="5943600" cy="2475071"/>
            <wp:effectExtent l="0" t="0" r="0" b="1905"/>
            <wp:docPr id="2" name="Picture 2" descr="C:\Users\alisa\Desktop\Elham\Namjoo\1401.9.20_Namjoo\manuscript new\Figures_1401.11.7\600 dpi\Figure 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a\Desktop\Elham\Namjoo\1401.9.20_Namjoo\manuscript new\Figures_1401.11.7\600 dpi\Figure S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475071"/>
                    </a:xfrm>
                    <a:prstGeom prst="rect">
                      <a:avLst/>
                    </a:prstGeom>
                    <a:noFill/>
                    <a:ln>
                      <a:noFill/>
                    </a:ln>
                  </pic:spPr>
                </pic:pic>
              </a:graphicData>
            </a:graphic>
          </wp:inline>
        </w:drawing>
      </w:r>
    </w:p>
    <w:p w14:paraId="43F270A5" w14:textId="77777777" w:rsidR="00601D0F" w:rsidRPr="00B82D59" w:rsidRDefault="00601D0F" w:rsidP="00601D0F">
      <w:pPr>
        <w:spacing w:line="240" w:lineRule="auto"/>
        <w:jc w:val="both"/>
        <w:rPr>
          <w:rFonts w:ascii="Arial" w:hAnsi="Arial" w:cs="Arial"/>
          <w:b/>
          <w:bCs/>
          <w:sz w:val="24"/>
          <w:szCs w:val="24"/>
          <w:lang w:val="en-US" w:bidi="fa-IR"/>
        </w:rPr>
      </w:pPr>
      <w:r w:rsidRPr="00B82D59">
        <w:rPr>
          <w:rFonts w:ascii="Arial" w:hAnsi="Arial" w:cs="Arial"/>
          <w:b/>
          <w:bCs/>
          <w:sz w:val="24"/>
          <w:szCs w:val="24"/>
          <w:lang w:val="en-US" w:bidi="fa-IR"/>
        </w:rPr>
        <w:t xml:space="preserve">Figure S6. Evaluating the binding capability of the linear VGB3 to VEGFR2 </w:t>
      </w:r>
    </w:p>
    <w:p w14:paraId="6AD61D41" w14:textId="48E73DF7" w:rsidR="00206702" w:rsidRPr="00B82D59" w:rsidRDefault="00601D0F" w:rsidP="00CF0ED0">
      <w:pPr>
        <w:spacing w:line="240" w:lineRule="auto"/>
        <w:jc w:val="both"/>
        <w:rPr>
          <w:rFonts w:ascii="Arial" w:hAnsi="Arial" w:cs="Arial"/>
          <w:sz w:val="24"/>
          <w:szCs w:val="24"/>
          <w:lang w:val="en-US" w:bidi="fa-IR"/>
        </w:rPr>
      </w:pPr>
      <w:r w:rsidRPr="00B82D59">
        <w:rPr>
          <w:rFonts w:ascii="Arial" w:hAnsi="Arial" w:cs="Arial"/>
          <w:b/>
          <w:bCs/>
          <w:sz w:val="24"/>
          <w:szCs w:val="24"/>
          <w:lang w:val="en-US" w:bidi="fa-IR"/>
        </w:rPr>
        <w:t>(A)</w:t>
      </w:r>
      <w:r w:rsidRPr="00B82D59">
        <w:rPr>
          <w:rFonts w:ascii="Arial" w:hAnsi="Arial" w:cs="Arial"/>
          <w:sz w:val="24"/>
          <w:szCs w:val="24"/>
          <w:lang w:val="en-US" w:bidi="fa-IR"/>
        </w:rPr>
        <w:t xml:space="preserve"> ELISA-based displacement assay. The gradient concentrations of the linear VGB3 (3.16, 10, 31.6, 100, 316, 1000 and 3160 μM) were used in the assay. The linear VGB3 showed no binding to the extracellular domain of VEGFR2 at applied concentrations. </w:t>
      </w:r>
      <w:r w:rsidRPr="00B82D59">
        <w:rPr>
          <w:rFonts w:ascii="Arial" w:hAnsi="Arial" w:cs="Arial"/>
          <w:b/>
          <w:bCs/>
          <w:sz w:val="24"/>
          <w:szCs w:val="24"/>
          <w:lang w:val="en-US" w:bidi="fa-IR"/>
        </w:rPr>
        <w:t>(B)</w:t>
      </w:r>
      <w:r w:rsidRPr="00B82D59">
        <w:rPr>
          <w:rFonts w:ascii="Arial" w:hAnsi="Arial" w:cs="Arial"/>
          <w:sz w:val="24"/>
          <w:szCs w:val="24"/>
          <w:lang w:val="en-US" w:bidi="fa-IR"/>
        </w:rPr>
        <w:t xml:space="preserve"> Two-dimensional representation of interactions (produced by </w:t>
      </w:r>
      <w:proofErr w:type="spellStart"/>
      <w:r w:rsidRPr="00B82D59">
        <w:rPr>
          <w:rFonts w:ascii="Arial" w:hAnsi="Arial" w:cs="Arial"/>
          <w:sz w:val="24"/>
          <w:szCs w:val="24"/>
          <w:lang w:val="en-US" w:bidi="fa-IR"/>
        </w:rPr>
        <w:t>LigPlot</w:t>
      </w:r>
      <w:proofErr w:type="spellEnd"/>
      <w:r w:rsidRPr="00B82D59">
        <w:rPr>
          <w:rFonts w:ascii="Arial" w:hAnsi="Arial" w:cs="Arial"/>
          <w:sz w:val="24"/>
          <w:szCs w:val="24"/>
          <w:lang w:val="en-US" w:bidi="fa-IR"/>
        </w:rPr>
        <w:t xml:space="preserve"> software) in the linear VGB3/VEGFR2 complex.</w:t>
      </w:r>
    </w:p>
    <w:p w14:paraId="47137C2E" w14:textId="6FB43BCA" w:rsidR="00CF0ED0" w:rsidRDefault="00CF0ED0" w:rsidP="004A6092">
      <w:pPr>
        <w:spacing w:before="240" w:after="240" w:line="240" w:lineRule="auto"/>
        <w:rPr>
          <w:rFonts w:asciiTheme="majorBidi" w:eastAsia="Times New Roman" w:hAnsiTheme="majorBidi" w:cstheme="majorBidi"/>
          <w:b/>
          <w:bCs/>
          <w:color w:val="000000"/>
          <w:sz w:val="28"/>
          <w:szCs w:val="28"/>
        </w:rPr>
      </w:pPr>
    </w:p>
    <w:p w14:paraId="7066A419" w14:textId="11CE89C2" w:rsidR="00B4348B" w:rsidRDefault="004B1493" w:rsidP="004B1493">
      <w:pPr>
        <w:tabs>
          <w:tab w:val="left" w:pos="2402"/>
        </w:tabs>
        <w:spacing w:before="240" w:after="240" w:line="240" w:lineRule="auto"/>
        <w:rPr>
          <w:rFonts w:asciiTheme="majorBidi" w:eastAsia="Times New Roman" w:hAnsiTheme="majorBidi" w:cstheme="majorBidi"/>
          <w:b/>
          <w:bCs/>
          <w:color w:val="000000"/>
          <w:sz w:val="28"/>
          <w:szCs w:val="28"/>
        </w:rPr>
      </w:pPr>
      <w:r>
        <w:rPr>
          <w:rFonts w:asciiTheme="majorBidi" w:eastAsia="Times New Roman" w:hAnsiTheme="majorBidi" w:cstheme="majorBidi"/>
          <w:b/>
          <w:bCs/>
          <w:color w:val="000000"/>
          <w:sz w:val="28"/>
          <w:szCs w:val="28"/>
        </w:rPr>
        <w:lastRenderedPageBreak/>
        <w:tab/>
      </w:r>
      <w:r w:rsidRPr="004B1493">
        <w:rPr>
          <w:rFonts w:asciiTheme="majorBidi" w:eastAsia="Times New Roman" w:hAnsiTheme="majorBidi" w:cstheme="majorBidi"/>
          <w:b/>
          <w:bCs/>
          <w:noProof/>
          <w:color w:val="000000"/>
          <w:sz w:val="28"/>
          <w:szCs w:val="28"/>
          <w:lang w:val="en-US"/>
        </w:rPr>
        <w:drawing>
          <wp:inline distT="0" distB="0" distL="0" distR="0" wp14:anchorId="6689E979" wp14:editId="6D3B9331">
            <wp:extent cx="5943600" cy="5920623"/>
            <wp:effectExtent l="0" t="0" r="0" b="4445"/>
            <wp:docPr id="1" name="Picture 1" descr="C:\Users\alisa\Desktop\Elham\Namjoo\European Journal of pharmacology_1401.12.23\Figure S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a\Desktop\Elham\Namjoo\European Journal of pharmacology_1401.12.23\Figure S7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920623"/>
                    </a:xfrm>
                    <a:prstGeom prst="rect">
                      <a:avLst/>
                    </a:prstGeom>
                    <a:noFill/>
                    <a:ln>
                      <a:noFill/>
                    </a:ln>
                  </pic:spPr>
                </pic:pic>
              </a:graphicData>
            </a:graphic>
          </wp:inline>
        </w:drawing>
      </w:r>
    </w:p>
    <w:p w14:paraId="7571A2B9" w14:textId="0666562E" w:rsidR="006801C7" w:rsidRDefault="006801C7" w:rsidP="006801C7">
      <w:pPr>
        <w:spacing w:before="240" w:after="240" w:line="240" w:lineRule="auto"/>
        <w:jc w:val="center"/>
        <w:rPr>
          <w:rFonts w:asciiTheme="majorBidi" w:eastAsia="Times New Roman" w:hAnsiTheme="majorBidi" w:cstheme="majorBidi"/>
          <w:b/>
          <w:bCs/>
          <w:color w:val="000000"/>
          <w:sz w:val="28"/>
          <w:szCs w:val="28"/>
        </w:rPr>
      </w:pPr>
      <w:r>
        <w:rPr>
          <w:rFonts w:ascii="Arial" w:hAnsi="Arial" w:cs="Arial"/>
          <w:b/>
          <w:bCs/>
          <w:noProof/>
          <w:sz w:val="24"/>
          <w:szCs w:val="24"/>
          <w:lang w:val="en-US"/>
        </w:rPr>
        <mc:AlternateContent>
          <mc:Choice Requires="wps">
            <w:drawing>
              <wp:anchor distT="0" distB="0" distL="114300" distR="114300" simplePos="0" relativeHeight="251659264" behindDoc="0" locked="0" layoutInCell="1" allowOverlap="1" wp14:anchorId="43364271" wp14:editId="47898593">
                <wp:simplePos x="0" y="0"/>
                <wp:positionH relativeFrom="column">
                  <wp:posOffset>5237776</wp:posOffset>
                </wp:positionH>
                <wp:positionV relativeFrom="paragraph">
                  <wp:posOffset>660893</wp:posOffset>
                </wp:positionV>
                <wp:extent cx="656948" cy="0"/>
                <wp:effectExtent l="0" t="76200" r="10160" b="95250"/>
                <wp:wrapNone/>
                <wp:docPr id="4" name="Straight Arrow Connector 4"/>
                <wp:cNvGraphicFramePr/>
                <a:graphic xmlns:a="http://schemas.openxmlformats.org/drawingml/2006/main">
                  <a:graphicData uri="http://schemas.microsoft.com/office/word/2010/wordprocessingShape">
                    <wps:wsp>
                      <wps:cNvCnPr/>
                      <wps:spPr>
                        <a:xfrm>
                          <a:off x="0" y="0"/>
                          <a:ext cx="656948"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C6A9225" id="_x0000_t32" coordsize="21600,21600" o:spt="32" o:oned="t" path="m,l21600,21600e" filled="f">
                <v:path arrowok="t" fillok="f" o:connecttype="none"/>
                <o:lock v:ext="edit" shapetype="t"/>
              </v:shapetype>
              <v:shape id="Straight Arrow Connector 4" o:spid="_x0000_s1026" type="#_x0000_t32" style="position:absolute;margin-left:412.4pt;margin-top:52.05pt;width:51.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" strokecolor="black [3213]" strokeweight="2pt">
                <v:stroke endarrow="block" joinstyle="miter"/>
              </v:shape>
            </w:pict>
          </mc:Fallback>
        </mc:AlternateContent>
      </w:r>
      <w:r w:rsidRPr="00B82D59">
        <w:rPr>
          <w:rFonts w:ascii="Arial" w:hAnsi="Arial" w:cs="Arial"/>
          <w:b/>
          <w:bCs/>
          <w:sz w:val="24"/>
          <w:szCs w:val="24"/>
          <w:lang w:val="en-US" w:bidi="fa-IR"/>
        </w:rPr>
        <w:t>Figure S</w:t>
      </w:r>
      <w:r>
        <w:rPr>
          <w:rFonts w:ascii="Arial" w:hAnsi="Arial" w:cs="Arial"/>
          <w:b/>
          <w:bCs/>
          <w:sz w:val="24"/>
          <w:szCs w:val="24"/>
          <w:lang w:val="en-US" w:bidi="fa-IR"/>
        </w:rPr>
        <w:t>7</w:t>
      </w:r>
    </w:p>
    <w:p w14:paraId="1DF734EB" w14:textId="77777777" w:rsidR="006801C7" w:rsidRPr="006801C7" w:rsidRDefault="006801C7" w:rsidP="006801C7">
      <w:pPr>
        <w:rPr>
          <w:rFonts w:asciiTheme="majorBidi" w:eastAsia="Times New Roman" w:hAnsiTheme="majorBidi" w:cstheme="majorBidi"/>
          <w:sz w:val="28"/>
          <w:szCs w:val="28"/>
        </w:rPr>
      </w:pPr>
    </w:p>
    <w:p w14:paraId="6EC9F59C" w14:textId="77777777" w:rsidR="006801C7" w:rsidRPr="006801C7" w:rsidRDefault="006801C7" w:rsidP="006801C7">
      <w:pPr>
        <w:rPr>
          <w:rFonts w:asciiTheme="majorBidi" w:eastAsia="Times New Roman" w:hAnsiTheme="majorBidi" w:cstheme="majorBidi"/>
          <w:sz w:val="28"/>
          <w:szCs w:val="28"/>
        </w:rPr>
      </w:pPr>
    </w:p>
    <w:p w14:paraId="1F04DBF3" w14:textId="6ED624E9" w:rsidR="006801C7" w:rsidRDefault="006801C7" w:rsidP="006801C7">
      <w:pPr>
        <w:rPr>
          <w:rFonts w:asciiTheme="majorBidi" w:eastAsia="Times New Roman" w:hAnsiTheme="majorBidi" w:cstheme="majorBidi"/>
          <w:sz w:val="28"/>
          <w:szCs w:val="28"/>
        </w:rPr>
      </w:pPr>
    </w:p>
    <w:p w14:paraId="2852E61F" w14:textId="7563BD03" w:rsidR="00B4348B" w:rsidRDefault="006801C7" w:rsidP="006801C7">
      <w:pPr>
        <w:tabs>
          <w:tab w:val="left" w:pos="7587"/>
        </w:tabs>
        <w:rPr>
          <w:rFonts w:asciiTheme="majorBidi" w:eastAsia="Times New Roman" w:hAnsiTheme="majorBidi" w:cstheme="majorBidi"/>
          <w:sz w:val="28"/>
          <w:szCs w:val="28"/>
        </w:rPr>
      </w:pPr>
      <w:r>
        <w:rPr>
          <w:rFonts w:asciiTheme="majorBidi" w:eastAsia="Times New Roman" w:hAnsiTheme="majorBidi" w:cstheme="majorBidi"/>
          <w:sz w:val="28"/>
          <w:szCs w:val="28"/>
        </w:rPr>
        <w:tab/>
      </w:r>
    </w:p>
    <w:p w14:paraId="0E571F11" w14:textId="290C07FD" w:rsidR="006801C7" w:rsidRDefault="006801C7" w:rsidP="006801C7">
      <w:pPr>
        <w:tabs>
          <w:tab w:val="left" w:pos="7587"/>
        </w:tabs>
        <w:rPr>
          <w:rFonts w:asciiTheme="majorBidi" w:eastAsia="Times New Roman" w:hAnsiTheme="majorBidi" w:cstheme="majorBidi"/>
          <w:sz w:val="28"/>
          <w:szCs w:val="28"/>
        </w:rPr>
      </w:pPr>
    </w:p>
    <w:p w14:paraId="162ECCE5" w14:textId="77F18B2A" w:rsidR="006801C7" w:rsidRPr="006801C7" w:rsidRDefault="006801C7" w:rsidP="006801C7">
      <w:pPr>
        <w:tabs>
          <w:tab w:val="left" w:pos="7587"/>
        </w:tabs>
        <w:rPr>
          <w:rFonts w:asciiTheme="majorBidi" w:eastAsia="Times New Roman" w:hAnsiTheme="majorBidi" w:cstheme="majorBidi"/>
          <w:sz w:val="28"/>
          <w:szCs w:val="28"/>
        </w:rPr>
      </w:pPr>
      <w:r>
        <w:rPr>
          <w:rFonts w:asciiTheme="majorBidi" w:eastAsia="Times New Roman" w:hAnsiTheme="majorBidi" w:cstheme="majorBidi"/>
          <w:b/>
          <w:bCs/>
          <w:noProof/>
          <w:color w:val="000000"/>
          <w:sz w:val="28"/>
          <w:szCs w:val="28"/>
          <w:lang w:val="en-US"/>
        </w:rPr>
        <w:lastRenderedPageBreak/>
        <mc:AlternateContent>
          <mc:Choice Requires="wps">
            <w:drawing>
              <wp:anchor distT="0" distB="0" distL="114300" distR="114300" simplePos="0" relativeHeight="251660288" behindDoc="0" locked="0" layoutInCell="1" allowOverlap="1" wp14:anchorId="65BEBA15" wp14:editId="31F6969A">
                <wp:simplePos x="0" y="0"/>
                <wp:positionH relativeFrom="margin">
                  <wp:posOffset>5135880</wp:posOffset>
                </wp:positionH>
                <wp:positionV relativeFrom="paragraph">
                  <wp:posOffset>293692</wp:posOffset>
                </wp:positionV>
                <wp:extent cx="807720" cy="0"/>
                <wp:effectExtent l="38100" t="76200" r="0" b="95250"/>
                <wp:wrapNone/>
                <wp:docPr id="6" name="Straight Arrow Connector 6"/>
                <wp:cNvGraphicFramePr/>
                <a:graphic xmlns:a="http://schemas.openxmlformats.org/drawingml/2006/main">
                  <a:graphicData uri="http://schemas.microsoft.com/office/word/2010/wordprocessingShape">
                    <wps:wsp>
                      <wps:cNvCnPr/>
                      <wps:spPr>
                        <a:xfrm flipH="1">
                          <a:off x="0" y="0"/>
                          <a:ext cx="807720"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47AD83" id="Straight Arrow Connector 6" o:spid="_x0000_s1026" type="#_x0000_t32" style="position:absolute;margin-left:404.4pt;margin-top:23.15pt;width:63.6pt;height:0;flip:x;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" strokecolor="black [3213]" strokeweight="2pt">
                <v:stroke endarrow="block" joinstyle="miter"/>
                <w10:wrap anchorx="margin"/>
              </v:shape>
            </w:pict>
          </mc:Fallback>
        </mc:AlternateContent>
      </w:r>
    </w:p>
    <w:p w14:paraId="7DD805D9" w14:textId="15B62466" w:rsidR="00B4348B" w:rsidRDefault="004B1493" w:rsidP="004A6092">
      <w:pPr>
        <w:spacing w:before="240" w:after="240" w:line="240" w:lineRule="auto"/>
        <w:rPr>
          <w:rFonts w:asciiTheme="majorBidi" w:eastAsia="Times New Roman" w:hAnsiTheme="majorBidi" w:cstheme="majorBidi"/>
          <w:b/>
          <w:bCs/>
          <w:color w:val="000000"/>
          <w:sz w:val="28"/>
          <w:szCs w:val="28"/>
        </w:rPr>
      </w:pPr>
      <w:r w:rsidRPr="004B1493">
        <w:rPr>
          <w:rFonts w:asciiTheme="majorBidi" w:eastAsia="Times New Roman" w:hAnsiTheme="majorBidi" w:cstheme="majorBidi"/>
          <w:b/>
          <w:bCs/>
          <w:noProof/>
          <w:color w:val="000000"/>
          <w:sz w:val="28"/>
          <w:szCs w:val="28"/>
          <w:lang w:val="en-US"/>
        </w:rPr>
        <w:drawing>
          <wp:inline distT="0" distB="0" distL="0" distR="0" wp14:anchorId="2A2A286A" wp14:editId="653B1C7F">
            <wp:extent cx="5943600" cy="7033226"/>
            <wp:effectExtent l="0" t="0" r="0" b="0"/>
            <wp:docPr id="3" name="Picture 3" descr="C:\Users\alisa\Desktop\Elham\Namjoo\European Journal of pharmacology_1401.12.23\Figure S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sa\Desktop\Elham\Namjoo\European Journal of pharmacology_1401.12.23\Figure S7B.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7033226"/>
                    </a:xfrm>
                    <a:prstGeom prst="rect">
                      <a:avLst/>
                    </a:prstGeom>
                    <a:noFill/>
                    <a:ln>
                      <a:noFill/>
                    </a:ln>
                  </pic:spPr>
                </pic:pic>
              </a:graphicData>
            </a:graphic>
          </wp:inline>
        </w:drawing>
      </w:r>
    </w:p>
    <w:p w14:paraId="6D835123" w14:textId="37210517" w:rsidR="004B1493" w:rsidRDefault="004B1493" w:rsidP="004B1493">
      <w:pPr>
        <w:spacing w:before="240" w:after="240" w:line="240" w:lineRule="auto"/>
        <w:rPr>
          <w:rFonts w:asciiTheme="majorBidi" w:eastAsia="Times New Roman" w:hAnsiTheme="majorBidi" w:cstheme="majorBidi"/>
          <w:b/>
          <w:bCs/>
          <w:color w:val="000000"/>
          <w:sz w:val="28"/>
          <w:szCs w:val="28"/>
        </w:rPr>
      </w:pPr>
      <w:r w:rsidRPr="00B82D59">
        <w:rPr>
          <w:rFonts w:ascii="Arial" w:hAnsi="Arial" w:cs="Arial"/>
          <w:b/>
          <w:bCs/>
          <w:sz w:val="24"/>
          <w:szCs w:val="24"/>
          <w:lang w:val="en-US" w:bidi="fa-IR"/>
        </w:rPr>
        <w:t>Figure S</w:t>
      </w:r>
      <w:r>
        <w:rPr>
          <w:rFonts w:ascii="Arial" w:hAnsi="Arial" w:cs="Arial"/>
          <w:b/>
          <w:bCs/>
          <w:sz w:val="24"/>
          <w:szCs w:val="24"/>
          <w:lang w:val="en-US" w:bidi="fa-IR"/>
        </w:rPr>
        <w:t>7</w:t>
      </w:r>
      <w:r w:rsidRPr="00B82D59">
        <w:rPr>
          <w:rFonts w:ascii="Arial" w:hAnsi="Arial" w:cs="Arial"/>
          <w:b/>
          <w:bCs/>
          <w:sz w:val="24"/>
          <w:szCs w:val="24"/>
          <w:lang w:val="en-US" w:bidi="fa-IR"/>
        </w:rPr>
        <w:t>.</w:t>
      </w:r>
      <w:r>
        <w:rPr>
          <w:rFonts w:ascii="Arial" w:hAnsi="Arial" w:cs="Arial"/>
          <w:b/>
          <w:bCs/>
          <w:sz w:val="24"/>
          <w:szCs w:val="24"/>
          <w:lang w:val="en-US" w:bidi="fa-IR"/>
        </w:rPr>
        <w:t xml:space="preserve"> Raw data for western blot analysis.</w:t>
      </w:r>
    </w:p>
    <w:p w14:paraId="72AB07AF" w14:textId="4F1884D3" w:rsidR="00B4348B" w:rsidRDefault="00B4348B" w:rsidP="004A6092">
      <w:pPr>
        <w:spacing w:before="240" w:after="240" w:line="240" w:lineRule="auto"/>
        <w:rPr>
          <w:rFonts w:asciiTheme="majorBidi" w:eastAsia="Times New Roman" w:hAnsiTheme="majorBidi" w:cstheme="majorBidi"/>
          <w:b/>
          <w:bCs/>
          <w:color w:val="000000"/>
          <w:sz w:val="28"/>
          <w:szCs w:val="28"/>
        </w:rPr>
      </w:pPr>
    </w:p>
    <w:p w14:paraId="681CF309" w14:textId="2ABC4FDC" w:rsidR="00D31FF0" w:rsidRPr="00B4348B" w:rsidRDefault="00093037" w:rsidP="00CF0ED0">
      <w:pPr>
        <w:spacing w:before="240" w:after="240" w:line="240" w:lineRule="auto"/>
        <w:rPr>
          <w:rFonts w:ascii="Arial" w:eastAsia="Times New Roman" w:hAnsi="Arial" w:cs="Arial"/>
          <w:color w:val="000000"/>
          <w:sz w:val="28"/>
          <w:szCs w:val="28"/>
          <w:lang w:val="en-US" w:eastAsia="nl-NL"/>
        </w:rPr>
      </w:pPr>
      <w:r w:rsidRPr="00B4348B">
        <w:rPr>
          <w:rFonts w:ascii="Arial" w:eastAsia="Times New Roman" w:hAnsi="Arial" w:cs="Arial"/>
          <w:b/>
          <w:bCs/>
          <w:color w:val="000000"/>
          <w:sz w:val="28"/>
          <w:szCs w:val="28"/>
        </w:rPr>
        <w:lastRenderedPageBreak/>
        <w:t>Supplementary Tables:</w:t>
      </w:r>
    </w:p>
    <w:p w14:paraId="39A49C0D" w14:textId="77777777" w:rsidR="00D31FF0" w:rsidRPr="00B4348B" w:rsidRDefault="00D31FF0" w:rsidP="00D31FF0">
      <w:pPr>
        <w:spacing w:line="240" w:lineRule="auto"/>
        <w:jc w:val="both"/>
        <w:rPr>
          <w:rFonts w:ascii="Arial" w:hAnsi="Arial" w:cs="Arial"/>
          <w:sz w:val="24"/>
          <w:szCs w:val="24"/>
          <w:lang w:val="en-US"/>
        </w:rPr>
      </w:pPr>
      <w:r w:rsidRPr="00B4348B">
        <w:rPr>
          <w:rFonts w:ascii="Arial" w:hAnsi="Arial" w:cs="Arial"/>
          <w:b/>
          <w:bCs/>
          <w:sz w:val="24"/>
          <w:szCs w:val="24"/>
          <w:lang w:val="en-US"/>
        </w:rPr>
        <w:t>Table S1.</w:t>
      </w:r>
      <w:r w:rsidRPr="00B4348B">
        <w:rPr>
          <w:rFonts w:ascii="Arial" w:hAnsi="Arial" w:cs="Arial"/>
          <w:sz w:val="24"/>
          <w:szCs w:val="24"/>
          <w:lang w:val="en-US"/>
        </w:rPr>
        <w:t xml:space="preserve"> Interaction of cyclic and linear VGB3 with VEGFR2. The nature of interaction and participating residues are listed. </w:t>
      </w:r>
    </w:p>
    <w:tbl>
      <w:tblPr>
        <w:tblStyle w:val="PlainTable2"/>
        <w:tblW w:w="0" w:type="auto"/>
        <w:tblLook w:val="04A0" w:firstRow="1" w:lastRow="0" w:firstColumn="1" w:lastColumn="0" w:noHBand="0" w:noVBand="1"/>
      </w:tblPr>
      <w:tblGrid>
        <w:gridCol w:w="2250"/>
        <w:gridCol w:w="1842"/>
        <w:gridCol w:w="1756"/>
        <w:gridCol w:w="2882"/>
      </w:tblGrid>
      <w:tr w:rsidR="00D31FF0" w:rsidRPr="00D31FF0" w14:paraId="18D6C954" w14:textId="77777777" w:rsidTr="00403BE0">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2250" w:type="dxa"/>
          </w:tcPr>
          <w:p w14:paraId="7B037B41" w14:textId="77777777" w:rsidR="00D31FF0" w:rsidRPr="00D31FF0" w:rsidRDefault="00D31FF0" w:rsidP="00D31FF0">
            <w:pPr>
              <w:rPr>
                <w:rFonts w:ascii="Arial" w:hAnsi="Arial" w:cs="Arial"/>
                <w:sz w:val="20"/>
                <w:szCs w:val="20"/>
                <w:lang w:val="en-US"/>
              </w:rPr>
            </w:pPr>
            <w:r w:rsidRPr="00D31FF0">
              <w:rPr>
                <w:rFonts w:ascii="Arial" w:hAnsi="Arial" w:cs="Arial"/>
                <w:sz w:val="20"/>
                <w:szCs w:val="20"/>
                <w:lang w:val="en-US"/>
              </w:rPr>
              <w:t>Complex</w:t>
            </w:r>
          </w:p>
        </w:tc>
        <w:tc>
          <w:tcPr>
            <w:tcW w:w="3598" w:type="dxa"/>
            <w:gridSpan w:val="2"/>
          </w:tcPr>
          <w:p w14:paraId="4F9C7954" w14:textId="77777777" w:rsidR="00D31FF0" w:rsidRPr="00D31FF0" w:rsidRDefault="00D31FF0" w:rsidP="00D31FF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D31FF0">
              <w:rPr>
                <w:rFonts w:ascii="Arial" w:hAnsi="Arial" w:cs="Arial"/>
                <w:sz w:val="20"/>
                <w:szCs w:val="20"/>
                <w:lang w:val="en-US"/>
              </w:rPr>
              <w:t>Hydrogen bonds</w:t>
            </w:r>
          </w:p>
          <w:p w14:paraId="40E76A26" w14:textId="77777777" w:rsidR="00D31FF0" w:rsidRPr="00D31FF0" w:rsidRDefault="00D31FF0" w:rsidP="00D31FF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D31FF0">
              <w:rPr>
                <w:rFonts w:ascii="Arial" w:hAnsi="Arial" w:cs="Arial"/>
                <w:sz w:val="20"/>
                <w:szCs w:val="20"/>
                <w:lang w:val="en-US"/>
              </w:rPr>
              <w:t xml:space="preserve">     Residue                   Distance </w:t>
            </w:r>
            <w:r w:rsidRPr="00D31FF0">
              <w:rPr>
                <w:rFonts w:ascii="Arial" w:hAnsi="Arial" w:cs="Arial"/>
                <w:sz w:val="18"/>
                <w:szCs w:val="18"/>
                <w:lang w:val="en-US"/>
              </w:rPr>
              <w:t>(ͦA</w:t>
            </w:r>
            <w:r w:rsidRPr="00D31FF0">
              <w:rPr>
                <w:rFonts w:ascii="Arial" w:hAnsi="Arial" w:cs="Arial"/>
                <w:sz w:val="20"/>
                <w:szCs w:val="20"/>
                <w:lang w:val="en-US"/>
              </w:rPr>
              <w:t>)</w:t>
            </w:r>
          </w:p>
        </w:tc>
        <w:tc>
          <w:tcPr>
            <w:tcW w:w="2882" w:type="dxa"/>
          </w:tcPr>
          <w:p w14:paraId="08E01D75" w14:textId="77777777" w:rsidR="00D31FF0" w:rsidRPr="00D31FF0" w:rsidRDefault="00D31FF0" w:rsidP="00D31FF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D31FF0">
              <w:rPr>
                <w:rFonts w:ascii="Arial" w:hAnsi="Arial" w:cs="Arial"/>
                <w:sz w:val="20"/>
                <w:szCs w:val="20"/>
                <w:lang w:val="en-US"/>
              </w:rPr>
              <w:t>Hydrophobic interactions</w:t>
            </w:r>
          </w:p>
        </w:tc>
      </w:tr>
      <w:tr w:rsidR="00D31FF0" w:rsidRPr="00D31FF0" w14:paraId="75F496ED" w14:textId="77777777" w:rsidTr="00403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02F65B5C" w14:textId="77777777" w:rsidR="00D31FF0" w:rsidRPr="00D31FF0" w:rsidRDefault="00D31FF0" w:rsidP="00D31FF0">
            <w:pPr>
              <w:rPr>
                <w:rFonts w:ascii="Arial" w:hAnsi="Arial" w:cs="Arial"/>
                <w:sz w:val="20"/>
                <w:szCs w:val="20"/>
                <w:lang w:val="en-US"/>
              </w:rPr>
            </w:pPr>
            <w:r w:rsidRPr="00D31FF0">
              <w:rPr>
                <w:rFonts w:ascii="Arial" w:hAnsi="Arial" w:cs="Arial"/>
                <w:sz w:val="20"/>
                <w:szCs w:val="20"/>
                <w:lang w:val="en-US"/>
              </w:rPr>
              <w:t>Cyclic VGB3/VEGFR2</w:t>
            </w:r>
          </w:p>
        </w:tc>
        <w:tc>
          <w:tcPr>
            <w:tcW w:w="1842" w:type="dxa"/>
          </w:tcPr>
          <w:p w14:paraId="401B829B" w14:textId="77777777" w:rsidR="00D31FF0" w:rsidRPr="00D31FF0" w:rsidRDefault="00D31FF0" w:rsidP="00D31F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31FF0">
              <w:rPr>
                <w:rFonts w:ascii="Arial" w:hAnsi="Arial" w:cs="Arial"/>
                <w:sz w:val="20"/>
                <w:szCs w:val="20"/>
                <w:lang w:val="en-US"/>
              </w:rPr>
              <w:t>C2 with Val135</w:t>
            </w:r>
          </w:p>
          <w:p w14:paraId="7A6E5843" w14:textId="77777777" w:rsidR="00D31FF0" w:rsidRPr="00D31FF0" w:rsidRDefault="00D31FF0" w:rsidP="00D31F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31FF0">
              <w:rPr>
                <w:rFonts w:ascii="Arial" w:hAnsi="Arial" w:cs="Arial"/>
                <w:sz w:val="20"/>
                <w:szCs w:val="20"/>
                <w:lang w:val="en-US"/>
              </w:rPr>
              <w:t>D6 with Thr145</w:t>
            </w:r>
          </w:p>
          <w:p w14:paraId="763CFF04" w14:textId="77777777" w:rsidR="00D31FF0" w:rsidRPr="00D31FF0" w:rsidRDefault="00D31FF0" w:rsidP="00D31F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31FF0">
              <w:rPr>
                <w:rFonts w:ascii="Arial" w:hAnsi="Arial" w:cs="Arial"/>
                <w:sz w:val="20"/>
                <w:szCs w:val="20"/>
                <w:lang w:val="en-US"/>
              </w:rPr>
              <w:t>D6 with Lys144</w:t>
            </w:r>
          </w:p>
          <w:p w14:paraId="1D104640" w14:textId="77777777" w:rsidR="00D31FF0" w:rsidRPr="00D31FF0" w:rsidRDefault="00D31FF0" w:rsidP="00D31F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31FF0">
              <w:rPr>
                <w:rFonts w:ascii="Arial" w:hAnsi="Arial" w:cs="Arial"/>
                <w:sz w:val="20"/>
                <w:szCs w:val="20"/>
                <w:lang w:val="en-US"/>
              </w:rPr>
              <w:t>D7 with Ser189</w:t>
            </w:r>
          </w:p>
          <w:p w14:paraId="1463BA3A" w14:textId="77777777" w:rsidR="00D31FF0" w:rsidRPr="00D31FF0" w:rsidRDefault="00D31FF0" w:rsidP="00D31F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31FF0">
              <w:rPr>
                <w:rFonts w:ascii="Arial" w:hAnsi="Arial" w:cs="Arial"/>
                <w:sz w:val="20"/>
                <w:szCs w:val="20"/>
                <w:lang w:val="en-US"/>
              </w:rPr>
              <w:t>D7 with Thr145</w:t>
            </w:r>
          </w:p>
          <w:p w14:paraId="50EC06A8" w14:textId="77777777" w:rsidR="00D31FF0" w:rsidRPr="00D31FF0" w:rsidRDefault="00D31FF0" w:rsidP="00D31F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31FF0">
              <w:rPr>
                <w:rFonts w:ascii="Arial" w:hAnsi="Arial" w:cs="Arial"/>
                <w:sz w:val="20"/>
                <w:szCs w:val="20"/>
                <w:lang w:val="en-US"/>
              </w:rPr>
              <w:t>D7 with Lys144</w:t>
            </w:r>
          </w:p>
          <w:p w14:paraId="09C82EBB" w14:textId="77777777" w:rsidR="00D31FF0" w:rsidRPr="00D31FF0" w:rsidRDefault="00D31FF0" w:rsidP="00D31F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p w14:paraId="5FB56B49" w14:textId="77777777" w:rsidR="00D31FF0" w:rsidRPr="00D31FF0" w:rsidRDefault="00D31FF0" w:rsidP="00D31F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31FF0">
              <w:rPr>
                <w:rFonts w:ascii="Arial" w:hAnsi="Arial" w:cs="Arial"/>
                <w:sz w:val="20"/>
                <w:szCs w:val="20"/>
                <w:lang w:val="en-US"/>
              </w:rPr>
              <w:t>G8 with Tyr137</w:t>
            </w:r>
          </w:p>
          <w:p w14:paraId="4DE1C7EE" w14:textId="77777777" w:rsidR="00D31FF0" w:rsidRPr="00D31FF0" w:rsidRDefault="00D31FF0" w:rsidP="00D31F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31FF0">
              <w:rPr>
                <w:rFonts w:ascii="Arial" w:hAnsi="Arial" w:cs="Arial"/>
                <w:sz w:val="20"/>
                <w:szCs w:val="20"/>
                <w:lang w:val="en-US"/>
              </w:rPr>
              <w:t>L9 with Tyr137</w:t>
            </w:r>
          </w:p>
          <w:p w14:paraId="69BFCB54" w14:textId="77777777" w:rsidR="00D31FF0" w:rsidRPr="00D31FF0" w:rsidRDefault="00D31FF0" w:rsidP="00D31F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p w14:paraId="7DE8357F" w14:textId="77777777" w:rsidR="00D31FF0" w:rsidRPr="00D31FF0" w:rsidRDefault="00D31FF0" w:rsidP="00D31F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31FF0">
              <w:rPr>
                <w:rFonts w:ascii="Arial" w:hAnsi="Arial" w:cs="Arial"/>
                <w:sz w:val="20"/>
                <w:szCs w:val="20"/>
                <w:lang w:val="en-US"/>
              </w:rPr>
              <w:t>C10 with Val135</w:t>
            </w:r>
          </w:p>
          <w:p w14:paraId="50593D20" w14:textId="77777777" w:rsidR="00D31FF0" w:rsidRPr="00D31FF0" w:rsidRDefault="00D31FF0" w:rsidP="00D31F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c>
          <w:tcPr>
            <w:tcW w:w="1756" w:type="dxa"/>
          </w:tcPr>
          <w:p w14:paraId="0A8AD55C" w14:textId="77777777" w:rsidR="00D31FF0" w:rsidRPr="00D31FF0" w:rsidRDefault="00D31FF0" w:rsidP="00D31F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31FF0">
              <w:rPr>
                <w:rFonts w:ascii="Arial" w:hAnsi="Arial" w:cs="Arial"/>
                <w:sz w:val="20"/>
                <w:szCs w:val="20"/>
                <w:lang w:val="en-US"/>
              </w:rPr>
              <w:t>4.80</w:t>
            </w:r>
          </w:p>
          <w:p w14:paraId="0B27F102" w14:textId="77777777" w:rsidR="00D31FF0" w:rsidRPr="00D31FF0" w:rsidRDefault="00D31FF0" w:rsidP="00D31F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31FF0">
              <w:rPr>
                <w:rFonts w:ascii="Arial" w:hAnsi="Arial" w:cs="Arial"/>
                <w:sz w:val="20"/>
                <w:szCs w:val="20"/>
                <w:lang w:val="en-US"/>
              </w:rPr>
              <w:t>3.11</w:t>
            </w:r>
          </w:p>
          <w:p w14:paraId="16559140" w14:textId="77777777" w:rsidR="00D31FF0" w:rsidRPr="00D31FF0" w:rsidRDefault="00D31FF0" w:rsidP="00D31F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31FF0">
              <w:rPr>
                <w:rFonts w:ascii="Arial" w:hAnsi="Arial" w:cs="Arial"/>
                <w:sz w:val="20"/>
                <w:szCs w:val="20"/>
                <w:lang w:val="en-US"/>
              </w:rPr>
              <w:t>2.67</w:t>
            </w:r>
          </w:p>
          <w:p w14:paraId="6BB20E94" w14:textId="77777777" w:rsidR="00D31FF0" w:rsidRPr="00D31FF0" w:rsidRDefault="00D31FF0" w:rsidP="00D31F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31FF0">
              <w:rPr>
                <w:rFonts w:ascii="Arial" w:hAnsi="Arial" w:cs="Arial"/>
                <w:sz w:val="20"/>
                <w:szCs w:val="20"/>
                <w:lang w:val="en-US"/>
              </w:rPr>
              <w:t>2.65</w:t>
            </w:r>
          </w:p>
          <w:p w14:paraId="28E624CD" w14:textId="77777777" w:rsidR="00D31FF0" w:rsidRPr="00D31FF0" w:rsidRDefault="00D31FF0" w:rsidP="00D31F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31FF0">
              <w:rPr>
                <w:rFonts w:ascii="Arial" w:hAnsi="Arial" w:cs="Arial"/>
                <w:sz w:val="20"/>
                <w:szCs w:val="20"/>
                <w:lang w:val="en-US"/>
              </w:rPr>
              <w:t>3.80</w:t>
            </w:r>
          </w:p>
          <w:p w14:paraId="201E88A4" w14:textId="77777777" w:rsidR="00D31FF0" w:rsidRPr="00D31FF0" w:rsidRDefault="00D31FF0" w:rsidP="00D31F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31FF0">
              <w:rPr>
                <w:rFonts w:ascii="Arial" w:hAnsi="Arial" w:cs="Arial"/>
                <w:sz w:val="20"/>
                <w:szCs w:val="20"/>
                <w:lang w:val="en-US"/>
              </w:rPr>
              <w:t>3.35</w:t>
            </w:r>
          </w:p>
          <w:p w14:paraId="4E6CCFF2" w14:textId="77777777" w:rsidR="00D31FF0" w:rsidRPr="00D31FF0" w:rsidRDefault="00D31FF0" w:rsidP="00D31F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31FF0">
              <w:rPr>
                <w:rFonts w:ascii="Arial" w:hAnsi="Arial" w:cs="Arial"/>
                <w:sz w:val="20"/>
                <w:szCs w:val="20"/>
                <w:lang w:val="en-US"/>
              </w:rPr>
              <w:t>2.92</w:t>
            </w:r>
          </w:p>
          <w:p w14:paraId="3F7264FC" w14:textId="77777777" w:rsidR="00D31FF0" w:rsidRPr="00D31FF0" w:rsidRDefault="00D31FF0" w:rsidP="00D31F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31FF0">
              <w:rPr>
                <w:rFonts w:ascii="Arial" w:hAnsi="Arial" w:cs="Arial"/>
                <w:sz w:val="20"/>
                <w:szCs w:val="20"/>
                <w:lang w:val="en-US"/>
              </w:rPr>
              <w:t>3.20</w:t>
            </w:r>
          </w:p>
          <w:p w14:paraId="2298EADF" w14:textId="77777777" w:rsidR="00D31FF0" w:rsidRPr="00D31FF0" w:rsidRDefault="00D31FF0" w:rsidP="00D31F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31FF0">
              <w:rPr>
                <w:rFonts w:ascii="Arial" w:hAnsi="Arial" w:cs="Arial"/>
                <w:sz w:val="20"/>
                <w:szCs w:val="20"/>
                <w:lang w:val="en-US"/>
              </w:rPr>
              <w:t>3.30</w:t>
            </w:r>
          </w:p>
          <w:p w14:paraId="5F771FE3" w14:textId="77777777" w:rsidR="00D31FF0" w:rsidRPr="00D31FF0" w:rsidRDefault="00D31FF0" w:rsidP="00D31F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31FF0">
              <w:rPr>
                <w:rFonts w:ascii="Arial" w:hAnsi="Arial" w:cs="Arial"/>
                <w:sz w:val="20"/>
                <w:szCs w:val="20"/>
                <w:lang w:val="en-US"/>
              </w:rPr>
              <w:t>2.69</w:t>
            </w:r>
          </w:p>
          <w:p w14:paraId="780F2E1D" w14:textId="77777777" w:rsidR="00D31FF0" w:rsidRPr="00D31FF0" w:rsidRDefault="00D31FF0" w:rsidP="00D31F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31FF0">
              <w:rPr>
                <w:rFonts w:ascii="Arial" w:hAnsi="Arial" w:cs="Arial"/>
                <w:sz w:val="20"/>
                <w:szCs w:val="20"/>
                <w:lang w:val="en-US"/>
              </w:rPr>
              <w:t>3.43</w:t>
            </w:r>
          </w:p>
          <w:p w14:paraId="796908E4" w14:textId="77777777" w:rsidR="00D31FF0" w:rsidRPr="00D31FF0" w:rsidRDefault="00D31FF0" w:rsidP="00D31FF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c>
          <w:tcPr>
            <w:tcW w:w="2882" w:type="dxa"/>
          </w:tcPr>
          <w:p w14:paraId="4D87047E" w14:textId="77777777" w:rsidR="00D31FF0" w:rsidRPr="00D31FF0" w:rsidRDefault="00D31FF0" w:rsidP="00D31F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D31FF0">
              <w:rPr>
                <w:rFonts w:ascii="Arial" w:hAnsi="Arial" w:cs="Arial"/>
                <w:sz w:val="20"/>
                <w:szCs w:val="20"/>
                <w:u w:val="single"/>
                <w:lang w:val="en-US"/>
              </w:rPr>
              <w:t>Ligand</w:t>
            </w:r>
          </w:p>
          <w:p w14:paraId="4FC444BE" w14:textId="77777777" w:rsidR="00D31FF0" w:rsidRPr="00D31FF0" w:rsidRDefault="00D31FF0" w:rsidP="00D31F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31FF0">
              <w:rPr>
                <w:rFonts w:ascii="Arial" w:hAnsi="Arial" w:cs="Arial"/>
                <w:sz w:val="20"/>
                <w:szCs w:val="20"/>
                <w:lang w:val="en-US"/>
              </w:rPr>
              <w:t>C2, R3, P5, D6, D7, G8, L9, C10</w:t>
            </w:r>
          </w:p>
          <w:p w14:paraId="378E073D" w14:textId="77777777" w:rsidR="00D31FF0" w:rsidRPr="00D31FF0" w:rsidRDefault="00D31FF0" w:rsidP="00D31F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p w14:paraId="5EB87D4F" w14:textId="77777777" w:rsidR="00D31FF0" w:rsidRPr="00D31FF0" w:rsidRDefault="00D31FF0" w:rsidP="00D31F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D31FF0">
              <w:rPr>
                <w:rFonts w:ascii="Arial" w:hAnsi="Arial" w:cs="Arial"/>
                <w:sz w:val="20"/>
                <w:szCs w:val="20"/>
                <w:u w:val="single"/>
                <w:lang w:val="en-US"/>
              </w:rPr>
              <w:t>Receptor</w:t>
            </w:r>
          </w:p>
          <w:p w14:paraId="66AC2AD8" w14:textId="77777777" w:rsidR="00D31FF0" w:rsidRPr="00D31FF0" w:rsidRDefault="00D31FF0" w:rsidP="00D31F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31FF0">
              <w:rPr>
                <w:rFonts w:ascii="Arial" w:hAnsi="Arial" w:cs="Arial"/>
                <w:sz w:val="20"/>
                <w:szCs w:val="20"/>
                <w:lang w:val="en-US"/>
              </w:rPr>
              <w:t>Val135, Val136, Tyr137, Ile138, Thr139, Lys142, Lys144, Thr145, Val146,Val147, Pro149</w:t>
            </w:r>
          </w:p>
        </w:tc>
      </w:tr>
      <w:tr w:rsidR="00D31FF0" w:rsidRPr="00D31FF0" w14:paraId="0764E560" w14:textId="77777777" w:rsidTr="00403BE0">
        <w:tc>
          <w:tcPr>
            <w:cnfStyle w:val="001000000000" w:firstRow="0" w:lastRow="0" w:firstColumn="1" w:lastColumn="0" w:oddVBand="0" w:evenVBand="0" w:oddHBand="0" w:evenHBand="0" w:firstRowFirstColumn="0" w:firstRowLastColumn="0" w:lastRowFirstColumn="0" w:lastRowLastColumn="0"/>
            <w:tcW w:w="2250" w:type="dxa"/>
          </w:tcPr>
          <w:p w14:paraId="434F08F8" w14:textId="77777777" w:rsidR="00D31FF0" w:rsidRPr="00D31FF0" w:rsidRDefault="00D31FF0" w:rsidP="00D31FF0">
            <w:pPr>
              <w:rPr>
                <w:rFonts w:ascii="Arial" w:hAnsi="Arial" w:cs="Arial"/>
                <w:sz w:val="20"/>
                <w:szCs w:val="20"/>
                <w:lang w:val="en-US"/>
              </w:rPr>
            </w:pPr>
            <w:r w:rsidRPr="00D31FF0">
              <w:rPr>
                <w:rFonts w:ascii="Arial" w:hAnsi="Arial" w:cs="Arial"/>
                <w:sz w:val="20"/>
                <w:szCs w:val="20"/>
                <w:lang w:val="en-US"/>
              </w:rPr>
              <w:t>Linear VGB3/VEGFR2</w:t>
            </w:r>
          </w:p>
        </w:tc>
        <w:tc>
          <w:tcPr>
            <w:tcW w:w="1842" w:type="dxa"/>
          </w:tcPr>
          <w:p w14:paraId="4A17EA22" w14:textId="77777777" w:rsidR="00D31FF0" w:rsidRPr="00D31FF0" w:rsidRDefault="00D31FF0" w:rsidP="00D31FF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31FF0">
              <w:rPr>
                <w:rFonts w:ascii="Arial" w:hAnsi="Arial" w:cs="Arial"/>
                <w:sz w:val="20"/>
                <w:szCs w:val="20"/>
                <w:lang w:val="en-US"/>
              </w:rPr>
              <w:t>D6 with Leu151 D6 with Ser153</w:t>
            </w:r>
          </w:p>
        </w:tc>
        <w:tc>
          <w:tcPr>
            <w:tcW w:w="1756" w:type="dxa"/>
          </w:tcPr>
          <w:p w14:paraId="127E049A" w14:textId="77777777" w:rsidR="00D31FF0" w:rsidRPr="00D31FF0" w:rsidRDefault="00D31FF0" w:rsidP="00D31FF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31FF0">
              <w:rPr>
                <w:rFonts w:ascii="Arial" w:hAnsi="Arial" w:cs="Arial"/>
                <w:sz w:val="20"/>
                <w:szCs w:val="20"/>
                <w:lang w:val="en-US"/>
              </w:rPr>
              <w:t>3.16</w:t>
            </w:r>
          </w:p>
          <w:p w14:paraId="07835127" w14:textId="77777777" w:rsidR="00D31FF0" w:rsidRPr="00D31FF0" w:rsidRDefault="00D31FF0" w:rsidP="00D31FF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31FF0">
              <w:rPr>
                <w:rFonts w:ascii="Arial" w:hAnsi="Arial" w:cs="Arial"/>
                <w:sz w:val="20"/>
                <w:szCs w:val="20"/>
                <w:lang w:val="en-US"/>
              </w:rPr>
              <w:t>2.72</w:t>
            </w:r>
          </w:p>
        </w:tc>
        <w:tc>
          <w:tcPr>
            <w:tcW w:w="2882" w:type="dxa"/>
          </w:tcPr>
          <w:p w14:paraId="53CD0A67" w14:textId="77777777" w:rsidR="00D31FF0" w:rsidRPr="00D31FF0" w:rsidRDefault="00D31FF0" w:rsidP="00D31FF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31FF0">
              <w:rPr>
                <w:rFonts w:ascii="Arial" w:hAnsi="Arial" w:cs="Arial"/>
                <w:sz w:val="20"/>
                <w:szCs w:val="20"/>
                <w:u w:val="single"/>
                <w:lang w:val="en-US"/>
              </w:rPr>
              <w:t>Ligand</w:t>
            </w:r>
          </w:p>
          <w:p w14:paraId="7C14E4F6" w14:textId="77777777" w:rsidR="00D31FF0" w:rsidRPr="00D31FF0" w:rsidRDefault="00D31FF0" w:rsidP="00D31FF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31FF0">
              <w:rPr>
                <w:rFonts w:ascii="Arial" w:hAnsi="Arial" w:cs="Arial"/>
                <w:sz w:val="20"/>
                <w:szCs w:val="20"/>
                <w:lang w:val="en-US"/>
              </w:rPr>
              <w:t>P4, P5, D6, D7, G8, L9</w:t>
            </w:r>
          </w:p>
          <w:p w14:paraId="48A09F83" w14:textId="77777777" w:rsidR="00D31FF0" w:rsidRPr="00D31FF0" w:rsidRDefault="00D31FF0" w:rsidP="00D31FF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p w14:paraId="55143F07" w14:textId="77777777" w:rsidR="00D31FF0" w:rsidRPr="00D31FF0" w:rsidRDefault="00D31FF0" w:rsidP="00D31FF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r w:rsidRPr="00D31FF0">
              <w:rPr>
                <w:rFonts w:ascii="Arial" w:hAnsi="Arial" w:cs="Arial"/>
                <w:sz w:val="20"/>
                <w:szCs w:val="20"/>
                <w:u w:val="single"/>
                <w:lang w:val="en-US"/>
              </w:rPr>
              <w:t>Receptor</w:t>
            </w:r>
          </w:p>
          <w:p w14:paraId="04C2D29A" w14:textId="77777777" w:rsidR="00D31FF0" w:rsidRPr="00D31FF0" w:rsidRDefault="00D31FF0" w:rsidP="00D31FF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31FF0">
              <w:rPr>
                <w:rFonts w:ascii="Arial" w:hAnsi="Arial" w:cs="Arial"/>
                <w:sz w:val="20"/>
                <w:szCs w:val="20"/>
                <w:lang w:val="en-US"/>
              </w:rPr>
              <w:t>Pro149, Cys150, Leu151, Gly152, Ser153, Val159, Tyr209, Ser211</w:t>
            </w:r>
          </w:p>
          <w:p w14:paraId="4116165E" w14:textId="77777777" w:rsidR="00D31FF0" w:rsidRPr="00D31FF0" w:rsidRDefault="00D31FF0" w:rsidP="00D31FF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bl>
    <w:p w14:paraId="1EE8A018" w14:textId="25974BD4" w:rsidR="00ED5426" w:rsidRDefault="00ED5426" w:rsidP="002E327E">
      <w:pPr>
        <w:spacing w:after="240" w:line="240" w:lineRule="auto"/>
        <w:rPr>
          <w:rFonts w:asciiTheme="majorBidi" w:eastAsia="Times New Roman" w:hAnsiTheme="majorBidi" w:cstheme="majorBidi"/>
          <w:color w:val="000000"/>
          <w:lang w:eastAsia="nl-NL"/>
        </w:rPr>
      </w:pPr>
    </w:p>
    <w:p w14:paraId="5D528239" w14:textId="77777777" w:rsidR="00D41EE7" w:rsidRPr="00B82D59" w:rsidRDefault="00D41EE7" w:rsidP="00ED5426">
      <w:pPr>
        <w:spacing w:after="240" w:line="240" w:lineRule="auto"/>
        <w:jc w:val="center"/>
        <w:rPr>
          <w:rFonts w:ascii="Arial" w:eastAsia="Times New Roman" w:hAnsi="Arial" w:cs="Arial"/>
          <w:sz w:val="24"/>
          <w:szCs w:val="24"/>
          <w:lang w:val="en-US" w:eastAsia="nl-NL"/>
        </w:rPr>
      </w:pPr>
      <w:r w:rsidRPr="00B82D59">
        <w:rPr>
          <w:rFonts w:ascii="Arial" w:eastAsia="Times New Roman" w:hAnsi="Arial" w:cs="Arial"/>
          <w:b/>
          <w:bCs/>
          <w:color w:val="000000"/>
          <w:sz w:val="24"/>
          <w:szCs w:val="24"/>
          <w:lang w:eastAsia="nl-NL"/>
        </w:rPr>
        <w:t>Table S</w:t>
      </w:r>
      <w:r w:rsidR="00ED5426" w:rsidRPr="00B82D59">
        <w:rPr>
          <w:rFonts w:ascii="Arial" w:eastAsia="Times New Roman" w:hAnsi="Arial" w:cs="Arial"/>
          <w:b/>
          <w:bCs/>
          <w:color w:val="000000"/>
          <w:sz w:val="24"/>
          <w:szCs w:val="24"/>
          <w:lang w:eastAsia="nl-NL"/>
        </w:rPr>
        <w:t>2.</w:t>
      </w:r>
      <w:r w:rsidR="00ED5426" w:rsidRPr="00B82D59">
        <w:rPr>
          <w:rFonts w:ascii="Arial" w:eastAsia="Times New Roman" w:hAnsi="Arial" w:cs="Arial"/>
          <w:color w:val="000000"/>
          <w:sz w:val="24"/>
          <w:szCs w:val="24"/>
          <w:lang w:eastAsia="nl-NL"/>
        </w:rPr>
        <w:t xml:space="preserve"> </w:t>
      </w:r>
      <w:r w:rsidRPr="00B82D59">
        <w:rPr>
          <w:rFonts w:ascii="Arial" w:eastAsia="Times New Roman" w:hAnsi="Arial" w:cs="Arial"/>
          <w:color w:val="000000"/>
          <w:sz w:val="24"/>
          <w:szCs w:val="24"/>
          <w:lang w:eastAsia="nl-NL"/>
        </w:rPr>
        <w:t>Peptide purification</w:t>
      </w:r>
    </w:p>
    <w:tbl>
      <w:tblPr>
        <w:tblStyle w:val="GridTable5Dark-Accent5"/>
        <w:tblW w:w="0" w:type="auto"/>
        <w:jc w:val="center"/>
        <w:tblLook w:val="04A0" w:firstRow="1" w:lastRow="0" w:firstColumn="1" w:lastColumn="0" w:noHBand="0" w:noVBand="1"/>
      </w:tblPr>
      <w:tblGrid>
        <w:gridCol w:w="766"/>
        <w:gridCol w:w="1555"/>
        <w:gridCol w:w="1274"/>
        <w:gridCol w:w="595"/>
        <w:gridCol w:w="583"/>
      </w:tblGrid>
      <w:tr w:rsidR="00D41EE7" w:rsidRPr="00934CE6" w14:paraId="2896E68A" w14:textId="77777777" w:rsidTr="00201D0C">
        <w:trPr>
          <w:cnfStyle w:val="100000000000" w:firstRow="1" w:lastRow="0" w:firstColumn="0" w:lastColumn="0" w:oddVBand="0" w:evenVBand="0" w:oddHBand="0"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5AA5D0" w14:textId="77777777" w:rsidR="00D41EE7" w:rsidRPr="00934CE6" w:rsidRDefault="00D41EE7" w:rsidP="0060674B">
            <w:pPr>
              <w:jc w:val="center"/>
              <w:rPr>
                <w:rFonts w:asciiTheme="majorBidi" w:eastAsia="Times New Roman" w:hAnsiTheme="majorBidi" w:cstheme="majorBidi"/>
                <w:lang w:eastAsia="nl-NL"/>
              </w:rPr>
            </w:pPr>
            <w:r w:rsidRPr="00934CE6">
              <w:rPr>
                <w:rFonts w:asciiTheme="majorBidi" w:eastAsia="Times New Roman" w:hAnsiTheme="majorBidi" w:cstheme="majorBidi"/>
                <w:color w:val="FFFFFF"/>
                <w:lang w:eastAsia="nl-NL"/>
              </w:rPr>
              <w:t>Entry</w:t>
            </w:r>
          </w:p>
        </w:tc>
        <w:tc>
          <w:tcPr>
            <w:tcW w:w="0" w:type="auto"/>
            <w:hideMark/>
          </w:tcPr>
          <w:p w14:paraId="4D9805FC" w14:textId="77777777" w:rsidR="00D41EE7" w:rsidRPr="00934CE6" w:rsidRDefault="00D41EE7" w:rsidP="0060674B">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FFFFFF"/>
                <w:lang w:eastAsia="nl-NL"/>
              </w:rPr>
              <w:t>Flow (ml/min)</w:t>
            </w:r>
          </w:p>
        </w:tc>
        <w:tc>
          <w:tcPr>
            <w:tcW w:w="0" w:type="auto"/>
            <w:hideMark/>
          </w:tcPr>
          <w:p w14:paraId="5C2A8430" w14:textId="77777777" w:rsidR="00D41EE7" w:rsidRPr="00934CE6" w:rsidRDefault="00D41EE7" w:rsidP="0060674B">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FFFFFF"/>
                <w:lang w:eastAsia="nl-NL"/>
              </w:rPr>
              <w:t>Time (min)</w:t>
            </w:r>
          </w:p>
        </w:tc>
        <w:tc>
          <w:tcPr>
            <w:tcW w:w="0" w:type="auto"/>
            <w:hideMark/>
          </w:tcPr>
          <w:p w14:paraId="661E1800" w14:textId="77777777" w:rsidR="00D41EE7" w:rsidRPr="00934CE6" w:rsidRDefault="00D41EE7" w:rsidP="0060674B">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FFFFFF"/>
                <w:lang w:eastAsia="nl-NL"/>
              </w:rPr>
              <w:t>A%</w:t>
            </w:r>
          </w:p>
        </w:tc>
        <w:tc>
          <w:tcPr>
            <w:tcW w:w="0" w:type="auto"/>
            <w:hideMark/>
          </w:tcPr>
          <w:p w14:paraId="2B8BADCA" w14:textId="77777777" w:rsidR="00D41EE7" w:rsidRPr="00934CE6" w:rsidRDefault="00D41EE7" w:rsidP="0060674B">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FFFFFF"/>
                <w:lang w:eastAsia="nl-NL"/>
              </w:rPr>
              <w:t>B%</w:t>
            </w:r>
          </w:p>
        </w:tc>
      </w:tr>
      <w:tr w:rsidR="00D41EE7" w:rsidRPr="00934CE6" w14:paraId="36BB715C" w14:textId="77777777" w:rsidTr="00201D0C">
        <w:trPr>
          <w:cnfStyle w:val="000000100000" w:firstRow="0" w:lastRow="0" w:firstColumn="0" w:lastColumn="0" w:oddVBand="0" w:evenVBand="0" w:oddHBand="1"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01712E6" w14:textId="77777777" w:rsidR="00D41EE7" w:rsidRPr="00934CE6" w:rsidRDefault="00D41EE7" w:rsidP="0060674B">
            <w:pPr>
              <w:jc w:val="center"/>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1</w:t>
            </w:r>
          </w:p>
        </w:tc>
        <w:tc>
          <w:tcPr>
            <w:tcW w:w="0" w:type="auto"/>
            <w:hideMark/>
          </w:tcPr>
          <w:p w14:paraId="503CE86E" w14:textId="77777777" w:rsidR="00D41EE7" w:rsidRPr="00934CE6" w:rsidRDefault="00D41EE7" w:rsidP="0060674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10</w:t>
            </w:r>
          </w:p>
        </w:tc>
        <w:tc>
          <w:tcPr>
            <w:tcW w:w="0" w:type="auto"/>
            <w:hideMark/>
          </w:tcPr>
          <w:p w14:paraId="4BADACDC" w14:textId="77777777" w:rsidR="00D41EE7" w:rsidRPr="00934CE6" w:rsidRDefault="00D41EE7" w:rsidP="0060674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0</w:t>
            </w:r>
          </w:p>
        </w:tc>
        <w:tc>
          <w:tcPr>
            <w:tcW w:w="0" w:type="auto"/>
            <w:hideMark/>
          </w:tcPr>
          <w:p w14:paraId="60CD5926" w14:textId="77777777" w:rsidR="00D41EE7" w:rsidRPr="00934CE6" w:rsidRDefault="00D41EE7" w:rsidP="0060674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95</w:t>
            </w:r>
          </w:p>
        </w:tc>
        <w:tc>
          <w:tcPr>
            <w:tcW w:w="0" w:type="auto"/>
            <w:hideMark/>
          </w:tcPr>
          <w:p w14:paraId="40E1EFDB" w14:textId="77777777" w:rsidR="00D41EE7" w:rsidRPr="00934CE6" w:rsidRDefault="00D41EE7" w:rsidP="0060674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5</w:t>
            </w:r>
          </w:p>
        </w:tc>
      </w:tr>
      <w:tr w:rsidR="00D41EE7" w:rsidRPr="00934CE6" w14:paraId="25B8A555" w14:textId="77777777" w:rsidTr="00201D0C">
        <w:trPr>
          <w:trHeight w:val="68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FF8B73B" w14:textId="77777777" w:rsidR="00D41EE7" w:rsidRPr="00934CE6" w:rsidRDefault="00D41EE7" w:rsidP="0060674B">
            <w:pPr>
              <w:jc w:val="center"/>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2</w:t>
            </w:r>
          </w:p>
        </w:tc>
        <w:tc>
          <w:tcPr>
            <w:tcW w:w="0" w:type="auto"/>
            <w:hideMark/>
          </w:tcPr>
          <w:p w14:paraId="139A1FFD" w14:textId="77777777" w:rsidR="00D41EE7" w:rsidRPr="00934CE6" w:rsidRDefault="00D41EE7" w:rsidP="0060674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10</w:t>
            </w:r>
          </w:p>
        </w:tc>
        <w:tc>
          <w:tcPr>
            <w:tcW w:w="0" w:type="auto"/>
            <w:hideMark/>
          </w:tcPr>
          <w:p w14:paraId="1AC9E050" w14:textId="77777777" w:rsidR="00D41EE7" w:rsidRPr="00934CE6" w:rsidRDefault="00D41EE7" w:rsidP="0060674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5</w:t>
            </w:r>
          </w:p>
        </w:tc>
        <w:tc>
          <w:tcPr>
            <w:tcW w:w="0" w:type="auto"/>
            <w:hideMark/>
          </w:tcPr>
          <w:p w14:paraId="4DAF27C4" w14:textId="77777777" w:rsidR="00D41EE7" w:rsidRPr="00934CE6" w:rsidRDefault="00D41EE7" w:rsidP="0060674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95</w:t>
            </w:r>
          </w:p>
        </w:tc>
        <w:tc>
          <w:tcPr>
            <w:tcW w:w="0" w:type="auto"/>
            <w:hideMark/>
          </w:tcPr>
          <w:p w14:paraId="539567B6" w14:textId="77777777" w:rsidR="00D41EE7" w:rsidRPr="00934CE6" w:rsidRDefault="00D41EE7" w:rsidP="0060674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5</w:t>
            </w:r>
          </w:p>
        </w:tc>
      </w:tr>
      <w:tr w:rsidR="00D41EE7" w:rsidRPr="00934CE6" w14:paraId="7590E08A" w14:textId="77777777" w:rsidTr="00201D0C">
        <w:trPr>
          <w:cnfStyle w:val="000000100000" w:firstRow="0" w:lastRow="0" w:firstColumn="0" w:lastColumn="0" w:oddVBand="0" w:evenVBand="0" w:oddHBand="1"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7AB7D27" w14:textId="77777777" w:rsidR="00D41EE7" w:rsidRPr="00934CE6" w:rsidRDefault="00D41EE7" w:rsidP="0060674B">
            <w:pPr>
              <w:jc w:val="center"/>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3</w:t>
            </w:r>
          </w:p>
        </w:tc>
        <w:tc>
          <w:tcPr>
            <w:tcW w:w="0" w:type="auto"/>
            <w:hideMark/>
          </w:tcPr>
          <w:p w14:paraId="48ED21C0" w14:textId="77777777" w:rsidR="00D41EE7" w:rsidRPr="00934CE6" w:rsidRDefault="00D41EE7" w:rsidP="0060674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10</w:t>
            </w:r>
          </w:p>
        </w:tc>
        <w:tc>
          <w:tcPr>
            <w:tcW w:w="0" w:type="auto"/>
            <w:hideMark/>
          </w:tcPr>
          <w:p w14:paraId="4C34A1C2" w14:textId="77777777" w:rsidR="00D41EE7" w:rsidRPr="00934CE6" w:rsidRDefault="00D41EE7" w:rsidP="0060674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65</w:t>
            </w:r>
          </w:p>
        </w:tc>
        <w:tc>
          <w:tcPr>
            <w:tcW w:w="0" w:type="auto"/>
            <w:hideMark/>
          </w:tcPr>
          <w:p w14:paraId="1A2E759B" w14:textId="77777777" w:rsidR="00D41EE7" w:rsidRPr="00934CE6" w:rsidRDefault="00D41EE7" w:rsidP="0060674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45</w:t>
            </w:r>
          </w:p>
        </w:tc>
        <w:tc>
          <w:tcPr>
            <w:tcW w:w="0" w:type="auto"/>
            <w:hideMark/>
          </w:tcPr>
          <w:p w14:paraId="036284E4" w14:textId="77777777" w:rsidR="00D41EE7" w:rsidRPr="00934CE6" w:rsidRDefault="00D41EE7" w:rsidP="0060674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55</w:t>
            </w:r>
          </w:p>
        </w:tc>
      </w:tr>
      <w:tr w:rsidR="00D41EE7" w:rsidRPr="00934CE6" w14:paraId="15C38F36" w14:textId="77777777" w:rsidTr="00201D0C">
        <w:trPr>
          <w:trHeight w:val="68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202F36F" w14:textId="77777777" w:rsidR="00D41EE7" w:rsidRPr="00934CE6" w:rsidRDefault="00D41EE7" w:rsidP="0060674B">
            <w:pPr>
              <w:jc w:val="center"/>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4</w:t>
            </w:r>
          </w:p>
        </w:tc>
        <w:tc>
          <w:tcPr>
            <w:tcW w:w="0" w:type="auto"/>
            <w:hideMark/>
          </w:tcPr>
          <w:p w14:paraId="5641D957" w14:textId="77777777" w:rsidR="00D41EE7" w:rsidRPr="00934CE6" w:rsidRDefault="00D41EE7" w:rsidP="0060674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10</w:t>
            </w:r>
          </w:p>
        </w:tc>
        <w:tc>
          <w:tcPr>
            <w:tcW w:w="0" w:type="auto"/>
            <w:hideMark/>
          </w:tcPr>
          <w:p w14:paraId="373BCDA6" w14:textId="77777777" w:rsidR="00D41EE7" w:rsidRPr="00934CE6" w:rsidRDefault="00D41EE7" w:rsidP="0060674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110</w:t>
            </w:r>
          </w:p>
        </w:tc>
        <w:tc>
          <w:tcPr>
            <w:tcW w:w="0" w:type="auto"/>
            <w:hideMark/>
          </w:tcPr>
          <w:p w14:paraId="0C4D3A7D" w14:textId="77777777" w:rsidR="00D41EE7" w:rsidRPr="00934CE6" w:rsidRDefault="00D41EE7" w:rsidP="0060674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0</w:t>
            </w:r>
          </w:p>
        </w:tc>
        <w:tc>
          <w:tcPr>
            <w:tcW w:w="0" w:type="auto"/>
            <w:hideMark/>
          </w:tcPr>
          <w:p w14:paraId="09C99771" w14:textId="77777777" w:rsidR="00D41EE7" w:rsidRPr="00934CE6" w:rsidRDefault="00D41EE7" w:rsidP="0060674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100</w:t>
            </w:r>
          </w:p>
        </w:tc>
      </w:tr>
    </w:tbl>
    <w:p w14:paraId="0A59D733" w14:textId="77777777" w:rsidR="00CD5FC0" w:rsidRPr="00934CE6" w:rsidRDefault="00CD5FC0" w:rsidP="002E327E">
      <w:pPr>
        <w:spacing w:before="240" w:after="240" w:line="240" w:lineRule="auto"/>
        <w:rPr>
          <w:rFonts w:asciiTheme="majorBidi" w:eastAsia="Times New Roman" w:hAnsiTheme="majorBidi" w:cstheme="majorBidi"/>
          <w:color w:val="000000"/>
          <w:lang w:val="en-US" w:eastAsia="nl-NL"/>
        </w:rPr>
      </w:pPr>
    </w:p>
    <w:p w14:paraId="33A16511" w14:textId="30ABFE8A" w:rsidR="00201D0C" w:rsidRDefault="00201D0C" w:rsidP="00ED5426">
      <w:pPr>
        <w:spacing w:before="240" w:after="240" w:line="240" w:lineRule="auto"/>
        <w:jc w:val="center"/>
        <w:rPr>
          <w:rFonts w:asciiTheme="majorBidi" w:eastAsia="Times New Roman" w:hAnsiTheme="majorBidi" w:cstheme="majorBidi"/>
          <w:b/>
          <w:bCs/>
          <w:color w:val="000000"/>
          <w:lang w:val="en-US" w:eastAsia="nl-NL"/>
        </w:rPr>
      </w:pPr>
    </w:p>
    <w:p w14:paraId="5150C91A" w14:textId="33F37F0C" w:rsidR="00B4348B" w:rsidRDefault="00B4348B" w:rsidP="00ED5426">
      <w:pPr>
        <w:spacing w:before="240" w:after="240" w:line="240" w:lineRule="auto"/>
        <w:jc w:val="center"/>
        <w:rPr>
          <w:rFonts w:asciiTheme="majorBidi" w:eastAsia="Times New Roman" w:hAnsiTheme="majorBidi" w:cstheme="majorBidi"/>
          <w:b/>
          <w:bCs/>
          <w:color w:val="000000"/>
          <w:lang w:val="en-US" w:eastAsia="nl-NL"/>
        </w:rPr>
      </w:pPr>
    </w:p>
    <w:p w14:paraId="1F5DCE4C" w14:textId="77777777" w:rsidR="00B4348B" w:rsidRDefault="00B4348B" w:rsidP="00ED5426">
      <w:pPr>
        <w:spacing w:before="240" w:after="240" w:line="240" w:lineRule="auto"/>
        <w:jc w:val="center"/>
        <w:rPr>
          <w:rFonts w:asciiTheme="majorBidi" w:eastAsia="Times New Roman" w:hAnsiTheme="majorBidi" w:cstheme="majorBidi"/>
          <w:b/>
          <w:bCs/>
          <w:color w:val="000000"/>
          <w:lang w:val="en-US" w:eastAsia="nl-NL"/>
        </w:rPr>
      </w:pPr>
    </w:p>
    <w:p w14:paraId="51AF1717" w14:textId="77777777" w:rsidR="00D41EE7" w:rsidRPr="00B82D59" w:rsidRDefault="00D41EE7" w:rsidP="00ED5426">
      <w:pPr>
        <w:spacing w:before="240" w:after="240" w:line="240" w:lineRule="auto"/>
        <w:jc w:val="center"/>
        <w:rPr>
          <w:rFonts w:ascii="Arial" w:eastAsia="Times New Roman" w:hAnsi="Arial" w:cs="Arial"/>
          <w:sz w:val="24"/>
          <w:szCs w:val="24"/>
          <w:lang w:val="en-US" w:eastAsia="nl-NL"/>
        </w:rPr>
      </w:pPr>
      <w:r w:rsidRPr="00B82D59">
        <w:rPr>
          <w:rFonts w:ascii="Arial" w:eastAsia="Times New Roman" w:hAnsi="Arial" w:cs="Arial"/>
          <w:b/>
          <w:bCs/>
          <w:color w:val="000000"/>
          <w:sz w:val="24"/>
          <w:szCs w:val="24"/>
          <w:lang w:val="en-US" w:eastAsia="nl-NL"/>
        </w:rPr>
        <w:lastRenderedPageBreak/>
        <w:t>Table S</w:t>
      </w:r>
      <w:r w:rsidR="00ED5426" w:rsidRPr="00B82D59">
        <w:rPr>
          <w:rFonts w:ascii="Arial" w:eastAsia="Times New Roman" w:hAnsi="Arial" w:cs="Arial"/>
          <w:b/>
          <w:bCs/>
          <w:color w:val="000000"/>
          <w:sz w:val="24"/>
          <w:szCs w:val="24"/>
          <w:lang w:val="en-US" w:eastAsia="nl-NL"/>
        </w:rPr>
        <w:t>3.</w:t>
      </w:r>
      <w:r w:rsidRPr="00B82D59">
        <w:rPr>
          <w:rFonts w:ascii="Arial" w:eastAsia="Times New Roman" w:hAnsi="Arial" w:cs="Arial"/>
          <w:color w:val="000000"/>
          <w:sz w:val="24"/>
          <w:szCs w:val="24"/>
          <w:lang w:val="en-US" w:eastAsia="nl-NL"/>
        </w:rPr>
        <w:t xml:space="preserve"> Analytical RP-HPLC separation</w:t>
      </w:r>
    </w:p>
    <w:tbl>
      <w:tblPr>
        <w:tblStyle w:val="GridTable5Dark-Accent5"/>
        <w:tblW w:w="0" w:type="auto"/>
        <w:jc w:val="center"/>
        <w:tblLook w:val="04A0" w:firstRow="1" w:lastRow="0" w:firstColumn="1" w:lastColumn="0" w:noHBand="0" w:noVBand="1"/>
      </w:tblPr>
      <w:tblGrid>
        <w:gridCol w:w="766"/>
        <w:gridCol w:w="1555"/>
        <w:gridCol w:w="1274"/>
        <w:gridCol w:w="595"/>
        <w:gridCol w:w="583"/>
      </w:tblGrid>
      <w:tr w:rsidR="00D41EE7" w:rsidRPr="00934CE6" w14:paraId="08C847CB" w14:textId="77777777" w:rsidTr="00201D0C">
        <w:trPr>
          <w:cnfStyle w:val="100000000000" w:firstRow="1" w:lastRow="0" w:firstColumn="0" w:lastColumn="0" w:oddVBand="0" w:evenVBand="0" w:oddHBand="0"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515A5FF" w14:textId="77777777" w:rsidR="00D41EE7" w:rsidRPr="00934CE6" w:rsidRDefault="00D41EE7" w:rsidP="0060674B">
            <w:pPr>
              <w:jc w:val="center"/>
              <w:rPr>
                <w:rFonts w:asciiTheme="majorBidi" w:eastAsia="Times New Roman" w:hAnsiTheme="majorBidi" w:cstheme="majorBidi"/>
                <w:lang w:eastAsia="nl-NL"/>
              </w:rPr>
            </w:pPr>
            <w:r w:rsidRPr="00934CE6">
              <w:rPr>
                <w:rFonts w:asciiTheme="majorBidi" w:eastAsia="Times New Roman" w:hAnsiTheme="majorBidi" w:cstheme="majorBidi"/>
                <w:color w:val="FFFFFF"/>
                <w:lang w:eastAsia="nl-NL"/>
              </w:rPr>
              <w:t>Entry</w:t>
            </w:r>
          </w:p>
        </w:tc>
        <w:tc>
          <w:tcPr>
            <w:tcW w:w="0" w:type="auto"/>
            <w:hideMark/>
          </w:tcPr>
          <w:p w14:paraId="6A8DFCE7" w14:textId="77777777" w:rsidR="00D41EE7" w:rsidRPr="00934CE6" w:rsidRDefault="00D41EE7" w:rsidP="0060674B">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FFFFFF"/>
                <w:lang w:eastAsia="nl-NL"/>
              </w:rPr>
              <w:t>Flow (ml/min)</w:t>
            </w:r>
          </w:p>
        </w:tc>
        <w:tc>
          <w:tcPr>
            <w:tcW w:w="0" w:type="auto"/>
            <w:hideMark/>
          </w:tcPr>
          <w:p w14:paraId="642C1EE1" w14:textId="77777777" w:rsidR="00D41EE7" w:rsidRPr="00934CE6" w:rsidRDefault="00D41EE7" w:rsidP="0060674B">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FFFFFF"/>
                <w:lang w:eastAsia="nl-NL"/>
              </w:rPr>
              <w:t>Time (min)</w:t>
            </w:r>
          </w:p>
        </w:tc>
        <w:tc>
          <w:tcPr>
            <w:tcW w:w="0" w:type="auto"/>
            <w:hideMark/>
          </w:tcPr>
          <w:p w14:paraId="0BA98C56" w14:textId="77777777" w:rsidR="00D41EE7" w:rsidRPr="00934CE6" w:rsidRDefault="00D41EE7" w:rsidP="0060674B">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FFFFFF"/>
                <w:lang w:eastAsia="nl-NL"/>
              </w:rPr>
              <w:t>A%</w:t>
            </w:r>
          </w:p>
        </w:tc>
        <w:tc>
          <w:tcPr>
            <w:tcW w:w="0" w:type="auto"/>
            <w:hideMark/>
          </w:tcPr>
          <w:p w14:paraId="0279769E" w14:textId="77777777" w:rsidR="00D41EE7" w:rsidRPr="00934CE6" w:rsidRDefault="00D41EE7" w:rsidP="0060674B">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FFFFFF"/>
                <w:lang w:eastAsia="nl-NL"/>
              </w:rPr>
              <w:t>B%</w:t>
            </w:r>
          </w:p>
        </w:tc>
      </w:tr>
      <w:tr w:rsidR="00D41EE7" w:rsidRPr="00934CE6" w14:paraId="3B53772C" w14:textId="77777777" w:rsidTr="00201D0C">
        <w:trPr>
          <w:cnfStyle w:val="000000100000" w:firstRow="0" w:lastRow="0" w:firstColumn="0" w:lastColumn="0" w:oddVBand="0" w:evenVBand="0" w:oddHBand="1"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676F9AA" w14:textId="77777777" w:rsidR="00D41EE7" w:rsidRPr="00934CE6" w:rsidRDefault="00D41EE7" w:rsidP="0060674B">
            <w:pPr>
              <w:jc w:val="center"/>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1</w:t>
            </w:r>
          </w:p>
        </w:tc>
        <w:tc>
          <w:tcPr>
            <w:tcW w:w="0" w:type="auto"/>
            <w:hideMark/>
          </w:tcPr>
          <w:p w14:paraId="1D549ABC" w14:textId="77777777" w:rsidR="00D41EE7" w:rsidRPr="00934CE6" w:rsidRDefault="00D41EE7" w:rsidP="0060674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1</w:t>
            </w:r>
          </w:p>
        </w:tc>
        <w:tc>
          <w:tcPr>
            <w:tcW w:w="0" w:type="auto"/>
            <w:hideMark/>
          </w:tcPr>
          <w:p w14:paraId="51C0DA6B" w14:textId="77777777" w:rsidR="00D41EE7" w:rsidRPr="00934CE6" w:rsidRDefault="00D41EE7" w:rsidP="0060674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0</w:t>
            </w:r>
          </w:p>
        </w:tc>
        <w:tc>
          <w:tcPr>
            <w:tcW w:w="0" w:type="auto"/>
            <w:hideMark/>
          </w:tcPr>
          <w:p w14:paraId="6E880FB0" w14:textId="77777777" w:rsidR="00D41EE7" w:rsidRPr="00934CE6" w:rsidRDefault="00D41EE7" w:rsidP="0060674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95</w:t>
            </w:r>
          </w:p>
        </w:tc>
        <w:tc>
          <w:tcPr>
            <w:tcW w:w="0" w:type="auto"/>
            <w:hideMark/>
          </w:tcPr>
          <w:p w14:paraId="74CEC473" w14:textId="77777777" w:rsidR="00D41EE7" w:rsidRPr="00934CE6" w:rsidRDefault="00D41EE7" w:rsidP="0060674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5</w:t>
            </w:r>
          </w:p>
        </w:tc>
      </w:tr>
      <w:tr w:rsidR="00D41EE7" w:rsidRPr="00934CE6" w14:paraId="638A397D" w14:textId="77777777" w:rsidTr="00201D0C">
        <w:trPr>
          <w:trHeight w:val="68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C0FB585" w14:textId="77777777" w:rsidR="00D41EE7" w:rsidRPr="00934CE6" w:rsidRDefault="00D41EE7" w:rsidP="0060674B">
            <w:pPr>
              <w:jc w:val="center"/>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2</w:t>
            </w:r>
          </w:p>
        </w:tc>
        <w:tc>
          <w:tcPr>
            <w:tcW w:w="0" w:type="auto"/>
            <w:hideMark/>
          </w:tcPr>
          <w:p w14:paraId="51B35D52" w14:textId="77777777" w:rsidR="00D41EE7" w:rsidRPr="00934CE6" w:rsidRDefault="00D41EE7" w:rsidP="0060674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1</w:t>
            </w:r>
          </w:p>
        </w:tc>
        <w:tc>
          <w:tcPr>
            <w:tcW w:w="0" w:type="auto"/>
            <w:hideMark/>
          </w:tcPr>
          <w:p w14:paraId="691000DB" w14:textId="77777777" w:rsidR="00D41EE7" w:rsidRPr="00934CE6" w:rsidRDefault="00D41EE7" w:rsidP="0060674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5</w:t>
            </w:r>
          </w:p>
        </w:tc>
        <w:tc>
          <w:tcPr>
            <w:tcW w:w="0" w:type="auto"/>
            <w:hideMark/>
          </w:tcPr>
          <w:p w14:paraId="25FDCB3E" w14:textId="77777777" w:rsidR="00D41EE7" w:rsidRPr="00934CE6" w:rsidRDefault="00D41EE7" w:rsidP="0060674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95</w:t>
            </w:r>
          </w:p>
        </w:tc>
        <w:tc>
          <w:tcPr>
            <w:tcW w:w="0" w:type="auto"/>
            <w:hideMark/>
          </w:tcPr>
          <w:p w14:paraId="146AE2C4" w14:textId="77777777" w:rsidR="00D41EE7" w:rsidRPr="00934CE6" w:rsidRDefault="00D41EE7" w:rsidP="0060674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5</w:t>
            </w:r>
          </w:p>
        </w:tc>
      </w:tr>
      <w:tr w:rsidR="00D41EE7" w:rsidRPr="00934CE6" w14:paraId="3DE11FA6" w14:textId="77777777" w:rsidTr="00201D0C">
        <w:trPr>
          <w:cnfStyle w:val="000000100000" w:firstRow="0" w:lastRow="0" w:firstColumn="0" w:lastColumn="0" w:oddVBand="0" w:evenVBand="0" w:oddHBand="1"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CC6AC5" w14:textId="77777777" w:rsidR="00D41EE7" w:rsidRPr="00934CE6" w:rsidRDefault="00D41EE7" w:rsidP="0060674B">
            <w:pPr>
              <w:jc w:val="center"/>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3</w:t>
            </w:r>
          </w:p>
        </w:tc>
        <w:tc>
          <w:tcPr>
            <w:tcW w:w="0" w:type="auto"/>
            <w:hideMark/>
          </w:tcPr>
          <w:p w14:paraId="6528D2CB" w14:textId="77777777" w:rsidR="00D41EE7" w:rsidRPr="00934CE6" w:rsidRDefault="00D41EE7" w:rsidP="0060674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1</w:t>
            </w:r>
          </w:p>
        </w:tc>
        <w:tc>
          <w:tcPr>
            <w:tcW w:w="0" w:type="auto"/>
            <w:hideMark/>
          </w:tcPr>
          <w:p w14:paraId="6A2B9DAB" w14:textId="77777777" w:rsidR="00D41EE7" w:rsidRPr="00934CE6" w:rsidRDefault="00D41EE7" w:rsidP="0060674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45</w:t>
            </w:r>
          </w:p>
        </w:tc>
        <w:tc>
          <w:tcPr>
            <w:tcW w:w="0" w:type="auto"/>
            <w:hideMark/>
          </w:tcPr>
          <w:p w14:paraId="264CA6DA" w14:textId="77777777" w:rsidR="00D41EE7" w:rsidRPr="00934CE6" w:rsidRDefault="00D41EE7" w:rsidP="0060674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55</w:t>
            </w:r>
          </w:p>
        </w:tc>
        <w:tc>
          <w:tcPr>
            <w:tcW w:w="0" w:type="auto"/>
            <w:hideMark/>
          </w:tcPr>
          <w:p w14:paraId="65A9CB17" w14:textId="77777777" w:rsidR="00D41EE7" w:rsidRPr="00934CE6" w:rsidRDefault="00D41EE7" w:rsidP="0060674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45</w:t>
            </w:r>
          </w:p>
        </w:tc>
      </w:tr>
      <w:tr w:rsidR="00D41EE7" w:rsidRPr="00934CE6" w14:paraId="3EA5A74B" w14:textId="77777777" w:rsidTr="00201D0C">
        <w:trPr>
          <w:trHeight w:val="68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0880B89" w14:textId="77777777" w:rsidR="00D41EE7" w:rsidRPr="00934CE6" w:rsidRDefault="00D41EE7" w:rsidP="0060674B">
            <w:pPr>
              <w:jc w:val="center"/>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4</w:t>
            </w:r>
          </w:p>
        </w:tc>
        <w:tc>
          <w:tcPr>
            <w:tcW w:w="0" w:type="auto"/>
            <w:hideMark/>
          </w:tcPr>
          <w:p w14:paraId="7E2F2D47" w14:textId="77777777" w:rsidR="00D41EE7" w:rsidRPr="00934CE6" w:rsidRDefault="00D41EE7" w:rsidP="0060674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1</w:t>
            </w:r>
          </w:p>
        </w:tc>
        <w:tc>
          <w:tcPr>
            <w:tcW w:w="0" w:type="auto"/>
            <w:hideMark/>
          </w:tcPr>
          <w:p w14:paraId="72E90AEE" w14:textId="77777777" w:rsidR="00D41EE7" w:rsidRPr="00934CE6" w:rsidRDefault="00D41EE7" w:rsidP="0060674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100</w:t>
            </w:r>
          </w:p>
        </w:tc>
        <w:tc>
          <w:tcPr>
            <w:tcW w:w="0" w:type="auto"/>
            <w:hideMark/>
          </w:tcPr>
          <w:p w14:paraId="715547DD" w14:textId="77777777" w:rsidR="00D41EE7" w:rsidRPr="00934CE6" w:rsidRDefault="00D41EE7" w:rsidP="0060674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0</w:t>
            </w:r>
          </w:p>
        </w:tc>
        <w:tc>
          <w:tcPr>
            <w:tcW w:w="0" w:type="auto"/>
            <w:hideMark/>
          </w:tcPr>
          <w:p w14:paraId="6FB2EFC7" w14:textId="77777777" w:rsidR="00D41EE7" w:rsidRPr="00934CE6" w:rsidRDefault="00D41EE7" w:rsidP="0060674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nl-NL"/>
              </w:rPr>
            </w:pPr>
            <w:r w:rsidRPr="00934CE6">
              <w:rPr>
                <w:rFonts w:asciiTheme="majorBidi" w:eastAsia="Times New Roman" w:hAnsiTheme="majorBidi" w:cstheme="majorBidi"/>
                <w:color w:val="000000"/>
                <w:lang w:eastAsia="nl-NL"/>
              </w:rPr>
              <w:t>100</w:t>
            </w:r>
          </w:p>
        </w:tc>
      </w:tr>
    </w:tbl>
    <w:p w14:paraId="740FC7C7" w14:textId="65F0DD34" w:rsidR="00D04D41" w:rsidRDefault="00D04D41" w:rsidP="008A4AEF">
      <w:pPr>
        <w:spacing w:before="240" w:after="240" w:line="240" w:lineRule="auto"/>
        <w:jc w:val="both"/>
        <w:rPr>
          <w:rFonts w:asciiTheme="majorBidi" w:eastAsia="Times New Roman" w:hAnsiTheme="majorBidi" w:cstheme="majorBidi"/>
          <w:lang w:val="en-US" w:eastAsia="nl-NL"/>
        </w:rPr>
      </w:pPr>
    </w:p>
    <w:p w14:paraId="6462FF43" w14:textId="44E79258" w:rsidR="00C56611" w:rsidRDefault="00C56611" w:rsidP="008A4AEF">
      <w:pPr>
        <w:spacing w:before="240" w:after="240" w:line="240" w:lineRule="auto"/>
        <w:jc w:val="both"/>
        <w:rPr>
          <w:rFonts w:asciiTheme="majorBidi" w:eastAsia="Times New Roman" w:hAnsiTheme="majorBidi" w:cstheme="majorBidi"/>
          <w:lang w:val="en-US" w:eastAsia="nl-NL"/>
        </w:rPr>
      </w:pPr>
    </w:p>
    <w:p w14:paraId="1B8A6F22" w14:textId="3416DFA7" w:rsidR="00C56611" w:rsidRPr="00CD570F" w:rsidRDefault="00C56611" w:rsidP="00C56611">
      <w:pPr>
        <w:spacing w:before="240" w:after="240" w:line="240" w:lineRule="auto"/>
        <w:jc w:val="both"/>
        <w:rPr>
          <w:rFonts w:ascii="Arial" w:eastAsia="Times New Roman" w:hAnsi="Arial" w:cs="Arial"/>
          <w:b/>
          <w:bCs/>
          <w:sz w:val="28"/>
          <w:szCs w:val="28"/>
          <w:lang w:val="en-US" w:eastAsia="nl-NL"/>
        </w:rPr>
      </w:pPr>
      <w:r w:rsidRPr="00CD570F">
        <w:rPr>
          <w:rFonts w:ascii="Arial" w:eastAsia="Times New Roman" w:hAnsi="Arial" w:cs="Arial"/>
          <w:b/>
          <w:bCs/>
          <w:sz w:val="28"/>
          <w:szCs w:val="28"/>
          <w:lang w:val="en-US" w:eastAsia="nl-NL"/>
        </w:rPr>
        <w:t>Supplementary Methods:</w:t>
      </w:r>
    </w:p>
    <w:p w14:paraId="3195D0A1" w14:textId="77777777" w:rsidR="00C56611" w:rsidRPr="00F45008" w:rsidRDefault="00C56611" w:rsidP="00C56611">
      <w:pPr>
        <w:pStyle w:val="ListParagraph"/>
        <w:numPr>
          <w:ilvl w:val="0"/>
          <w:numId w:val="1"/>
        </w:numPr>
        <w:spacing w:line="360" w:lineRule="auto"/>
        <w:jc w:val="both"/>
        <w:rPr>
          <w:rFonts w:ascii="Arial" w:hAnsi="Arial" w:cs="Arial"/>
          <w:b/>
          <w:bCs/>
          <w:sz w:val="24"/>
          <w:szCs w:val="24"/>
          <w:rtl/>
          <w:lang w:bidi="fa-IR"/>
        </w:rPr>
      </w:pPr>
      <w:r w:rsidRPr="00F45008">
        <w:rPr>
          <w:rFonts w:ascii="Arial" w:hAnsi="Arial" w:cs="Arial"/>
          <w:b/>
          <w:bCs/>
          <w:sz w:val="24"/>
          <w:szCs w:val="24"/>
          <w:lang w:bidi="fa-IR"/>
        </w:rPr>
        <w:t xml:space="preserve">Reagents </w:t>
      </w:r>
    </w:p>
    <w:p w14:paraId="5B718096" w14:textId="77777777" w:rsidR="00C56611" w:rsidRPr="00F45008" w:rsidRDefault="00C56611" w:rsidP="00C56611">
      <w:pPr>
        <w:spacing w:line="360" w:lineRule="auto"/>
        <w:ind w:left="360"/>
        <w:jc w:val="both"/>
        <w:rPr>
          <w:rFonts w:ascii="Arial" w:hAnsi="Arial" w:cs="Arial"/>
          <w:sz w:val="24"/>
          <w:szCs w:val="24"/>
          <w:lang w:val="en-GB" w:bidi="fa-IR"/>
        </w:rPr>
      </w:pPr>
      <w:r w:rsidRPr="00F45008">
        <w:rPr>
          <w:rFonts w:ascii="Arial" w:hAnsi="Arial" w:cs="Arial"/>
          <w:sz w:val="24"/>
          <w:szCs w:val="24"/>
          <w:lang w:val="en-GB" w:bidi="fa-IR"/>
        </w:rPr>
        <w:t>Anti-AKT [(B-1): sc-5298], anti-p-AKT [(B-5): sc-271966], anti-PI3K [C2α (H-300): sc-67306], anti-mTOR [(30): sc-517464], anti-p-mTOR [(59.Ser 2448): sc-293133], anti-p-NF-κB [(A-8): sc-166748], anti-E-cadherin [(67A4): sc-21791], anti-P53 [(DO-1): sc-126], anti-MDM2 [(SMP14): sc-965], anti-Bax [(B-9):sc-7480], anti-Bcl2 [(N-19): sc-492], anti-</w:t>
      </w:r>
      <w:proofErr w:type="spellStart"/>
      <w:r w:rsidRPr="00F45008">
        <w:rPr>
          <w:rFonts w:ascii="Arial" w:hAnsi="Arial" w:cs="Arial"/>
          <w:sz w:val="24"/>
          <w:szCs w:val="24"/>
          <w:lang w:val="en-GB" w:bidi="fa-IR"/>
        </w:rPr>
        <w:t>Bim</w:t>
      </w:r>
      <w:proofErr w:type="spellEnd"/>
      <w:r w:rsidRPr="00F45008">
        <w:rPr>
          <w:rFonts w:ascii="Arial" w:hAnsi="Arial" w:cs="Arial"/>
          <w:sz w:val="24"/>
          <w:szCs w:val="24"/>
          <w:lang w:val="en-GB" w:bidi="fa-IR"/>
        </w:rPr>
        <w:t xml:space="preserve"> [(H-5): sc-374358], anti-caspase9 [(9CSP01): sc-81663]</w:t>
      </w:r>
      <w:r w:rsidRPr="00F45008">
        <w:rPr>
          <w:rFonts w:ascii="Arial" w:hAnsi="Arial" w:cs="Arial"/>
          <w:sz w:val="24"/>
          <w:szCs w:val="24"/>
          <w:lang w:bidi="fa-IR"/>
        </w:rPr>
        <w:t>,</w:t>
      </w:r>
      <w:r w:rsidRPr="00F45008">
        <w:rPr>
          <w:rFonts w:ascii="Arial" w:hAnsi="Arial" w:cs="Arial"/>
          <w:sz w:val="24"/>
          <w:szCs w:val="24"/>
          <w:lang w:val="en-GB" w:bidi="fa-IR"/>
        </w:rPr>
        <w:t xml:space="preserve"> anti-cytochrome c [(A-8): sc-13156], anti-CD262 [(B-D37): sc-65314], anti-PARP1 [(F-2): sc-8007],</w:t>
      </w:r>
      <w:r w:rsidRPr="00F45008">
        <w:rPr>
          <w:rFonts w:ascii="Arial" w:hAnsi="Arial" w:cs="Arial"/>
          <w:sz w:val="24"/>
          <w:szCs w:val="24"/>
          <w:lang w:bidi="fa-IR"/>
        </w:rPr>
        <w:t xml:space="preserve"> </w:t>
      </w:r>
      <w:r w:rsidRPr="00F45008">
        <w:rPr>
          <w:rFonts w:ascii="Arial" w:hAnsi="Arial" w:cs="Arial"/>
          <w:sz w:val="24"/>
          <w:szCs w:val="24"/>
          <w:lang w:val="en-GB" w:bidi="fa-IR"/>
        </w:rPr>
        <w:t>anti-ERK 1/2 [(H-72): sc-292838],</w:t>
      </w:r>
      <w:r w:rsidRPr="00F45008">
        <w:rPr>
          <w:rFonts w:ascii="Arial" w:hAnsi="Arial" w:cs="Arial"/>
          <w:sz w:val="24"/>
          <w:szCs w:val="24"/>
          <w:lang w:bidi="fa-IR"/>
        </w:rPr>
        <w:t xml:space="preserve"> </w:t>
      </w:r>
      <w:r w:rsidRPr="00F45008">
        <w:rPr>
          <w:rFonts w:ascii="Arial" w:hAnsi="Arial" w:cs="Arial"/>
          <w:sz w:val="24"/>
          <w:szCs w:val="24"/>
          <w:lang w:val="en-GB" w:bidi="fa-IR"/>
        </w:rPr>
        <w:t>anti-p-ERK 1/2 [(</w:t>
      </w:r>
      <w:proofErr w:type="spellStart"/>
      <w:r w:rsidRPr="00F45008">
        <w:rPr>
          <w:rFonts w:ascii="Arial" w:hAnsi="Arial" w:cs="Arial"/>
          <w:sz w:val="24"/>
          <w:szCs w:val="24"/>
          <w:lang w:val="en-GB" w:bidi="fa-IR"/>
        </w:rPr>
        <w:t>Thr</w:t>
      </w:r>
      <w:proofErr w:type="spellEnd"/>
      <w:r w:rsidRPr="00F45008">
        <w:rPr>
          <w:rFonts w:ascii="Arial" w:hAnsi="Arial" w:cs="Arial"/>
          <w:sz w:val="24"/>
          <w:szCs w:val="24"/>
          <w:lang w:val="en-GB" w:bidi="fa-IR"/>
        </w:rPr>
        <w:t xml:space="preserve"> 177)-R: sc-16981-R], anti-</w:t>
      </w:r>
      <w:proofErr w:type="spellStart"/>
      <w:r w:rsidRPr="00F45008">
        <w:rPr>
          <w:rFonts w:ascii="Arial" w:hAnsi="Arial" w:cs="Arial"/>
          <w:sz w:val="24"/>
          <w:szCs w:val="24"/>
          <w:lang w:val="en-GB" w:bidi="fa-IR"/>
        </w:rPr>
        <w:t>Ras</w:t>
      </w:r>
      <w:proofErr w:type="spellEnd"/>
      <w:r w:rsidRPr="00F45008">
        <w:rPr>
          <w:rFonts w:ascii="Arial" w:hAnsi="Arial" w:cs="Arial"/>
          <w:sz w:val="24"/>
          <w:szCs w:val="24"/>
          <w:lang w:val="en-GB" w:bidi="fa-IR"/>
        </w:rPr>
        <w:t xml:space="preserve"> [(259): sc-35],</w:t>
      </w:r>
      <w:r w:rsidRPr="00F45008">
        <w:rPr>
          <w:rFonts w:ascii="Arial" w:hAnsi="Arial" w:cs="Arial"/>
          <w:sz w:val="24"/>
          <w:szCs w:val="24"/>
          <w:lang w:bidi="fa-IR"/>
        </w:rPr>
        <w:t xml:space="preserve"> </w:t>
      </w:r>
      <w:r w:rsidRPr="00F45008">
        <w:rPr>
          <w:rFonts w:ascii="Arial" w:hAnsi="Arial" w:cs="Arial"/>
          <w:sz w:val="24"/>
          <w:szCs w:val="24"/>
          <w:lang w:val="en-GB" w:bidi="fa-IR"/>
        </w:rPr>
        <w:t>anti-Raf-1 [(E-10): sc-7267],</w:t>
      </w:r>
      <w:r w:rsidRPr="00F45008">
        <w:rPr>
          <w:rFonts w:ascii="Arial" w:hAnsi="Arial" w:cs="Arial"/>
          <w:sz w:val="24"/>
          <w:szCs w:val="24"/>
          <w:lang w:bidi="fa-IR"/>
        </w:rPr>
        <w:t xml:space="preserve"> </w:t>
      </w:r>
      <w:r w:rsidRPr="00F45008">
        <w:rPr>
          <w:rFonts w:ascii="Arial" w:hAnsi="Arial" w:cs="Arial"/>
          <w:sz w:val="24"/>
          <w:szCs w:val="24"/>
          <w:lang w:val="en-GB" w:bidi="fa-IR"/>
        </w:rPr>
        <w:t>anti-</w:t>
      </w:r>
      <w:r w:rsidRPr="00F45008">
        <w:rPr>
          <w:rFonts w:ascii="Arial" w:hAnsi="Arial" w:cs="Arial"/>
          <w:sz w:val="24"/>
          <w:szCs w:val="24"/>
          <w:lang w:bidi="fa-IR"/>
        </w:rPr>
        <w:t>Cdk4 [(DCS-35): sc-23896]</w:t>
      </w:r>
      <w:r w:rsidRPr="00F45008">
        <w:rPr>
          <w:rFonts w:ascii="Arial" w:hAnsi="Arial" w:cs="Arial"/>
          <w:sz w:val="24"/>
          <w:szCs w:val="24"/>
          <w:lang w:val="en-GB" w:bidi="fa-IR"/>
        </w:rPr>
        <w:t>, anti-GSK-3β [(11B9): sc-81462], anti-Cyclin D1 [(A-12): sc-8396], anti-FAK [(D-1): sc-271126],</w:t>
      </w:r>
      <w:r w:rsidRPr="00F45008">
        <w:rPr>
          <w:rFonts w:ascii="Arial" w:hAnsi="Arial" w:cs="Arial"/>
          <w:sz w:val="24"/>
          <w:szCs w:val="24"/>
          <w:lang w:bidi="fa-IR"/>
        </w:rPr>
        <w:t xml:space="preserve"> </w:t>
      </w:r>
      <w:r w:rsidRPr="00F45008">
        <w:rPr>
          <w:rFonts w:ascii="Arial" w:hAnsi="Arial" w:cs="Arial"/>
          <w:sz w:val="24"/>
          <w:szCs w:val="24"/>
          <w:lang w:val="en-GB" w:bidi="fa-IR"/>
        </w:rPr>
        <w:t>anti-p-FAK [(2D11): sc-81493], anti-paxillin [(B-2): sc-365379],</w:t>
      </w:r>
      <w:r w:rsidRPr="00F45008">
        <w:rPr>
          <w:rFonts w:ascii="Arial" w:hAnsi="Arial" w:cs="Arial"/>
          <w:sz w:val="24"/>
          <w:szCs w:val="24"/>
          <w:lang w:bidi="fa-IR"/>
        </w:rPr>
        <w:t xml:space="preserve"> </w:t>
      </w:r>
      <w:r w:rsidRPr="00F45008">
        <w:rPr>
          <w:rFonts w:ascii="Arial" w:hAnsi="Arial" w:cs="Arial"/>
          <w:sz w:val="24"/>
          <w:szCs w:val="24"/>
          <w:lang w:val="en-GB" w:bidi="fa-IR"/>
        </w:rPr>
        <w:t>p-paxillin [(A-5): sc-365020], anti-β-actin [(C4): sc-47778], mouse anti-rabbit IgG-HRP (sc-2357) and m-</w:t>
      </w:r>
      <w:proofErr w:type="spellStart"/>
      <w:r w:rsidRPr="00F45008">
        <w:rPr>
          <w:rFonts w:ascii="Arial" w:hAnsi="Arial" w:cs="Arial"/>
          <w:sz w:val="24"/>
          <w:szCs w:val="24"/>
          <w:lang w:val="en-GB" w:bidi="fa-IR"/>
        </w:rPr>
        <w:t>IgGκ</w:t>
      </w:r>
      <w:proofErr w:type="spellEnd"/>
      <w:r w:rsidRPr="00F45008">
        <w:rPr>
          <w:rFonts w:ascii="Arial" w:hAnsi="Arial" w:cs="Arial"/>
          <w:sz w:val="24"/>
          <w:szCs w:val="24"/>
          <w:lang w:val="en-GB" w:bidi="fa-IR"/>
        </w:rPr>
        <w:t xml:space="preserve"> BP-HRP (sc-516102) were purchased from </w:t>
      </w:r>
      <w:r w:rsidRPr="00F45008">
        <w:rPr>
          <w:rFonts w:ascii="Arial" w:hAnsi="Arial" w:cs="Arial"/>
          <w:sz w:val="24"/>
          <w:szCs w:val="24"/>
          <w:lang w:bidi="fa-IR"/>
        </w:rPr>
        <w:t>Santa Cruz Biotechnology INC, California, U.S.A.</w:t>
      </w:r>
      <w:r w:rsidRPr="00F45008">
        <w:rPr>
          <w:rFonts w:ascii="Arial" w:hAnsi="Arial" w:cs="Arial"/>
          <w:sz w:val="24"/>
          <w:szCs w:val="24"/>
          <w:lang w:val="en" w:bidi="fa-IR"/>
        </w:rPr>
        <w:t xml:space="preserve"> </w:t>
      </w:r>
      <w:r w:rsidRPr="00F45008">
        <w:rPr>
          <w:rFonts w:ascii="Arial" w:hAnsi="Arial" w:cs="Arial"/>
          <w:sz w:val="24"/>
          <w:szCs w:val="24"/>
          <w:lang w:val="en-GB" w:bidi="fa-IR"/>
        </w:rPr>
        <w:t xml:space="preserve">Anti-Vimentin (V9) and </w:t>
      </w:r>
      <w:r w:rsidRPr="00F45008">
        <w:rPr>
          <w:rFonts w:ascii="Arial" w:hAnsi="Arial" w:cs="Arial"/>
          <w:sz w:val="24"/>
          <w:szCs w:val="24"/>
          <w:lang w:bidi="fa-IR"/>
        </w:rPr>
        <w:t xml:space="preserve">phycoerythrin (PE)-secondary anti-goat (P-2771MP) </w:t>
      </w:r>
      <w:r w:rsidRPr="00F45008">
        <w:rPr>
          <w:rFonts w:ascii="Arial" w:hAnsi="Arial" w:cs="Arial"/>
          <w:sz w:val="24"/>
          <w:szCs w:val="24"/>
          <w:lang w:val="en-GB" w:bidi="fa-IR"/>
        </w:rPr>
        <w:t>were purchased from Invitrogen, U.S.A.</w:t>
      </w:r>
      <w:r w:rsidRPr="00F45008">
        <w:rPr>
          <w:rFonts w:ascii="Arial" w:hAnsi="Arial" w:cs="Arial"/>
          <w:sz w:val="24"/>
          <w:szCs w:val="24"/>
          <w:lang w:val="en" w:bidi="fa-IR"/>
        </w:rPr>
        <w:t xml:space="preserve"> </w:t>
      </w:r>
      <w:r w:rsidRPr="00F45008">
        <w:rPr>
          <w:rFonts w:ascii="Arial" w:hAnsi="Arial" w:cs="Arial"/>
          <w:sz w:val="24"/>
          <w:szCs w:val="24"/>
          <w:lang w:bidi="fa-IR"/>
        </w:rPr>
        <w:t xml:space="preserve">Anti-VEGFR2 </w:t>
      </w:r>
      <w:r w:rsidRPr="00F45008">
        <w:rPr>
          <w:rFonts w:ascii="Arial" w:hAnsi="Arial" w:cs="Arial"/>
          <w:sz w:val="24"/>
          <w:szCs w:val="24"/>
          <w:lang w:val="en-GB" w:bidi="fa-IR"/>
        </w:rPr>
        <w:t>(ab39256), anti-p-VEGFR2 (ab5473), anti-Bid (ab10640), anti-NF-κB (ab16502) and anti-CD261 (ab8414) were purchased from Abcam.</w:t>
      </w:r>
      <w:r w:rsidRPr="00F45008">
        <w:rPr>
          <w:rFonts w:ascii="Arial" w:hAnsi="Arial" w:cs="Arial"/>
          <w:sz w:val="24"/>
          <w:szCs w:val="24"/>
          <w:lang w:val="en" w:bidi="fa-IR"/>
        </w:rPr>
        <w:t xml:space="preserve"> </w:t>
      </w:r>
      <w:r w:rsidRPr="00F45008">
        <w:rPr>
          <w:rFonts w:ascii="Arial" w:hAnsi="Arial" w:cs="Arial"/>
          <w:sz w:val="24"/>
          <w:szCs w:val="24"/>
          <w:lang w:val="en-GB" w:bidi="fa-IR"/>
        </w:rPr>
        <w:t>Anti-Apaf-1 (E-AB-</w:t>
      </w:r>
      <w:r w:rsidRPr="00F45008">
        <w:rPr>
          <w:rFonts w:ascii="Arial" w:hAnsi="Arial" w:cs="Arial"/>
          <w:sz w:val="24"/>
          <w:szCs w:val="24"/>
          <w:lang w:val="en-GB" w:bidi="fa-IR"/>
        </w:rPr>
        <w:lastRenderedPageBreak/>
        <w:t xml:space="preserve">12215) and anti-N-cadherin (E-AB-70061) were purchased from </w:t>
      </w:r>
      <w:proofErr w:type="spellStart"/>
      <w:r w:rsidRPr="00F45008">
        <w:rPr>
          <w:rFonts w:ascii="Arial" w:hAnsi="Arial" w:cs="Arial"/>
          <w:sz w:val="24"/>
          <w:szCs w:val="24"/>
          <w:lang w:val="en-GB" w:bidi="fa-IR"/>
        </w:rPr>
        <w:t>Elabscience</w:t>
      </w:r>
      <w:proofErr w:type="spellEnd"/>
      <w:r w:rsidRPr="00F45008">
        <w:rPr>
          <w:rFonts w:ascii="Arial" w:hAnsi="Arial" w:cs="Arial"/>
          <w:sz w:val="24"/>
          <w:szCs w:val="24"/>
          <w:lang w:val="en-GB" w:bidi="fa-IR"/>
        </w:rPr>
        <w:t xml:space="preserve"> ®.</w:t>
      </w:r>
      <w:r w:rsidRPr="00F45008">
        <w:rPr>
          <w:rFonts w:ascii="Arial" w:hAnsi="Arial" w:cs="Arial"/>
          <w:sz w:val="24"/>
          <w:szCs w:val="24"/>
          <w:lang w:val="en" w:bidi="fa-IR"/>
        </w:rPr>
        <w:t xml:space="preserve"> </w:t>
      </w:r>
      <w:r w:rsidRPr="00F45008">
        <w:rPr>
          <w:rFonts w:ascii="Arial" w:hAnsi="Arial" w:cs="Arial"/>
          <w:sz w:val="24"/>
          <w:szCs w:val="24"/>
          <w:lang w:val="en-GB" w:bidi="fa-IR"/>
        </w:rPr>
        <w:t xml:space="preserve">Anti-caspase7 (#9492), anti-caspase3 (#14220) and anti-caspase8 (#9746) were purchased from Cell </w:t>
      </w:r>
      <w:proofErr w:type="spellStart"/>
      <w:r w:rsidRPr="00F45008">
        <w:rPr>
          <w:rFonts w:ascii="Arial" w:hAnsi="Arial" w:cs="Arial"/>
          <w:sz w:val="24"/>
          <w:szCs w:val="24"/>
          <w:lang w:val="en-GB" w:bidi="fa-IR"/>
        </w:rPr>
        <w:t>Signaling</w:t>
      </w:r>
      <w:proofErr w:type="spellEnd"/>
      <w:r w:rsidRPr="00F45008">
        <w:rPr>
          <w:rFonts w:ascii="Arial" w:hAnsi="Arial" w:cs="Arial"/>
          <w:sz w:val="24"/>
          <w:szCs w:val="24"/>
          <w:lang w:val="en-GB" w:bidi="fa-IR"/>
        </w:rPr>
        <w:t xml:space="preserve"> Technology.</w:t>
      </w:r>
      <w:r w:rsidRPr="00F45008">
        <w:rPr>
          <w:rFonts w:ascii="Arial" w:hAnsi="Arial" w:cs="Arial"/>
          <w:sz w:val="24"/>
          <w:szCs w:val="24"/>
          <w:lang w:val="en" w:bidi="fa-IR"/>
        </w:rPr>
        <w:t xml:space="preserve"> </w:t>
      </w:r>
      <w:r w:rsidRPr="00F45008">
        <w:rPr>
          <w:rFonts w:ascii="Arial" w:hAnsi="Arial" w:cs="Arial"/>
          <w:sz w:val="24"/>
          <w:szCs w:val="24"/>
          <w:lang w:val="en-GB" w:bidi="fa-IR"/>
        </w:rPr>
        <w:t xml:space="preserve">Anti-CD95 (AF326) was purchased from R&amp;D Systems. The molecular weight protein ladder (84785) was purchased from </w:t>
      </w:r>
      <w:proofErr w:type="spellStart"/>
      <w:r w:rsidRPr="00F45008">
        <w:rPr>
          <w:rFonts w:ascii="Arial" w:hAnsi="Arial" w:cs="Arial"/>
          <w:sz w:val="24"/>
          <w:szCs w:val="24"/>
          <w:lang w:val="en-GB" w:bidi="fa-IR"/>
        </w:rPr>
        <w:t>Thermo</w:t>
      </w:r>
      <w:proofErr w:type="spellEnd"/>
      <w:r w:rsidRPr="00F45008">
        <w:rPr>
          <w:rFonts w:ascii="Arial" w:hAnsi="Arial" w:cs="Arial"/>
          <w:sz w:val="24"/>
          <w:szCs w:val="24"/>
          <w:lang w:val="en-GB" w:bidi="fa-IR"/>
        </w:rPr>
        <w:t xml:space="preserve"> Scientific. Recombinant human VEGFR2/KDR Fc chimera protein (</w:t>
      </w:r>
      <w:r w:rsidRPr="00F45008">
        <w:rPr>
          <w:rStyle w:val="categorynumber"/>
          <w:rFonts w:ascii="Arial" w:hAnsi="Arial" w:cs="Arial"/>
          <w:sz w:val="24"/>
          <w:szCs w:val="24"/>
        </w:rPr>
        <w:t>357-KD</w:t>
      </w:r>
      <w:r w:rsidRPr="00F45008">
        <w:rPr>
          <w:rFonts w:ascii="Arial" w:hAnsi="Arial" w:cs="Arial"/>
          <w:sz w:val="24"/>
          <w:szCs w:val="24"/>
          <w:lang w:val="en-GB" w:bidi="fa-IR"/>
        </w:rPr>
        <w:t>) was purchased from R&amp;D Systems (</w:t>
      </w:r>
      <w:r w:rsidRPr="00F45008">
        <w:rPr>
          <w:rFonts w:ascii="Arial" w:hAnsi="Arial" w:cs="Arial"/>
          <w:sz w:val="24"/>
          <w:szCs w:val="24"/>
        </w:rPr>
        <w:t>Minneapolis, MN, U.S.A)</w:t>
      </w:r>
      <w:r w:rsidRPr="00F45008">
        <w:rPr>
          <w:rFonts w:ascii="Arial" w:hAnsi="Arial" w:cs="Arial"/>
          <w:sz w:val="24"/>
          <w:szCs w:val="24"/>
          <w:lang w:val="en-GB" w:bidi="fa-IR"/>
        </w:rPr>
        <w:t xml:space="preserve">. TUNEL assays were done utilizing an </w:t>
      </w:r>
      <w:r w:rsidRPr="00F45008">
        <w:rPr>
          <w:rFonts w:ascii="Arial" w:hAnsi="Arial" w:cs="Arial"/>
          <w:i/>
          <w:iCs/>
          <w:sz w:val="24"/>
          <w:szCs w:val="24"/>
          <w:lang w:val="en-GB" w:bidi="fa-IR"/>
        </w:rPr>
        <w:t>in situ</w:t>
      </w:r>
      <w:r w:rsidRPr="00F45008">
        <w:rPr>
          <w:rFonts w:ascii="Arial" w:hAnsi="Arial" w:cs="Arial"/>
          <w:sz w:val="24"/>
          <w:szCs w:val="24"/>
          <w:lang w:val="en-GB" w:bidi="fa-IR"/>
        </w:rPr>
        <w:t xml:space="preserve"> Cell Death Detection Kit POD (Roche Diagnostic GmbH, Germany). Amersham™ </w:t>
      </w:r>
      <w:proofErr w:type="spellStart"/>
      <w:r w:rsidRPr="00F45008">
        <w:rPr>
          <w:rFonts w:ascii="Arial" w:hAnsi="Arial" w:cs="Arial"/>
          <w:sz w:val="24"/>
          <w:szCs w:val="24"/>
          <w:lang w:val="en-GB" w:bidi="fa-IR"/>
        </w:rPr>
        <w:t>Protran</w:t>
      </w:r>
      <w:proofErr w:type="spellEnd"/>
      <w:r w:rsidRPr="00F45008">
        <w:rPr>
          <w:rFonts w:ascii="Arial" w:hAnsi="Arial" w:cs="Arial"/>
          <w:sz w:val="24"/>
          <w:szCs w:val="24"/>
          <w:lang w:val="en-GB" w:bidi="fa-IR"/>
        </w:rPr>
        <w:t>® Premium nitrocellulose western blotting membranes (Ge10600013) was purchased from Sigma, U.S.A.</w:t>
      </w:r>
    </w:p>
    <w:p w14:paraId="2C5EDB00" w14:textId="77777777" w:rsidR="00C56611" w:rsidRPr="00F45008" w:rsidRDefault="00C56611" w:rsidP="00C56611">
      <w:pPr>
        <w:pStyle w:val="ListParagraph"/>
        <w:numPr>
          <w:ilvl w:val="0"/>
          <w:numId w:val="1"/>
        </w:numPr>
        <w:spacing w:line="360" w:lineRule="auto"/>
        <w:jc w:val="both"/>
        <w:rPr>
          <w:rFonts w:ascii="Arial" w:eastAsia="Calibri" w:hAnsi="Arial" w:cs="Arial"/>
          <w:b/>
          <w:bCs/>
          <w:sz w:val="24"/>
          <w:szCs w:val="24"/>
          <w:lang w:bidi="fa-IR"/>
        </w:rPr>
      </w:pPr>
      <w:r w:rsidRPr="00F45008">
        <w:rPr>
          <w:rFonts w:ascii="Arial" w:eastAsia="Calibri" w:hAnsi="Arial" w:cs="Arial"/>
          <w:b/>
          <w:bCs/>
          <w:sz w:val="24"/>
          <w:szCs w:val="24"/>
          <w:lang w:bidi="fa-IR"/>
        </w:rPr>
        <w:t>Peptide synthesis</w:t>
      </w:r>
    </w:p>
    <w:p w14:paraId="6156E5B9" w14:textId="77777777" w:rsidR="00C56611" w:rsidRPr="00F45008" w:rsidRDefault="00C56611" w:rsidP="00C56611">
      <w:pPr>
        <w:spacing w:after="0" w:line="360" w:lineRule="auto"/>
        <w:ind w:left="360"/>
        <w:jc w:val="both"/>
        <w:rPr>
          <w:rFonts w:ascii="Arial" w:eastAsia="Calibri" w:hAnsi="Arial" w:cs="Arial"/>
          <w:sz w:val="24"/>
          <w:szCs w:val="24"/>
          <w:lang w:bidi="fa-IR"/>
        </w:rPr>
      </w:pPr>
      <w:r w:rsidRPr="00F45008">
        <w:rPr>
          <w:rFonts w:ascii="Arial" w:eastAsia="Calibri" w:hAnsi="Arial" w:cs="Arial"/>
          <w:sz w:val="24"/>
          <w:szCs w:val="24"/>
          <w:lang w:bidi="fa-IR"/>
        </w:rPr>
        <w:t>Peptides were synthesized manually using standard Fmoc solid-phase peptide synthesis chemistry. The amino acids Fmoc-Cys(Trt)-OH, Fmoc-Leu-OH, Fmoc-Gly-OH, Fmoc-Asp(</w:t>
      </w:r>
      <w:r w:rsidRPr="00F45008">
        <w:rPr>
          <w:rFonts w:ascii="Arial" w:eastAsia="Calibri" w:hAnsi="Arial" w:cs="Arial"/>
          <w:i/>
          <w:iCs/>
          <w:sz w:val="24"/>
          <w:szCs w:val="24"/>
          <w:lang w:bidi="fa-IR"/>
        </w:rPr>
        <w:t>t</w:t>
      </w:r>
      <w:r w:rsidRPr="00F45008">
        <w:rPr>
          <w:rFonts w:ascii="Arial" w:eastAsia="Calibri" w:hAnsi="Arial" w:cs="Arial"/>
          <w:sz w:val="24"/>
          <w:szCs w:val="24"/>
          <w:lang w:bidi="fa-IR"/>
        </w:rPr>
        <w:t>Bu)-OH, Fmoc-Pro-OH, Fmoc-Arg(Pbf)-OH, Fmoc-Glu(</w:t>
      </w:r>
      <w:r w:rsidRPr="00F45008">
        <w:rPr>
          <w:rFonts w:ascii="Arial" w:eastAsia="Calibri" w:hAnsi="Arial" w:cs="Arial"/>
          <w:i/>
          <w:iCs/>
          <w:sz w:val="24"/>
          <w:szCs w:val="24"/>
          <w:lang w:bidi="fa-IR"/>
        </w:rPr>
        <w:t>t</w:t>
      </w:r>
      <w:r w:rsidRPr="00F45008">
        <w:rPr>
          <w:rFonts w:ascii="Arial" w:eastAsia="Calibri" w:hAnsi="Arial" w:cs="Arial"/>
          <w:sz w:val="24"/>
          <w:szCs w:val="24"/>
          <w:lang w:bidi="fa-IR"/>
        </w:rPr>
        <w:t xml:space="preserve">Bu)-OH were used. The peptide synthesis was carried out using 2-chlorotrityl chloride resin (1.0 mmol/g) following the standard Fmoc strategy. Firstly, the resin was swelled with DCM (3×10 mL) for 30 min. Then, Fmoc-Cys(Trt)-OH (0.586 g, 1.0 mmol) was attached to the 2-CTC resin (1.0 g) with DIPEA (1.36 ml, 8 mmol) in anhydrous DMF (10 mL) at room temperature for 3 h. After filtration, the remaining trityl chloride groups were capped by a solution of DCM/MeOH/DIPEA (20:2.4:1.2, 23.6 mL) for 30 min. The resin was filtered and washed thoroughly with DMF (3× 10 mL). After drying the resin under vacuum, the loading capacity was determined by weight and was 1.0. The resin-bound Fmoc-amino acid was washed with DMF (3× 10 mL) and treated with 25% piperidine in DMF (15 mL) for 30 min, followed by washing with DMF (3× 10 mL). Then, a solution of Fmoc-Leu-OH (0.708 g, 2.0 mmol), TBTU (0.64 g, 2.0 mmol), DIPEA (0.6 ml, 3.5 mmol) in 10 ml DMF was prepared, added to the resin-bound free amine, and shaken for 45 min at room temperature. After completion of the coupling, the resin was washed with DMF (3× 10 mL), followed by the coupling repeat for other amino acids of the sequence as the same method. The coupling was confirmed using Kaiser to detect the presence or absence of free primary amino groups in all cases. Fmoc concentration was determined by employing UV spectroscopy. The resin was washed </w:t>
      </w:r>
      <w:r w:rsidRPr="00F45008">
        <w:rPr>
          <w:rFonts w:ascii="Arial" w:eastAsia="Calibri" w:hAnsi="Arial" w:cs="Arial"/>
          <w:sz w:val="24"/>
          <w:szCs w:val="24"/>
          <w:lang w:bidi="fa-IR"/>
        </w:rPr>
        <w:lastRenderedPageBreak/>
        <w:t>with DMF (3×10 mL) after completing all couplings, and the constructed linear peptide was cleaved from the resin by treatment with TFA (1%) in DCM (100 mL) and neutralization with pyridine (4%) in MeOH (50 mL). Then, the solvent was evaporated under reduced pressure and precipitated in water. 1 g of dry-protected decapeptide was treated with TFA/TES/H</w:t>
      </w:r>
      <w:r w:rsidRPr="00F45008">
        <w:rPr>
          <w:rFonts w:ascii="Arial" w:eastAsia="Calibri" w:hAnsi="Arial" w:cs="Arial"/>
          <w:sz w:val="24"/>
          <w:szCs w:val="24"/>
          <w:vertAlign w:val="subscript"/>
          <w:lang w:bidi="fa-IR"/>
        </w:rPr>
        <w:t>2</w:t>
      </w:r>
      <w:r w:rsidRPr="00F45008">
        <w:rPr>
          <w:rFonts w:ascii="Arial" w:eastAsia="Calibri" w:hAnsi="Arial" w:cs="Arial"/>
          <w:sz w:val="24"/>
          <w:szCs w:val="24"/>
          <w:lang w:bidi="fa-IR"/>
        </w:rPr>
        <w:t>O/MeOH (95%: 2%: 1.5%: 1.5%) at room temperature for 2-3 h. The yield was 70% (0.773 g of linear VGB3).</w:t>
      </w:r>
    </w:p>
    <w:p w14:paraId="2ACFEAAE" w14:textId="77777777" w:rsidR="00C56611" w:rsidRPr="00F45008" w:rsidRDefault="00C56611" w:rsidP="00C56611">
      <w:pPr>
        <w:spacing w:after="0" w:line="360" w:lineRule="auto"/>
        <w:ind w:left="360"/>
        <w:jc w:val="both"/>
        <w:rPr>
          <w:rFonts w:ascii="Arial" w:eastAsia="Calibri" w:hAnsi="Arial" w:cs="Arial"/>
          <w:sz w:val="24"/>
          <w:szCs w:val="24"/>
          <w:lang w:bidi="fa-IR"/>
        </w:rPr>
      </w:pPr>
      <w:r w:rsidRPr="00F45008">
        <w:rPr>
          <w:rFonts w:ascii="Arial" w:eastAsia="Calibri" w:hAnsi="Arial" w:cs="Arial"/>
          <w:sz w:val="24"/>
          <w:szCs w:val="24"/>
          <w:lang w:bidi="fa-IR"/>
        </w:rPr>
        <w:t>The fully deprotected linear peptide was dissolved in H</w:t>
      </w:r>
      <w:r w:rsidRPr="00F45008">
        <w:rPr>
          <w:rFonts w:ascii="Arial" w:eastAsia="Calibri" w:hAnsi="Arial" w:cs="Arial"/>
          <w:sz w:val="24"/>
          <w:szCs w:val="24"/>
          <w:vertAlign w:val="subscript"/>
          <w:lang w:bidi="fa-IR"/>
        </w:rPr>
        <w:t>2</w:t>
      </w:r>
      <w:r w:rsidRPr="00F45008">
        <w:rPr>
          <w:rFonts w:ascii="Arial" w:eastAsia="Calibri" w:hAnsi="Arial" w:cs="Arial"/>
          <w:sz w:val="24"/>
          <w:szCs w:val="24"/>
          <w:lang w:bidi="fa-IR"/>
        </w:rPr>
        <w:t>O or H</w:t>
      </w:r>
      <w:r w:rsidRPr="00F45008">
        <w:rPr>
          <w:rFonts w:ascii="Arial" w:eastAsia="Calibri" w:hAnsi="Arial" w:cs="Arial"/>
          <w:sz w:val="24"/>
          <w:szCs w:val="24"/>
          <w:vertAlign w:val="subscript"/>
          <w:lang w:bidi="fa-IR"/>
        </w:rPr>
        <w:t>2</w:t>
      </w:r>
      <w:r w:rsidRPr="00F45008">
        <w:rPr>
          <w:rFonts w:ascii="Arial" w:eastAsia="Calibri" w:hAnsi="Arial" w:cs="Arial"/>
          <w:sz w:val="24"/>
          <w:szCs w:val="24"/>
          <w:lang w:bidi="fa-IR"/>
        </w:rPr>
        <w:t>O/acetonitrile. Then, the solution was buffered to pH=9 with ammonium acetate 10%, and the mixture was stirred at room temperature for 6 h. Afterward, the mixture was lyophilized and the cyclic peptide was analyzed by HPLC (high-performance liquid chromatography) and Mass (ESI).</w:t>
      </w:r>
    </w:p>
    <w:p w14:paraId="6D80AB4E" w14:textId="6080BCE9" w:rsidR="00C56611" w:rsidRPr="00F45008" w:rsidRDefault="00C56611" w:rsidP="007032B7">
      <w:pPr>
        <w:spacing w:after="0" w:line="360" w:lineRule="auto"/>
        <w:ind w:left="360"/>
        <w:jc w:val="both"/>
        <w:rPr>
          <w:rFonts w:ascii="Arial" w:eastAsia="Calibri" w:hAnsi="Arial" w:cs="Arial"/>
          <w:sz w:val="24"/>
          <w:szCs w:val="24"/>
          <w:highlight w:val="yellow"/>
          <w:lang w:bidi="fa-IR"/>
        </w:rPr>
      </w:pPr>
      <w:r w:rsidRPr="00F45008">
        <w:rPr>
          <w:rFonts w:ascii="Arial" w:eastAsia="Calibri" w:hAnsi="Arial" w:cs="Arial"/>
          <w:sz w:val="24"/>
          <w:szCs w:val="24"/>
          <w:lang w:bidi="fa-IR"/>
        </w:rPr>
        <w:t>The cyclic peptide was synthesized following the standard Fmoc-Solid Phase Peptide Synthesis (SPPS) procedure on 2-chlorotrityl resin and TBTU was used as a coupling reagent (</w:t>
      </w:r>
      <w:r w:rsidR="007032B7">
        <w:rPr>
          <w:rFonts w:ascii="Arial" w:eastAsia="Calibri" w:hAnsi="Arial" w:cs="Arial"/>
          <w:sz w:val="24"/>
          <w:szCs w:val="24"/>
          <w:lang w:bidi="fa-IR"/>
        </w:rPr>
        <w:t>Figure</w:t>
      </w:r>
      <w:r w:rsidR="007032B7" w:rsidRPr="00F45008">
        <w:rPr>
          <w:rFonts w:ascii="Arial" w:eastAsia="Calibri" w:hAnsi="Arial" w:cs="Arial"/>
          <w:sz w:val="24"/>
          <w:szCs w:val="24"/>
          <w:lang w:bidi="fa-IR"/>
        </w:rPr>
        <w:t xml:space="preserve"> </w:t>
      </w:r>
      <w:r w:rsidRPr="00F45008">
        <w:rPr>
          <w:rFonts w:ascii="Arial" w:eastAsia="Calibri" w:hAnsi="Arial" w:cs="Arial"/>
          <w:sz w:val="24"/>
          <w:szCs w:val="24"/>
          <w:lang w:bidi="fa-IR"/>
        </w:rPr>
        <w:t>S1). Briefly, (1) Fmoc-Cys(Trt)-OH was loaded to the surface of the resin using diisopropylethylamine (DIEA); (2) after capping with MeOH other Fmoc-protected amino acids were added to the peptide sequence using TBTU as coupling reagent. Coupling reactions were performed utilizing Fmoc-amino acid/TBTU /DIEA/. A 25% piperidine in DMF solution was used to deprotect Fmoc groups. The Kaiser test was performed to confirm the coupling of amino acids. The desired fully protected decapeptide on the surface of resin A was obtained after the successive addition of the 10 amino acids in the sequence. The subsequent steps were performed to access linear decapeptide-based peptide: (1) the protected peptide A was cleaved from the resin surface utilizing 1% TFA, and compound B was formed; (2) the final deprotection was done using reagent K (TFA/TES/H2O/MeOH (95%: 2%: 1.5%: 1.5%); and (3) cyclization of the fully deprotected peptide was performed in 500 ml of H</w:t>
      </w:r>
      <w:r w:rsidRPr="00F45008">
        <w:rPr>
          <w:rFonts w:ascii="Arial" w:eastAsia="Calibri" w:hAnsi="Arial" w:cs="Arial"/>
          <w:sz w:val="24"/>
          <w:szCs w:val="24"/>
          <w:vertAlign w:val="subscript"/>
          <w:lang w:bidi="fa-IR"/>
        </w:rPr>
        <w:t>2</w:t>
      </w:r>
      <w:r w:rsidRPr="00F45008">
        <w:rPr>
          <w:rFonts w:ascii="Arial" w:eastAsia="Calibri" w:hAnsi="Arial" w:cs="Arial"/>
          <w:sz w:val="24"/>
          <w:szCs w:val="24"/>
          <w:lang w:bidi="fa-IR"/>
        </w:rPr>
        <w:t>O or H</w:t>
      </w:r>
      <w:r w:rsidRPr="00F45008">
        <w:rPr>
          <w:rFonts w:ascii="Arial" w:eastAsia="Calibri" w:hAnsi="Arial" w:cs="Arial"/>
          <w:sz w:val="24"/>
          <w:szCs w:val="24"/>
          <w:vertAlign w:val="subscript"/>
          <w:lang w:bidi="fa-IR"/>
        </w:rPr>
        <w:t>2</w:t>
      </w:r>
      <w:r w:rsidRPr="00F45008">
        <w:rPr>
          <w:rFonts w:ascii="Arial" w:eastAsia="Calibri" w:hAnsi="Arial" w:cs="Arial"/>
          <w:sz w:val="24"/>
          <w:szCs w:val="24"/>
          <w:lang w:bidi="fa-IR"/>
        </w:rPr>
        <w:t>O/acetonitrile (for 200 mg of linear peptide) with air oxidation to access the desired cyclic peptide. Subsequently, the solution was buffered to pH = 9 by adding ammonium acetate 10%. Cyclization was usually complete within 6 h, as shown by HPLC control. Then, the solvents were evaporated, and the peptides were lyophilized (Yields = 98 d). HPLC (Column C-18, Eurospher 100, 7 μm) was used to purify the peptide.</w:t>
      </w:r>
    </w:p>
    <w:p w14:paraId="428DA52C" w14:textId="77777777" w:rsidR="00C56611" w:rsidRPr="00F45008" w:rsidRDefault="00C56611" w:rsidP="00C56611">
      <w:pPr>
        <w:pStyle w:val="ListParagraph"/>
        <w:numPr>
          <w:ilvl w:val="0"/>
          <w:numId w:val="1"/>
        </w:numPr>
        <w:spacing w:line="360" w:lineRule="auto"/>
        <w:jc w:val="both"/>
        <w:rPr>
          <w:rFonts w:ascii="Arial" w:eastAsia="Calibri" w:hAnsi="Arial" w:cs="Arial"/>
          <w:sz w:val="24"/>
          <w:szCs w:val="24"/>
          <w:lang w:bidi="fa-IR"/>
        </w:rPr>
      </w:pPr>
      <w:r w:rsidRPr="00F45008">
        <w:rPr>
          <w:rFonts w:ascii="Arial" w:eastAsia="Calibri" w:hAnsi="Arial" w:cs="Arial"/>
          <w:b/>
          <w:bCs/>
          <w:sz w:val="24"/>
          <w:szCs w:val="24"/>
          <w:lang w:bidi="fa-IR"/>
        </w:rPr>
        <w:lastRenderedPageBreak/>
        <w:t>High performance liquid chromatography</w:t>
      </w:r>
    </w:p>
    <w:p w14:paraId="09E3A083" w14:textId="3DCBB397" w:rsidR="00C56611" w:rsidRPr="00F45008" w:rsidRDefault="00C56611" w:rsidP="00A152DA">
      <w:pPr>
        <w:spacing w:line="360" w:lineRule="auto"/>
        <w:ind w:left="360"/>
        <w:jc w:val="both"/>
        <w:rPr>
          <w:rFonts w:ascii="Arial" w:eastAsia="Calibri" w:hAnsi="Arial" w:cs="Arial"/>
          <w:sz w:val="24"/>
          <w:szCs w:val="24"/>
          <w:lang w:bidi="fa-IR"/>
        </w:rPr>
      </w:pPr>
      <w:r w:rsidRPr="00F45008">
        <w:rPr>
          <w:rFonts w:ascii="Arial" w:eastAsia="Calibri" w:hAnsi="Arial" w:cs="Arial"/>
          <w:sz w:val="24"/>
          <w:szCs w:val="24"/>
          <w:lang w:bidi="fa-IR"/>
        </w:rPr>
        <w:t>The samples were dissolved in solvent A for liquid chromatography. The mobile phase for all HPLC purifications consisted of solvent A (</w:t>
      </w:r>
      <w:r w:rsidRPr="00F45008">
        <w:rPr>
          <w:rFonts w:ascii="Arial" w:eastAsia="Calibri" w:hAnsi="Arial" w:cs="Arial"/>
          <w:color w:val="000000" w:themeColor="text1"/>
          <w:sz w:val="24"/>
          <w:szCs w:val="24"/>
          <w:lang w:bidi="fa-IR"/>
        </w:rPr>
        <w:t xml:space="preserve">Acetonitrile/Water (70/30)) </w:t>
      </w:r>
      <w:r w:rsidRPr="00F45008">
        <w:rPr>
          <w:rFonts w:ascii="Arial" w:eastAsia="Calibri" w:hAnsi="Arial" w:cs="Arial"/>
          <w:sz w:val="24"/>
          <w:szCs w:val="24"/>
          <w:lang w:bidi="fa-IR"/>
        </w:rPr>
        <w:t>and solvent B (NaH</w:t>
      </w:r>
      <w:r w:rsidRPr="00F45008">
        <w:rPr>
          <w:rFonts w:ascii="Arial" w:eastAsia="Calibri" w:hAnsi="Arial" w:cs="Arial"/>
          <w:sz w:val="24"/>
          <w:szCs w:val="24"/>
          <w:vertAlign w:val="subscript"/>
          <w:lang w:bidi="fa-IR"/>
        </w:rPr>
        <w:t>2</w:t>
      </w:r>
      <w:r w:rsidRPr="00F45008">
        <w:rPr>
          <w:rFonts w:ascii="Arial" w:eastAsia="Calibri" w:hAnsi="Arial" w:cs="Arial"/>
          <w:sz w:val="24"/>
          <w:szCs w:val="24"/>
          <w:lang w:bidi="fa-IR"/>
        </w:rPr>
        <w:t>PO</w:t>
      </w:r>
      <w:r w:rsidRPr="00F45008">
        <w:rPr>
          <w:rFonts w:ascii="Arial" w:eastAsia="Calibri" w:hAnsi="Arial" w:cs="Arial"/>
          <w:sz w:val="24"/>
          <w:szCs w:val="24"/>
          <w:vertAlign w:val="subscript"/>
          <w:lang w:bidi="fa-IR"/>
        </w:rPr>
        <w:t>4</w:t>
      </w:r>
      <w:r w:rsidRPr="00F45008">
        <w:rPr>
          <w:rFonts w:ascii="Arial" w:eastAsia="Calibri" w:hAnsi="Arial" w:cs="Arial"/>
          <w:sz w:val="24"/>
          <w:szCs w:val="24"/>
          <w:lang w:bidi="fa-IR"/>
        </w:rPr>
        <w:t>/Water (10 mM)), and separations were performed on an HPLC system (Knauer, Germany) equipped with a pump 1800 (Knauer, Germany), UV detector 2500 (Knauer, Germany) (Table S2). Peptide purification was performed at a preparative scale using the C18 column (120 mm × 20mm, 10 μm). The flow rate was set to 10 mL.min</w:t>
      </w:r>
      <w:r w:rsidRPr="00F45008">
        <w:rPr>
          <w:rFonts w:ascii="Arial" w:eastAsia="Calibri" w:hAnsi="Arial" w:cs="Arial"/>
          <w:sz w:val="24"/>
          <w:szCs w:val="24"/>
          <w:vertAlign w:val="superscript"/>
          <w:lang w:bidi="fa-IR"/>
        </w:rPr>
        <w:t>−1</w:t>
      </w:r>
      <w:r w:rsidRPr="00F45008">
        <w:rPr>
          <w:rFonts w:ascii="Arial" w:eastAsia="Calibri" w:hAnsi="Arial" w:cs="Arial"/>
          <w:sz w:val="24"/>
          <w:szCs w:val="24"/>
          <w:lang w:bidi="fa-IR"/>
        </w:rPr>
        <w:t xml:space="preserve"> and the employed elution program started at 95 % A and remained at this point for 5 min before changing to 45 % of solvent A over 65 min. The elution profile was monitored via UV absorbance at 210 nm, and peptides were collected manually according to their absorbance at 210 nm.</w:t>
      </w:r>
    </w:p>
    <w:p w14:paraId="63FAA25E" w14:textId="268A9515" w:rsidR="00C56611" w:rsidRPr="00F45008" w:rsidRDefault="00C56611" w:rsidP="007032B7">
      <w:pPr>
        <w:spacing w:line="360" w:lineRule="auto"/>
        <w:ind w:left="360"/>
        <w:jc w:val="both"/>
        <w:rPr>
          <w:rFonts w:ascii="Arial" w:eastAsia="Calibri" w:hAnsi="Arial" w:cs="Arial"/>
          <w:sz w:val="24"/>
          <w:szCs w:val="24"/>
          <w:lang w:bidi="fa-IR"/>
        </w:rPr>
      </w:pPr>
      <w:r w:rsidRPr="00F45008">
        <w:rPr>
          <w:rFonts w:ascii="Arial" w:eastAsia="Calibri" w:hAnsi="Arial" w:cs="Arial"/>
          <w:sz w:val="24"/>
          <w:szCs w:val="24"/>
          <w:lang w:bidi="fa-IR"/>
        </w:rPr>
        <w:t>Analytical RP-HPLC (Rigol, China) separation was carried out using an Agilent C18 column (250 mm × 4.6 mm, 5 μm) at a flow rate of 1 mL.min</w:t>
      </w:r>
      <w:r w:rsidRPr="00F45008">
        <w:rPr>
          <w:rFonts w:ascii="Arial" w:eastAsia="Calibri" w:hAnsi="Arial" w:cs="Arial"/>
          <w:sz w:val="24"/>
          <w:szCs w:val="24"/>
          <w:vertAlign w:val="superscript"/>
          <w:lang w:bidi="fa-IR"/>
        </w:rPr>
        <w:t>−1</w:t>
      </w:r>
      <w:r w:rsidRPr="00F45008">
        <w:rPr>
          <w:rFonts w:ascii="Arial" w:eastAsia="Calibri" w:hAnsi="Arial" w:cs="Arial"/>
          <w:sz w:val="24"/>
          <w:szCs w:val="24"/>
          <w:lang w:bidi="fa-IR"/>
        </w:rPr>
        <w:t xml:space="preserve"> and the mobile phase consisted of solvent A [TFA/Water (0.1%)] and solvent B [Acetonitrile/Buffer A (80/20)]. Separations were performed on an HPLC system (Rigol, China) equipped with a pump 1000 (Rigol, China), UV detector 2500 (Rigol, China) (Table S3). The employed elution program started at 95 % A and remained at this point for 5 min before changing to 55 % of solvent A over 45 min at 1% min</w:t>
      </w:r>
      <w:r w:rsidRPr="00F45008">
        <w:rPr>
          <w:rFonts w:ascii="Arial" w:eastAsia="Calibri" w:hAnsi="Arial" w:cs="Arial"/>
          <w:sz w:val="24"/>
          <w:szCs w:val="24"/>
          <w:vertAlign w:val="superscript"/>
          <w:lang w:bidi="fa-IR"/>
        </w:rPr>
        <w:t>-1</w:t>
      </w:r>
      <w:r w:rsidRPr="00F45008">
        <w:rPr>
          <w:rFonts w:ascii="Arial" w:eastAsia="Calibri" w:hAnsi="Arial" w:cs="Arial"/>
          <w:sz w:val="24"/>
          <w:szCs w:val="24"/>
          <w:lang w:bidi="fa-IR"/>
        </w:rPr>
        <w:t>. The elution profile was monitored via UV absorbance at 210 nm, and peptides were collected manually according to their absorbance at 210 nm. HPLC analysis found that linear decapeptide (H-Glu-Cys-Arg-Pro-Pro-Asp-Asp-Gly-Leu-Cys-OH) was obtained in 91 % &lt; purity (t</w:t>
      </w:r>
      <w:r w:rsidRPr="00F45008">
        <w:rPr>
          <w:rFonts w:ascii="Arial" w:eastAsia="Calibri" w:hAnsi="Arial" w:cs="Arial"/>
          <w:sz w:val="24"/>
          <w:szCs w:val="24"/>
          <w:vertAlign w:val="subscript"/>
          <w:lang w:bidi="fa-IR"/>
        </w:rPr>
        <w:t>R</w:t>
      </w:r>
      <w:r w:rsidRPr="00F45008">
        <w:rPr>
          <w:rFonts w:ascii="Arial" w:eastAsia="Calibri" w:hAnsi="Arial" w:cs="Arial"/>
          <w:sz w:val="24"/>
          <w:szCs w:val="24"/>
          <w:lang w:bidi="fa-IR"/>
        </w:rPr>
        <w:t>: 27.13 min) (</w:t>
      </w:r>
      <w:r w:rsidR="007032B7">
        <w:rPr>
          <w:rFonts w:ascii="Arial" w:eastAsia="Calibri" w:hAnsi="Arial" w:cs="Arial"/>
          <w:sz w:val="24"/>
          <w:szCs w:val="24"/>
          <w:lang w:bidi="fa-IR"/>
        </w:rPr>
        <w:t>Figure</w:t>
      </w:r>
      <w:r w:rsidRPr="00F45008">
        <w:rPr>
          <w:rFonts w:ascii="Arial" w:eastAsia="Calibri" w:hAnsi="Arial" w:cs="Arial"/>
          <w:sz w:val="24"/>
          <w:szCs w:val="24"/>
          <w:rtl/>
          <w:lang w:bidi="fa-IR"/>
        </w:rPr>
        <w:t>.</w:t>
      </w:r>
      <w:r w:rsidRPr="00F45008">
        <w:rPr>
          <w:rFonts w:ascii="Arial" w:eastAsia="Calibri" w:hAnsi="Arial" w:cs="Arial"/>
          <w:sz w:val="24"/>
          <w:szCs w:val="24"/>
          <w:lang w:bidi="fa-IR"/>
        </w:rPr>
        <w:t xml:space="preserve"> S2). Also, HPLC analysis found that cyclic peptide was obtained in 96 % &lt; purity (t</w:t>
      </w:r>
      <w:r w:rsidRPr="00F45008">
        <w:rPr>
          <w:rFonts w:ascii="Arial" w:eastAsia="Calibri" w:hAnsi="Arial" w:cs="Arial"/>
          <w:sz w:val="24"/>
          <w:szCs w:val="24"/>
          <w:vertAlign w:val="subscript"/>
          <w:lang w:bidi="fa-IR"/>
        </w:rPr>
        <w:t>R</w:t>
      </w:r>
      <w:r w:rsidRPr="00F45008">
        <w:rPr>
          <w:rFonts w:ascii="Arial" w:eastAsia="Calibri" w:hAnsi="Arial" w:cs="Arial"/>
          <w:sz w:val="24"/>
          <w:szCs w:val="24"/>
          <w:lang w:bidi="fa-IR"/>
        </w:rPr>
        <w:t>: 24.38 min) (</w:t>
      </w:r>
      <w:r w:rsidR="007032B7">
        <w:rPr>
          <w:rFonts w:ascii="Arial" w:eastAsia="Calibri" w:hAnsi="Arial" w:cs="Arial"/>
          <w:sz w:val="24"/>
          <w:szCs w:val="24"/>
          <w:lang w:bidi="fa-IR"/>
        </w:rPr>
        <w:t>Figure</w:t>
      </w:r>
      <w:r w:rsidRPr="00F45008">
        <w:rPr>
          <w:rFonts w:ascii="Arial" w:eastAsia="Calibri" w:hAnsi="Arial" w:cs="Arial"/>
          <w:sz w:val="24"/>
          <w:szCs w:val="24"/>
          <w:lang w:bidi="fa-IR"/>
        </w:rPr>
        <w:t xml:space="preserve"> S3). </w:t>
      </w:r>
    </w:p>
    <w:p w14:paraId="2133D168" w14:textId="77777777" w:rsidR="00C56611" w:rsidRPr="00F45008" w:rsidRDefault="00C56611" w:rsidP="00C56611">
      <w:pPr>
        <w:pStyle w:val="ListParagraph"/>
        <w:numPr>
          <w:ilvl w:val="0"/>
          <w:numId w:val="1"/>
        </w:numPr>
        <w:spacing w:line="360" w:lineRule="auto"/>
        <w:jc w:val="both"/>
        <w:rPr>
          <w:rFonts w:ascii="Arial" w:eastAsia="Calibri" w:hAnsi="Arial" w:cs="Arial"/>
          <w:b/>
          <w:bCs/>
          <w:sz w:val="24"/>
          <w:szCs w:val="24"/>
          <w:lang w:bidi="fa-IR"/>
        </w:rPr>
      </w:pPr>
      <w:r w:rsidRPr="00F45008">
        <w:rPr>
          <w:rFonts w:ascii="Arial" w:eastAsia="Calibri" w:hAnsi="Arial" w:cs="Arial"/>
          <w:b/>
          <w:bCs/>
          <w:sz w:val="24"/>
          <w:szCs w:val="24"/>
          <w:lang w:bidi="fa-IR"/>
        </w:rPr>
        <w:t>Mass spectrometry analysis</w:t>
      </w:r>
    </w:p>
    <w:p w14:paraId="5BF553C7" w14:textId="149281A6" w:rsidR="00C56611" w:rsidRPr="00F45008" w:rsidRDefault="00C56611" w:rsidP="006C4BEE">
      <w:pPr>
        <w:spacing w:line="360" w:lineRule="auto"/>
        <w:ind w:left="360"/>
        <w:jc w:val="both"/>
        <w:rPr>
          <w:rFonts w:ascii="Arial" w:eastAsia="Calibri" w:hAnsi="Arial" w:cs="Arial"/>
          <w:sz w:val="24"/>
          <w:szCs w:val="24"/>
          <w:highlight w:val="yellow"/>
          <w:lang w:bidi="fa-IR"/>
        </w:rPr>
      </w:pPr>
      <w:r w:rsidRPr="00F45008">
        <w:rPr>
          <w:rFonts w:ascii="Arial" w:eastAsia="Calibri" w:hAnsi="Arial" w:cs="Arial"/>
          <w:sz w:val="24"/>
          <w:szCs w:val="24"/>
          <w:lang w:bidi="fa-IR"/>
        </w:rPr>
        <w:t>The linear peptide structure was approved using Mass (ESI). Also, the cyclic peptide structure was approved using Mass (ESI). Mass (ESI): C</w:t>
      </w:r>
      <w:r w:rsidRPr="00F45008">
        <w:rPr>
          <w:rFonts w:ascii="Arial" w:eastAsia="Calibri" w:hAnsi="Arial" w:cs="Arial"/>
          <w:sz w:val="24"/>
          <w:szCs w:val="24"/>
          <w:vertAlign w:val="subscript"/>
          <w:lang w:bidi="fa-IR"/>
        </w:rPr>
        <w:t>43</w:t>
      </w:r>
      <w:r w:rsidRPr="00F45008">
        <w:rPr>
          <w:rFonts w:ascii="Arial" w:eastAsia="Calibri" w:hAnsi="Arial" w:cs="Arial"/>
          <w:sz w:val="24"/>
          <w:szCs w:val="24"/>
          <w:lang w:bidi="fa-IR"/>
        </w:rPr>
        <w:t>H</w:t>
      </w:r>
      <w:r w:rsidRPr="00F45008">
        <w:rPr>
          <w:rFonts w:ascii="Arial" w:eastAsia="Calibri" w:hAnsi="Arial" w:cs="Arial"/>
          <w:sz w:val="24"/>
          <w:szCs w:val="24"/>
          <w:vertAlign w:val="subscript"/>
          <w:lang w:bidi="fa-IR"/>
        </w:rPr>
        <w:t>69</w:t>
      </w:r>
      <w:r w:rsidRPr="00F45008">
        <w:rPr>
          <w:rFonts w:ascii="Arial" w:eastAsia="Calibri" w:hAnsi="Arial" w:cs="Arial"/>
          <w:sz w:val="24"/>
          <w:szCs w:val="24"/>
          <w:lang w:bidi="fa-IR"/>
        </w:rPr>
        <w:t>N</w:t>
      </w:r>
      <w:r w:rsidRPr="00F45008">
        <w:rPr>
          <w:rFonts w:ascii="Arial" w:eastAsia="Calibri" w:hAnsi="Arial" w:cs="Arial"/>
          <w:sz w:val="24"/>
          <w:szCs w:val="24"/>
          <w:vertAlign w:val="subscript"/>
          <w:lang w:bidi="fa-IR"/>
        </w:rPr>
        <w:t>13</w:t>
      </w:r>
      <w:r w:rsidRPr="00F45008">
        <w:rPr>
          <w:rFonts w:ascii="Arial" w:eastAsia="Calibri" w:hAnsi="Arial" w:cs="Arial"/>
          <w:sz w:val="24"/>
          <w:szCs w:val="24"/>
          <w:lang w:bidi="fa-IR"/>
        </w:rPr>
        <w:t>O</w:t>
      </w:r>
      <w:r w:rsidRPr="00F45008">
        <w:rPr>
          <w:rFonts w:ascii="Arial" w:eastAsia="Calibri" w:hAnsi="Arial" w:cs="Arial"/>
          <w:sz w:val="24"/>
          <w:szCs w:val="24"/>
          <w:vertAlign w:val="subscript"/>
          <w:lang w:bidi="fa-IR"/>
        </w:rPr>
        <w:t>17</w:t>
      </w:r>
      <w:r w:rsidRPr="00F45008">
        <w:rPr>
          <w:rFonts w:ascii="Arial" w:eastAsia="Calibri" w:hAnsi="Arial" w:cs="Arial"/>
          <w:sz w:val="24"/>
          <w:szCs w:val="24"/>
          <w:lang w:bidi="fa-IR"/>
        </w:rPr>
        <w:t>S</w:t>
      </w:r>
      <w:r w:rsidRPr="00F45008">
        <w:rPr>
          <w:rFonts w:ascii="Arial" w:eastAsia="Calibri" w:hAnsi="Arial" w:cs="Arial"/>
          <w:sz w:val="24"/>
          <w:szCs w:val="24"/>
          <w:vertAlign w:val="subscript"/>
          <w:lang w:bidi="fa-IR"/>
        </w:rPr>
        <w:t>2</w:t>
      </w:r>
      <w:r w:rsidRPr="00F45008">
        <w:rPr>
          <w:rFonts w:ascii="Arial" w:eastAsia="Calibri" w:hAnsi="Arial" w:cs="Arial"/>
          <w:sz w:val="24"/>
          <w:szCs w:val="24"/>
          <w:lang w:bidi="fa-IR"/>
        </w:rPr>
        <w:t xml:space="preserve"> </w:t>
      </w:r>
      <w:r w:rsidRPr="00F45008">
        <w:rPr>
          <w:rFonts w:ascii="Arial" w:eastAsia="Calibri" w:hAnsi="Arial" w:cs="Arial"/>
          <w:i/>
          <w:iCs/>
          <w:sz w:val="24"/>
          <w:szCs w:val="24"/>
          <w:lang w:bidi="fa-IR"/>
        </w:rPr>
        <w:t xml:space="preserve">m/z </w:t>
      </w:r>
      <w:r w:rsidRPr="00F45008">
        <w:rPr>
          <w:rFonts w:ascii="Arial" w:eastAsia="Calibri" w:hAnsi="Arial" w:cs="Arial"/>
          <w:sz w:val="24"/>
          <w:szCs w:val="24"/>
          <w:lang w:bidi="fa-IR"/>
        </w:rPr>
        <w:t>= [M+H]</w:t>
      </w:r>
      <w:r w:rsidRPr="00F45008">
        <w:rPr>
          <w:rFonts w:ascii="Arial" w:eastAsia="Calibri" w:hAnsi="Arial" w:cs="Arial"/>
          <w:sz w:val="24"/>
          <w:szCs w:val="24"/>
          <w:vertAlign w:val="superscript"/>
          <w:lang w:bidi="fa-IR"/>
        </w:rPr>
        <w:t>+</w:t>
      </w:r>
      <w:r w:rsidRPr="00F45008">
        <w:rPr>
          <w:rFonts w:ascii="Arial" w:eastAsia="Calibri" w:hAnsi="Arial" w:cs="Arial"/>
          <w:sz w:val="24"/>
          <w:szCs w:val="24"/>
          <w:lang w:bidi="fa-IR"/>
        </w:rPr>
        <w:t xml:space="preserve"> found 1104 for the linear peptide. Also, mass (ESI): C</w:t>
      </w:r>
      <w:r w:rsidRPr="00F45008">
        <w:rPr>
          <w:rFonts w:ascii="Arial" w:eastAsia="Calibri" w:hAnsi="Arial" w:cs="Arial"/>
          <w:sz w:val="24"/>
          <w:szCs w:val="24"/>
          <w:vertAlign w:val="subscript"/>
          <w:lang w:bidi="fa-IR"/>
        </w:rPr>
        <w:t>43</w:t>
      </w:r>
      <w:r w:rsidRPr="00F45008">
        <w:rPr>
          <w:rFonts w:ascii="Arial" w:eastAsia="Calibri" w:hAnsi="Arial" w:cs="Arial"/>
          <w:sz w:val="24"/>
          <w:szCs w:val="24"/>
          <w:lang w:bidi="fa-IR"/>
        </w:rPr>
        <w:t>H</w:t>
      </w:r>
      <w:r w:rsidRPr="00F45008">
        <w:rPr>
          <w:rFonts w:ascii="Arial" w:eastAsia="Calibri" w:hAnsi="Arial" w:cs="Arial"/>
          <w:sz w:val="24"/>
          <w:szCs w:val="24"/>
          <w:vertAlign w:val="subscript"/>
          <w:lang w:bidi="fa-IR"/>
        </w:rPr>
        <w:t>67</w:t>
      </w:r>
      <w:r w:rsidRPr="00F45008">
        <w:rPr>
          <w:rFonts w:ascii="Arial" w:eastAsia="Calibri" w:hAnsi="Arial" w:cs="Arial"/>
          <w:sz w:val="24"/>
          <w:szCs w:val="24"/>
          <w:lang w:bidi="fa-IR"/>
        </w:rPr>
        <w:t>N</w:t>
      </w:r>
      <w:r w:rsidRPr="00F45008">
        <w:rPr>
          <w:rFonts w:ascii="Arial" w:eastAsia="Calibri" w:hAnsi="Arial" w:cs="Arial"/>
          <w:sz w:val="24"/>
          <w:szCs w:val="24"/>
          <w:vertAlign w:val="subscript"/>
          <w:lang w:bidi="fa-IR"/>
        </w:rPr>
        <w:t>13</w:t>
      </w:r>
      <w:r w:rsidRPr="00F45008">
        <w:rPr>
          <w:rFonts w:ascii="Arial" w:eastAsia="Calibri" w:hAnsi="Arial" w:cs="Arial"/>
          <w:sz w:val="24"/>
          <w:szCs w:val="24"/>
          <w:lang w:bidi="fa-IR"/>
        </w:rPr>
        <w:t>O</w:t>
      </w:r>
      <w:r w:rsidRPr="00F45008">
        <w:rPr>
          <w:rFonts w:ascii="Arial" w:eastAsia="Calibri" w:hAnsi="Arial" w:cs="Arial"/>
          <w:sz w:val="24"/>
          <w:szCs w:val="24"/>
          <w:vertAlign w:val="subscript"/>
          <w:lang w:bidi="fa-IR"/>
        </w:rPr>
        <w:t>17</w:t>
      </w:r>
      <w:r w:rsidRPr="00F45008">
        <w:rPr>
          <w:rFonts w:ascii="Arial" w:eastAsia="Calibri" w:hAnsi="Arial" w:cs="Arial"/>
          <w:sz w:val="24"/>
          <w:szCs w:val="24"/>
          <w:lang w:bidi="fa-IR"/>
        </w:rPr>
        <w:t>S</w:t>
      </w:r>
      <w:r w:rsidRPr="00F45008">
        <w:rPr>
          <w:rFonts w:ascii="Arial" w:eastAsia="Calibri" w:hAnsi="Arial" w:cs="Arial"/>
          <w:sz w:val="24"/>
          <w:szCs w:val="24"/>
          <w:vertAlign w:val="subscript"/>
          <w:lang w:bidi="fa-IR"/>
        </w:rPr>
        <w:t>2</w:t>
      </w:r>
      <w:r w:rsidRPr="00F45008">
        <w:rPr>
          <w:rFonts w:ascii="Arial" w:eastAsia="Calibri" w:hAnsi="Arial" w:cs="Arial"/>
          <w:sz w:val="24"/>
          <w:szCs w:val="24"/>
          <w:lang w:bidi="fa-IR"/>
        </w:rPr>
        <w:t xml:space="preserve"> </w:t>
      </w:r>
      <w:r w:rsidRPr="00F45008">
        <w:rPr>
          <w:rFonts w:ascii="Arial" w:eastAsia="Calibri" w:hAnsi="Arial" w:cs="Arial"/>
          <w:i/>
          <w:iCs/>
          <w:sz w:val="24"/>
          <w:szCs w:val="24"/>
          <w:lang w:bidi="fa-IR"/>
        </w:rPr>
        <w:t xml:space="preserve">m/z </w:t>
      </w:r>
      <w:r w:rsidRPr="00F45008">
        <w:rPr>
          <w:rFonts w:ascii="Arial" w:eastAsia="Calibri" w:hAnsi="Arial" w:cs="Arial"/>
          <w:sz w:val="24"/>
          <w:szCs w:val="24"/>
          <w:lang w:bidi="fa-IR"/>
        </w:rPr>
        <w:t>= [M+ H]</w:t>
      </w:r>
      <w:r w:rsidRPr="00F45008">
        <w:rPr>
          <w:rFonts w:ascii="Arial" w:eastAsia="Calibri" w:hAnsi="Arial" w:cs="Arial"/>
          <w:sz w:val="24"/>
          <w:szCs w:val="24"/>
          <w:vertAlign w:val="superscript"/>
          <w:lang w:bidi="fa-IR"/>
        </w:rPr>
        <w:t>+</w:t>
      </w:r>
      <w:r w:rsidRPr="00F45008">
        <w:rPr>
          <w:rFonts w:ascii="Arial" w:eastAsia="Calibri" w:hAnsi="Arial" w:cs="Arial"/>
          <w:sz w:val="24"/>
          <w:szCs w:val="24"/>
          <w:lang w:bidi="fa-IR"/>
        </w:rPr>
        <w:t xml:space="preserve"> found 1102 for the cyclic peptide. LC-MS analyses were performed by an Agilent Triple Quadrupole LC/MS 6410 Diode array detector, ALS, TCC, Bin pump, and Degasser: 1200 series. The MS instrument was operated at the following settings: </w:t>
      </w:r>
      <w:r w:rsidRPr="00F45008">
        <w:rPr>
          <w:rFonts w:ascii="Arial" w:eastAsia="Calibri" w:hAnsi="Arial" w:cs="Arial"/>
          <w:sz w:val="24"/>
          <w:szCs w:val="24"/>
          <w:lang w:bidi="fa-IR"/>
        </w:rPr>
        <w:lastRenderedPageBreak/>
        <w:t xml:space="preserve">Drying gas: Nitrogen (300 </w:t>
      </w:r>
      <w:r w:rsidRPr="00F45008">
        <w:rPr>
          <w:rFonts w:ascii="Arial" w:eastAsia="Calibri" w:hAnsi="Arial" w:cs="Arial"/>
          <w:sz w:val="24"/>
          <w:szCs w:val="24"/>
          <w:vertAlign w:val="superscript"/>
          <w:lang w:bidi="fa-IR"/>
        </w:rPr>
        <w:t>o</w:t>
      </w:r>
      <w:r w:rsidRPr="00F45008">
        <w:rPr>
          <w:rFonts w:ascii="Arial" w:eastAsia="Calibri" w:hAnsi="Arial" w:cs="Arial"/>
          <w:sz w:val="24"/>
          <w:szCs w:val="24"/>
          <w:lang w:bidi="fa-IR"/>
        </w:rPr>
        <w:t>C); source voltage 3.5 kV, nebulizing gas pressure: 50 PSI, Ionization mode: Electrospray. Product ions were then scanned and monitored (Fig</w:t>
      </w:r>
      <w:r w:rsidR="006C4BEE">
        <w:rPr>
          <w:rFonts w:ascii="Arial" w:eastAsia="Calibri" w:hAnsi="Arial" w:cs="Arial"/>
          <w:sz w:val="24"/>
          <w:szCs w:val="24"/>
          <w:lang w:bidi="fa-IR"/>
        </w:rPr>
        <w:t>ures</w:t>
      </w:r>
      <w:r w:rsidRPr="00F45008">
        <w:rPr>
          <w:rFonts w:ascii="Arial" w:eastAsia="Calibri" w:hAnsi="Arial" w:cs="Arial"/>
          <w:sz w:val="24"/>
          <w:szCs w:val="24"/>
          <w:lang w:bidi="fa-IR"/>
        </w:rPr>
        <w:t xml:space="preserve"> S4 and S5).</w:t>
      </w:r>
    </w:p>
    <w:p w14:paraId="6D9BE0B1" w14:textId="77777777" w:rsidR="00C56611" w:rsidRPr="00F45008" w:rsidRDefault="00C56611" w:rsidP="00C56611">
      <w:pPr>
        <w:pStyle w:val="ListParagraph"/>
        <w:numPr>
          <w:ilvl w:val="0"/>
          <w:numId w:val="1"/>
        </w:numPr>
        <w:spacing w:line="360" w:lineRule="auto"/>
        <w:jc w:val="both"/>
        <w:rPr>
          <w:rFonts w:ascii="Arial" w:hAnsi="Arial" w:cs="Arial"/>
          <w:b/>
          <w:bCs/>
          <w:sz w:val="24"/>
          <w:szCs w:val="24"/>
          <w:lang w:bidi="fa-IR"/>
        </w:rPr>
      </w:pPr>
      <w:r w:rsidRPr="00F45008">
        <w:rPr>
          <w:rFonts w:ascii="Arial" w:hAnsi="Arial" w:cs="Arial"/>
          <w:b/>
          <w:bCs/>
          <w:sz w:val="24"/>
          <w:szCs w:val="24"/>
          <w:lang w:bidi="fa-IR"/>
        </w:rPr>
        <w:t>Ellman assay</w:t>
      </w:r>
    </w:p>
    <w:p w14:paraId="1007D99E" w14:textId="77777777" w:rsidR="00C56611" w:rsidRPr="00F45008" w:rsidRDefault="00C56611" w:rsidP="00C56611">
      <w:pPr>
        <w:spacing w:line="360" w:lineRule="auto"/>
        <w:ind w:left="360"/>
        <w:jc w:val="both"/>
        <w:rPr>
          <w:rFonts w:ascii="Arial" w:hAnsi="Arial" w:cs="Arial"/>
          <w:sz w:val="24"/>
          <w:szCs w:val="24"/>
          <w:lang w:bidi="fa-IR"/>
        </w:rPr>
      </w:pPr>
      <w:r w:rsidRPr="00F45008">
        <w:rPr>
          <w:rFonts w:ascii="Arial" w:hAnsi="Arial" w:cs="Arial"/>
          <w:sz w:val="24"/>
          <w:szCs w:val="24"/>
          <w:lang w:bidi="fa-IR"/>
        </w:rPr>
        <w:t>The Ellman assay was performed to confirm the presence of the disulﬁde bond in cyclic VGB3. The procedure includes the addition of the peptide (1.23 µM) into the sodium phosphate (100 mM) reaction buffer at pH 8.0 containing 100 mM EDTA; the addition of  DTNB (4 mg.mL</w:t>
      </w:r>
      <w:r w:rsidRPr="00F45008">
        <w:rPr>
          <w:rFonts w:ascii="Arial" w:eastAsia="Calibri" w:hAnsi="Arial" w:cs="Arial"/>
          <w:sz w:val="24"/>
          <w:szCs w:val="24"/>
          <w:vertAlign w:val="superscript"/>
          <w:lang w:bidi="fa-IR"/>
        </w:rPr>
        <w:t>−1</w:t>
      </w:r>
      <w:r w:rsidRPr="00F45008">
        <w:rPr>
          <w:rFonts w:ascii="Arial" w:hAnsi="Arial" w:cs="Arial"/>
          <w:sz w:val="24"/>
          <w:szCs w:val="24"/>
          <w:lang w:bidi="fa-IR"/>
        </w:rPr>
        <w:t>) to the solution; a mix of the sample solution with an equal volume of the Ellman’s reagent and incubation for 15 min at ambient temperature; and finally, read the absorbance of reaction at 412 nm (ε = 1.36 × 104 M</w:t>
      </w:r>
      <w:r w:rsidRPr="00F45008">
        <w:rPr>
          <w:rFonts w:ascii="Arial" w:hAnsi="Arial" w:cs="Arial"/>
          <w:sz w:val="24"/>
          <w:szCs w:val="24"/>
          <w:vertAlign w:val="superscript"/>
          <w:lang w:bidi="fa-IR"/>
        </w:rPr>
        <w:t>−1</w:t>
      </w:r>
      <w:r w:rsidRPr="00F45008">
        <w:rPr>
          <w:rFonts w:ascii="Arial" w:hAnsi="Arial" w:cs="Arial"/>
          <w:sz w:val="24"/>
          <w:szCs w:val="24"/>
          <w:lang w:bidi="fa-IR"/>
        </w:rPr>
        <w:t xml:space="preserve"> cm</w:t>
      </w:r>
      <w:r w:rsidRPr="00F45008">
        <w:rPr>
          <w:rFonts w:ascii="Arial" w:hAnsi="Arial" w:cs="Arial"/>
          <w:sz w:val="24"/>
          <w:szCs w:val="24"/>
          <w:vertAlign w:val="superscript"/>
          <w:lang w:bidi="fa-IR"/>
        </w:rPr>
        <w:t>−1</w:t>
      </w:r>
      <w:r w:rsidRPr="00F45008">
        <w:rPr>
          <w:rFonts w:ascii="Arial" w:hAnsi="Arial" w:cs="Arial"/>
          <w:sz w:val="24"/>
          <w:szCs w:val="24"/>
          <w:lang w:bidi="fa-IR"/>
        </w:rPr>
        <w:t>) vs. a sulfhydryl standard ‘cysteine’ treated in the same manner to estimate the sulfhydryl concentration by a UV-3000 spectrophotometer (Pharmacia Biotech Ultrospect, Cambridge, England).</w:t>
      </w:r>
    </w:p>
    <w:p w14:paraId="559EAED6" w14:textId="77777777" w:rsidR="00C56611" w:rsidRPr="00F45008" w:rsidRDefault="00C56611" w:rsidP="00C56611">
      <w:pPr>
        <w:pStyle w:val="ListParagraph"/>
        <w:numPr>
          <w:ilvl w:val="0"/>
          <w:numId w:val="1"/>
        </w:numPr>
        <w:spacing w:line="360" w:lineRule="auto"/>
        <w:jc w:val="both"/>
        <w:rPr>
          <w:rFonts w:ascii="Arial" w:hAnsi="Arial" w:cs="Arial"/>
          <w:b/>
          <w:bCs/>
          <w:sz w:val="24"/>
          <w:szCs w:val="24"/>
          <w:lang w:bidi="fa-IR"/>
        </w:rPr>
      </w:pPr>
      <w:r w:rsidRPr="00F45008">
        <w:rPr>
          <w:rFonts w:ascii="Arial" w:hAnsi="Arial" w:cs="Arial"/>
          <w:b/>
          <w:bCs/>
          <w:sz w:val="24"/>
          <w:szCs w:val="24"/>
          <w:lang w:bidi="fa-IR"/>
        </w:rPr>
        <w:t>Molecular modeling and structural reﬁnement</w:t>
      </w:r>
    </w:p>
    <w:p w14:paraId="43A63BE2" w14:textId="12EFE5A5" w:rsidR="00C56611" w:rsidRPr="00F45008" w:rsidRDefault="00C56611" w:rsidP="007C4313">
      <w:pPr>
        <w:spacing w:line="360" w:lineRule="auto"/>
        <w:ind w:left="360"/>
        <w:jc w:val="both"/>
        <w:rPr>
          <w:rFonts w:ascii="Arial" w:hAnsi="Arial" w:cs="Arial"/>
          <w:sz w:val="24"/>
          <w:szCs w:val="24"/>
          <w:lang w:bidi="fa-IR"/>
        </w:rPr>
      </w:pPr>
      <w:r w:rsidRPr="00F45008">
        <w:rPr>
          <w:rFonts w:ascii="Arial" w:hAnsi="Arial" w:cs="Arial"/>
          <w:sz w:val="24"/>
          <w:szCs w:val="24"/>
          <w:lang w:bidi="fa-IR"/>
        </w:rPr>
        <w:t xml:space="preserve">Models of cyclic and linear VGB3 structures were built using homology modeling in the MODELLER software version 9.18 </w:t>
      </w:r>
      <w:hyperlink w:anchor="_ENREF_1" w:tooltip="Eswar, 2006 #50" w:history="1">
        <w:r w:rsidR="00737AAA" w:rsidRPr="00F45008">
          <w:rPr>
            <w:rFonts w:ascii="Arial" w:hAnsi="Arial" w:cs="Arial"/>
            <w:sz w:val="24"/>
            <w:szCs w:val="24"/>
            <w:lang w:bidi="fa-IR"/>
          </w:rPr>
          <w:fldChar w:fldCharType="begin"/>
        </w:r>
        <w:r w:rsidR="00737AAA">
          <w:rPr>
            <w:rFonts w:ascii="Arial" w:hAnsi="Arial" w:cs="Arial"/>
            <w:sz w:val="24"/>
            <w:szCs w:val="24"/>
            <w:lang w:bidi="fa-IR"/>
          </w:rPr>
          <w:instrText xml:space="preserve"> ADDIN EN.CITE &lt;EndNote&gt;&lt;Cite&gt;&lt;Author&gt;Eswar&lt;/Author&gt;&lt;Year&gt;2006&lt;/Year&gt;&lt;RecNum&gt;50&lt;/RecNum&gt;&lt;DisplayText&gt;&lt;style face="superscript"&gt;1&lt;/style&gt;&lt;/DisplayText&gt;&lt;record&gt;&lt;rec-number&gt;50&lt;/rec-number&gt;&lt;foreign-keys&gt;&lt;key app="EN" db-id="axftva55ivvx0deexpaxfzrgvf9090x9sep5"&gt;50&lt;/key&gt;&lt;/foreign-keys&gt;&lt;ref-type name="Journal Article"&gt;17&lt;/ref-type&gt;&lt;contributors&gt;&lt;authors&gt;&lt;author&gt;Eswar, Narayanan&lt;/author&gt;&lt;author&gt;Webb, Ben&lt;/author&gt;&lt;author&gt;Marti</w:instrText>
        </w:r>
        <w:r w:rsidR="00737AAA">
          <w:rPr>
            <w:rFonts w:ascii="Cambria Math" w:hAnsi="Cambria Math" w:cs="Cambria Math"/>
            <w:sz w:val="24"/>
            <w:szCs w:val="24"/>
            <w:lang w:bidi="fa-IR"/>
          </w:rPr>
          <w:instrText>‐</w:instrText>
        </w:r>
        <w:r w:rsidR="00737AAA">
          <w:rPr>
            <w:rFonts w:ascii="Arial" w:hAnsi="Arial" w:cs="Arial"/>
            <w:sz w:val="24"/>
            <w:szCs w:val="24"/>
            <w:lang w:bidi="fa-IR"/>
          </w:rPr>
          <w:instrText>Renom, Marc A&lt;/author&gt;&lt;author&gt;Madhusudhan, MS&lt;/author&gt;&lt;author&gt;Eramian, David&lt;/author&gt;&lt;author&gt;Shen, Min</w:instrText>
        </w:r>
        <w:r w:rsidR="00737AAA">
          <w:rPr>
            <w:rFonts w:ascii="Cambria Math" w:hAnsi="Cambria Math" w:cs="Cambria Math"/>
            <w:sz w:val="24"/>
            <w:szCs w:val="24"/>
            <w:lang w:bidi="fa-IR"/>
          </w:rPr>
          <w:instrText>‐</w:instrText>
        </w:r>
        <w:r w:rsidR="00737AAA">
          <w:rPr>
            <w:rFonts w:ascii="Arial" w:hAnsi="Arial" w:cs="Arial"/>
            <w:sz w:val="24"/>
            <w:szCs w:val="24"/>
            <w:lang w:bidi="fa-IR"/>
          </w:rPr>
          <w:instrText>yi&lt;/author&gt;&lt;author&gt;Pieper, Ursula&lt;/author&gt;&lt;author&gt;Sali, Andrej&lt;/author&gt;&lt;/authors&gt;&lt;/contributors&gt;&lt;titles&gt;&lt;title&gt;Comparative protein structure modeling using Modeller&lt;/title&gt;&lt;secondary-title&gt;Curr. Protoc. Bioinformatics&lt;/secondary-title&gt;&lt;/titles&gt;&lt;periodical&gt;&lt;full-title&gt;Curr. Protoc. Bioinformatics&lt;/full-title&gt;&lt;/periodical&gt;&lt;pages&gt;5.6. 1-5.6. 30&lt;/pages&gt;&lt;volume&gt;15&lt;/volume&gt;&lt;number&gt;1&lt;/number&gt;&lt;dates&gt;&lt;year&gt;2006&lt;/year&gt;&lt;/dates&gt;&lt;isbn&gt;1934-3396&lt;/isbn&gt;&lt;urls&gt;&lt;/urls&gt;&lt;/record&gt;&lt;/Cite&gt;&lt;/EndNote&gt;</w:instrText>
        </w:r>
        <w:r w:rsidR="00737AAA" w:rsidRPr="00F45008">
          <w:rPr>
            <w:rFonts w:ascii="Arial" w:hAnsi="Arial" w:cs="Arial"/>
            <w:sz w:val="24"/>
            <w:szCs w:val="24"/>
            <w:lang w:bidi="fa-IR"/>
          </w:rPr>
          <w:fldChar w:fldCharType="separate"/>
        </w:r>
        <w:r w:rsidR="00737AAA" w:rsidRPr="00737AAA">
          <w:rPr>
            <w:rFonts w:ascii="Arial" w:hAnsi="Arial" w:cs="Arial"/>
            <w:noProof/>
            <w:sz w:val="24"/>
            <w:szCs w:val="24"/>
            <w:vertAlign w:val="superscript"/>
            <w:lang w:bidi="fa-IR"/>
          </w:rPr>
          <w:t>1</w:t>
        </w:r>
        <w:r w:rsidR="00737AAA" w:rsidRPr="00F45008">
          <w:rPr>
            <w:rFonts w:ascii="Arial" w:hAnsi="Arial" w:cs="Arial"/>
            <w:sz w:val="24"/>
            <w:szCs w:val="24"/>
            <w:lang w:bidi="fa-IR"/>
          </w:rPr>
          <w:fldChar w:fldCharType="end"/>
        </w:r>
      </w:hyperlink>
      <w:r w:rsidRPr="00F45008">
        <w:rPr>
          <w:rFonts w:ascii="Arial" w:hAnsi="Arial" w:cs="Arial"/>
          <w:sz w:val="24"/>
          <w:szCs w:val="24"/>
          <w:lang w:bidi="fa-IR"/>
        </w:rPr>
        <w:t xml:space="preserve">, and VEGFB (PDB </w:t>
      </w:r>
      <w:r w:rsidR="007C4313">
        <w:rPr>
          <w:rFonts w:ascii="Arial" w:hAnsi="Arial" w:cs="Arial"/>
          <w:sz w:val="24"/>
          <w:szCs w:val="24"/>
          <w:lang w:bidi="fa-IR"/>
        </w:rPr>
        <w:t>ID</w:t>
      </w:r>
      <w:r w:rsidRPr="00F45008">
        <w:rPr>
          <w:rFonts w:ascii="Arial" w:hAnsi="Arial" w:cs="Arial"/>
          <w:sz w:val="24"/>
          <w:szCs w:val="24"/>
          <w:lang w:bidi="fa-IR"/>
        </w:rPr>
        <w:t xml:space="preserve">: 2C7W) was used as a template. The VEGFB in FASTA format was obtained from the PDB website (http://www.rcsb.org/pdb/). Sequence alignments of each peptide with the template was directed using the multiple sequence alignment online server ClustalW (https://embnet.vital-it.ch/software/ClustalW.html). Ten models were created by MODELLER software, version 9.18, and the quality of the modeled structures was verified on the SWISS-MODEL web </w:t>
      </w:r>
      <w:r w:rsidRPr="003B67FC">
        <w:rPr>
          <w:rFonts w:ascii="Arial" w:hAnsi="Arial" w:cs="Arial"/>
          <w:sz w:val="24"/>
          <w:szCs w:val="24"/>
          <w:lang w:bidi="fa-IR"/>
        </w:rPr>
        <w:t xml:space="preserve">server </w:t>
      </w:r>
      <w:r w:rsidRPr="006C4BEE">
        <w:rPr>
          <w:rFonts w:ascii="Arial" w:hAnsi="Arial" w:cs="Arial"/>
          <w:sz w:val="24"/>
          <w:szCs w:val="24"/>
          <w:lang w:bidi="fa-IR"/>
        </w:rPr>
        <w:t>(</w:t>
      </w:r>
      <w:r w:rsidR="00C65591">
        <w:fldChar w:fldCharType="begin"/>
      </w:r>
      <w:r w:rsidR="00C65591">
        <w:instrText>HYPERLINK "http://swissmodel.expasy.org/"</w:instrText>
      </w:r>
      <w:r w:rsidR="00C65591">
        <w:fldChar w:fldCharType="separate"/>
      </w:r>
      <w:r w:rsidRPr="006C4BEE">
        <w:rPr>
          <w:rStyle w:val="Hyperlink"/>
          <w:rFonts w:ascii="Arial" w:hAnsi="Arial" w:cs="Arial"/>
          <w:color w:val="auto"/>
          <w:sz w:val="24"/>
          <w:szCs w:val="24"/>
          <w:u w:val="none"/>
          <w:lang w:bidi="fa-IR"/>
        </w:rPr>
        <w:t>http://swissmodel.expasy.org/</w:t>
      </w:r>
      <w:r w:rsidR="00C65591">
        <w:rPr>
          <w:rStyle w:val="Hyperlink"/>
          <w:rFonts w:ascii="Arial" w:hAnsi="Arial" w:cs="Arial"/>
          <w:color w:val="auto"/>
          <w:sz w:val="24"/>
          <w:szCs w:val="24"/>
          <w:u w:val="none"/>
          <w:lang w:bidi="fa-IR"/>
        </w:rPr>
        <w:fldChar w:fldCharType="end"/>
      </w:r>
      <w:r w:rsidRPr="006C4BEE">
        <w:rPr>
          <w:rFonts w:ascii="Arial" w:hAnsi="Arial" w:cs="Arial"/>
          <w:sz w:val="24"/>
          <w:szCs w:val="24"/>
          <w:lang w:bidi="fa-IR"/>
        </w:rPr>
        <w:t>),</w:t>
      </w:r>
      <w:r w:rsidRPr="003B67FC">
        <w:rPr>
          <w:rFonts w:ascii="Arial" w:hAnsi="Arial" w:cs="Arial"/>
          <w:sz w:val="24"/>
          <w:szCs w:val="24"/>
          <w:lang w:bidi="fa-IR"/>
        </w:rPr>
        <w:t xml:space="preserve"> </w:t>
      </w:r>
      <w:r w:rsidRPr="00F45008">
        <w:rPr>
          <w:rFonts w:ascii="Arial" w:hAnsi="Arial" w:cs="Arial"/>
          <w:sz w:val="24"/>
          <w:szCs w:val="24"/>
          <w:lang w:bidi="fa-IR"/>
        </w:rPr>
        <w:t xml:space="preserve">PROCHECK </w:t>
      </w:r>
      <w:r w:rsidR="00C65591">
        <w:fldChar w:fldCharType="begin"/>
      </w:r>
      <w:r w:rsidR="00C65591">
        <w:instrText>HYPERLINK \l "_ENREF_2" \o "Laskowski, 1993 #99"</w:instrText>
      </w:r>
      <w:r w:rsidR="00C65591">
        <w:fldChar w:fldCharType="separate"/>
      </w:r>
      <w:r w:rsidR="00737AAA" w:rsidRPr="00F45008">
        <w:rPr>
          <w:rFonts w:ascii="Arial" w:hAnsi="Arial" w:cs="Arial"/>
          <w:sz w:val="24"/>
          <w:szCs w:val="24"/>
          <w:lang w:bidi="fa-IR"/>
        </w:rPr>
        <w:fldChar w:fldCharType="begin"/>
      </w:r>
      <w:r w:rsidR="00737AAA">
        <w:rPr>
          <w:rFonts w:ascii="Arial" w:hAnsi="Arial" w:cs="Arial"/>
          <w:sz w:val="24"/>
          <w:szCs w:val="24"/>
          <w:lang w:bidi="fa-IR"/>
        </w:rPr>
        <w:instrText xml:space="preserve"> ADDIN EN.CITE &lt;EndNote&gt;&lt;Cite&gt;&lt;Author&gt;Laskowski&lt;/Author&gt;&lt;Year&gt;1993&lt;/Year&gt;&lt;RecNum&gt;99&lt;/RecNum&gt;&lt;DisplayText&gt;&lt;style face="superscript"&gt;2&lt;/style&gt;&lt;/DisplayText&gt;&lt;record&gt;&lt;rec-number&gt;99&lt;/rec-number&gt;&lt;foreign-keys&gt;&lt;key app="EN" db-id="axftva55ivvx0deexpaxfzrgvf9090x9sep5"&gt;99&lt;/key&gt;&lt;/foreign-keys&gt;&lt;ref-type name="Journal Article"&gt;17&lt;/ref-type&gt;&lt;contributors&gt;&lt;authors&gt;&lt;author&gt;Laskowski, Roman A&lt;/author&gt;&lt;author&gt;MacArthur, Malcolm W&lt;/author&gt;&lt;author&gt;Moss, David S&lt;/author&gt;&lt;author&gt;Thornton, Janet M &lt;/author&gt;&lt;/authors&gt;&lt;/contributors&gt;&lt;titles&gt;&lt;title&gt;&lt;style face="normal" font="default" size="100%"&gt;PROCHECK: a program to check the stereochemical quality of protein structures&amp;#xD;&lt;/style&gt;&lt;style face="italic" font="default" size="100%"&gt;J. Appl. Crystallogr.&lt;/style&gt;&lt;/title&gt;&lt;/titles&gt;&lt;pages&gt;283-291&lt;/pages&gt;&lt;volume&gt;26&lt;/volume&gt;&lt;number&gt;2&lt;/number&gt;&lt;dates&gt;&lt;year&gt;1993&lt;/year&gt;&lt;/dates&gt;&lt;isbn&gt;1600-5767&lt;/isbn&gt;&lt;urls&gt;&lt;/urls&gt;&lt;/record&gt;&lt;/Cite&gt;&lt;/EndNote&gt;</w:instrText>
      </w:r>
      <w:r w:rsidR="00737AAA" w:rsidRPr="00F45008">
        <w:rPr>
          <w:rFonts w:ascii="Arial" w:hAnsi="Arial" w:cs="Arial"/>
          <w:sz w:val="24"/>
          <w:szCs w:val="24"/>
          <w:lang w:bidi="fa-IR"/>
        </w:rPr>
        <w:fldChar w:fldCharType="separate"/>
      </w:r>
      <w:r w:rsidR="00737AAA" w:rsidRPr="00737AAA">
        <w:rPr>
          <w:rFonts w:ascii="Arial" w:hAnsi="Arial" w:cs="Arial"/>
          <w:noProof/>
          <w:sz w:val="24"/>
          <w:szCs w:val="24"/>
          <w:vertAlign w:val="superscript"/>
          <w:lang w:bidi="fa-IR"/>
        </w:rPr>
        <w:t>2</w:t>
      </w:r>
      <w:r w:rsidR="00737AAA" w:rsidRPr="00F45008">
        <w:rPr>
          <w:rFonts w:ascii="Arial" w:hAnsi="Arial" w:cs="Arial"/>
          <w:sz w:val="24"/>
          <w:szCs w:val="24"/>
          <w:lang w:bidi="fa-IR"/>
        </w:rPr>
        <w:fldChar w:fldCharType="end"/>
      </w:r>
      <w:r w:rsidR="00C65591">
        <w:rPr>
          <w:rFonts w:ascii="Arial" w:hAnsi="Arial" w:cs="Arial"/>
          <w:sz w:val="24"/>
          <w:szCs w:val="24"/>
          <w:lang w:bidi="fa-IR"/>
        </w:rPr>
        <w:fldChar w:fldCharType="end"/>
      </w:r>
      <w:r w:rsidRPr="00F45008">
        <w:rPr>
          <w:rFonts w:ascii="Arial" w:hAnsi="Arial" w:cs="Arial"/>
          <w:sz w:val="24"/>
          <w:szCs w:val="24"/>
          <w:lang w:bidi="fa-IR"/>
        </w:rPr>
        <w:t xml:space="preserve"> and QMEAN </w:t>
      </w:r>
      <w:r w:rsidR="00C65591">
        <w:fldChar w:fldCharType="begin"/>
      </w:r>
      <w:r w:rsidR="00C65591">
        <w:instrText>HYPERLINK \l "_ENREF_3" \o "Benkert, 2008 #100"</w:instrText>
      </w:r>
      <w:r w:rsidR="00C65591">
        <w:fldChar w:fldCharType="separate"/>
      </w:r>
      <w:r w:rsidR="00737AAA" w:rsidRPr="00F45008">
        <w:rPr>
          <w:rFonts w:ascii="Arial" w:hAnsi="Arial" w:cs="Arial"/>
          <w:sz w:val="24"/>
          <w:szCs w:val="24"/>
          <w:lang w:bidi="fa-IR"/>
        </w:rPr>
        <w:fldChar w:fldCharType="begin"/>
      </w:r>
      <w:r w:rsidR="00737AAA">
        <w:rPr>
          <w:rFonts w:ascii="Arial" w:hAnsi="Arial" w:cs="Arial"/>
          <w:sz w:val="24"/>
          <w:szCs w:val="24"/>
          <w:lang w:bidi="fa-IR"/>
        </w:rPr>
        <w:instrText xml:space="preserve"> ADDIN EN.CITE &lt;EndNote&gt;&lt;Cite&gt;&lt;Author&gt;Benkert&lt;/Author&gt;&lt;Year&gt;2008&lt;/Year&gt;&lt;RecNum&gt;100&lt;/RecNum&gt;&lt;DisplayText&gt;&lt;style face="superscript"&gt;3&lt;/style&gt;&lt;/DisplayText&gt;&lt;record&gt;&lt;rec-number&gt;100&lt;/rec-number&gt;&lt;foreign-keys&gt;&lt;key app="EN" db-id="axftva55ivvx0deexpaxfzrgvf9090x9sep5"&gt;100&lt;/key&gt;&lt;/foreign-keys&gt;&lt;ref-type name="Journal Article"&gt;17&lt;/ref-type&gt;&lt;contributors&gt;&lt;authors&gt;&lt;author&gt;Benkert, Pascal&lt;/author&gt;&lt;author&gt;Tosatto, Silvio CE&lt;/author&gt;&lt;author&gt;Schomburg, Dietmar &lt;/author&gt;&lt;/authors&gt;&lt;/contributors&gt;&lt;titles&gt;&lt;title&gt;&lt;style face="normal" font="default" size="100%"&gt;QMEAN: A comprehensive scoring function for model quality assessment&amp;#xD;&lt;/style&gt;&lt;style face="italic" font="default" size="100%"&gt;Proteins: Structure, Function, Bioinformatics&lt;/style&gt;&lt;/title&gt;&lt;/titles&gt;&lt;pages&gt;261-277&lt;/pages&gt;&lt;volume&gt;71&lt;/volume&gt;&lt;number&gt;1&lt;/number&gt;&lt;dates&gt;&lt;year&gt;2008&lt;/year&gt;&lt;/dates&gt;&lt;isbn&gt;1097-0134&lt;/isbn&gt;&lt;urls&gt;&lt;/urls&gt;&lt;/record&gt;&lt;/Cite&gt;&lt;/EndNote&gt;</w:instrText>
      </w:r>
      <w:r w:rsidR="00737AAA" w:rsidRPr="00F45008">
        <w:rPr>
          <w:rFonts w:ascii="Arial" w:hAnsi="Arial" w:cs="Arial"/>
          <w:sz w:val="24"/>
          <w:szCs w:val="24"/>
          <w:lang w:bidi="fa-IR"/>
        </w:rPr>
        <w:fldChar w:fldCharType="separate"/>
      </w:r>
      <w:r w:rsidR="00737AAA" w:rsidRPr="00737AAA">
        <w:rPr>
          <w:rFonts w:ascii="Arial" w:hAnsi="Arial" w:cs="Arial"/>
          <w:noProof/>
          <w:sz w:val="24"/>
          <w:szCs w:val="24"/>
          <w:vertAlign w:val="superscript"/>
          <w:lang w:bidi="fa-IR"/>
        </w:rPr>
        <w:t>3</w:t>
      </w:r>
      <w:r w:rsidR="00737AAA" w:rsidRPr="00F45008">
        <w:rPr>
          <w:rFonts w:ascii="Arial" w:hAnsi="Arial" w:cs="Arial"/>
          <w:sz w:val="24"/>
          <w:szCs w:val="24"/>
          <w:lang w:bidi="fa-IR"/>
        </w:rPr>
        <w:fldChar w:fldCharType="end"/>
      </w:r>
      <w:r w:rsidR="00C65591">
        <w:rPr>
          <w:rFonts w:ascii="Arial" w:hAnsi="Arial" w:cs="Arial"/>
          <w:sz w:val="24"/>
          <w:szCs w:val="24"/>
          <w:lang w:bidi="fa-IR"/>
        </w:rPr>
        <w:fldChar w:fldCharType="end"/>
      </w:r>
      <w:r w:rsidRPr="00F45008">
        <w:rPr>
          <w:rFonts w:ascii="Arial" w:hAnsi="Arial" w:cs="Arial"/>
          <w:sz w:val="24"/>
          <w:szCs w:val="24"/>
          <w:lang w:bidi="fa-IR"/>
        </w:rPr>
        <w:t xml:space="preserve">. Molecular dynamics (MD) simulations were performed using the GROMACS package version 5.1.4 </w:t>
      </w:r>
      <w:hyperlink w:anchor="_ENREF_4" w:tooltip="Abraham, 2015 #101" w:history="1">
        <w:r w:rsidR="00737AAA" w:rsidRPr="00F45008">
          <w:rPr>
            <w:rFonts w:ascii="Arial" w:hAnsi="Arial" w:cs="Arial"/>
            <w:sz w:val="24"/>
            <w:szCs w:val="24"/>
            <w:lang w:bidi="fa-IR"/>
          </w:rPr>
          <w:fldChar w:fldCharType="begin"/>
        </w:r>
        <w:r w:rsidR="00737AAA">
          <w:rPr>
            <w:rFonts w:ascii="Arial" w:hAnsi="Arial" w:cs="Arial"/>
            <w:sz w:val="24"/>
            <w:szCs w:val="24"/>
            <w:lang w:bidi="fa-IR"/>
          </w:rPr>
          <w:instrText xml:space="preserve"> ADDIN EN.CITE &lt;EndNote&gt;&lt;Cite&gt;&lt;Author&gt;Abraham&lt;/Author&gt;&lt;Year&gt;2015&lt;/Year&gt;&lt;RecNum&gt;101&lt;/RecNum&gt;&lt;DisplayText&gt;&lt;style face="superscript"&gt;4&lt;/style&gt;&lt;/DisplayText&gt;&lt;record&gt;&lt;rec-number&gt;101&lt;/rec-number&gt;&lt;foreign-keys&gt;&lt;key app="EN" db-id="axftva55ivvx0deexpaxfzrgvf9090x9sep5"&gt;101&lt;/key&gt;&lt;/foreign-keys&gt;&lt;ref-type name="Journal Article"&gt;17&lt;/ref-type&gt;&lt;contributors&gt;&lt;authors&gt;&lt;author&gt;Abraham, Mark James&lt;/author&gt;&lt;author&gt;Murtola, Teemu&lt;/author&gt;&lt;author&gt;Schulz, Roland&lt;/author&gt;&lt;author&gt;Páll, Szilárd&lt;/author&gt;&lt;author&gt;Smith, Jeremy C&lt;/author&gt;&lt;author&gt;Hess, Berk&lt;/author&gt;&lt;author&gt;Lindahl, Erik &lt;/author&gt;&lt;/authors&gt;&lt;/contributors&gt;&lt;titles&gt;&lt;title&gt;&lt;style face="normal" font="default" size="100%"&gt;GROMACS: High performance molecular simulations through multi-level parallelism from laptops to supercomputers&amp;#xD;&lt;/style&gt;&lt;style face="italic" font="default" size="100%"&gt;SoftwareX&lt;/style&gt;&lt;/title&gt;&lt;/titles&gt;&lt;pages&gt;19-25&lt;/pages&gt;&lt;volume&gt;1&lt;/volume&gt;&lt;dates&gt;&lt;year&gt;2015&lt;/year&gt;&lt;/dates&gt;&lt;isbn&gt;2352-7110&lt;/isbn&gt;&lt;urls&gt;&lt;/urls&gt;&lt;/record&gt;&lt;/Cite&gt;&lt;/EndNote&gt;</w:instrText>
        </w:r>
        <w:r w:rsidR="00737AAA" w:rsidRPr="00F45008">
          <w:rPr>
            <w:rFonts w:ascii="Arial" w:hAnsi="Arial" w:cs="Arial"/>
            <w:sz w:val="24"/>
            <w:szCs w:val="24"/>
            <w:lang w:bidi="fa-IR"/>
          </w:rPr>
          <w:fldChar w:fldCharType="separate"/>
        </w:r>
        <w:r w:rsidR="00737AAA" w:rsidRPr="00737AAA">
          <w:rPr>
            <w:rFonts w:ascii="Arial" w:hAnsi="Arial" w:cs="Arial"/>
            <w:noProof/>
            <w:sz w:val="24"/>
            <w:szCs w:val="24"/>
            <w:vertAlign w:val="superscript"/>
            <w:lang w:bidi="fa-IR"/>
          </w:rPr>
          <w:t>4</w:t>
        </w:r>
        <w:r w:rsidR="00737AAA" w:rsidRPr="00F45008">
          <w:rPr>
            <w:rFonts w:ascii="Arial" w:hAnsi="Arial" w:cs="Arial"/>
            <w:sz w:val="24"/>
            <w:szCs w:val="24"/>
            <w:lang w:bidi="fa-IR"/>
          </w:rPr>
          <w:fldChar w:fldCharType="end"/>
        </w:r>
      </w:hyperlink>
      <w:r w:rsidRPr="00F45008">
        <w:rPr>
          <w:rFonts w:ascii="Arial" w:hAnsi="Arial" w:cs="Arial"/>
          <w:sz w:val="24"/>
          <w:szCs w:val="24"/>
          <w:lang w:bidi="fa-IR"/>
        </w:rPr>
        <w:t xml:space="preserve">, to reﬁne the best structures obtained from homology modeling. The 54A7 force ﬁeld parameters </w:t>
      </w:r>
      <w:r w:rsidR="00C65591">
        <w:fldChar w:fldCharType="begin"/>
      </w:r>
      <w:r w:rsidR="00C65591">
        <w:instrText>HYPERLINK \l "_ENREF_5" \o "Schmid, 2011 #51"</w:instrText>
      </w:r>
      <w:r w:rsidR="00C65591">
        <w:fldChar w:fldCharType="separate"/>
      </w:r>
      <w:r w:rsidR="00737AAA" w:rsidRPr="00F45008">
        <w:rPr>
          <w:rFonts w:ascii="Arial" w:hAnsi="Arial" w:cs="Arial"/>
          <w:sz w:val="24"/>
          <w:szCs w:val="24"/>
          <w:lang w:bidi="fa-IR"/>
        </w:rPr>
        <w:fldChar w:fldCharType="begin"/>
      </w:r>
      <w:r w:rsidR="00737AAA">
        <w:rPr>
          <w:rFonts w:ascii="Arial" w:hAnsi="Arial" w:cs="Arial"/>
          <w:sz w:val="24"/>
          <w:szCs w:val="24"/>
          <w:lang w:bidi="fa-IR"/>
        </w:rPr>
        <w:instrText xml:space="preserve"> ADDIN EN.CITE &lt;EndNote&gt;&lt;Cite&gt;&lt;Author&gt;Schmid&lt;/Author&gt;&lt;Year&gt;2011&lt;/Year&gt;&lt;RecNum&gt;51&lt;/RecNum&gt;&lt;DisplayText&gt;&lt;style face="superscript"&gt;5&lt;/style&gt;&lt;/DisplayText&gt;&lt;record&gt;&lt;rec-number&gt;51&lt;/rec-number&gt;&lt;foreign-keys&gt;&lt;key app="EN" db-id="axftva55ivvx0deexpaxfzrgvf9090x9sep5"&gt;51&lt;/key&gt;&lt;/foreign-keys&gt;&lt;ref-type name="Journal Article"&gt;17&lt;/ref-type&gt;&lt;contributors&gt;&lt;authors&gt;&lt;author&gt;Schmid, Nathan&lt;/author&gt;&lt;author&gt;Eichenberger, Andreas P&lt;/author&gt;&lt;author&gt;Choutko, Alexandra&lt;/author&gt;&lt;author&gt;Riniker, Sereina&lt;/author&gt;&lt;author&gt;Winger, Moritz&lt;/author&gt;&lt;author&gt;Mark, Alan E&lt;/author&gt;&lt;author&gt;van Gunsteren, Wilfred F&lt;/author&gt;&lt;/authors&gt;&lt;/contributors&gt;&lt;titles&gt;&lt;title&gt;Definition and testing of the GROMOS force-field versions 54A7 and 54B7&lt;/title&gt;&lt;secondary-title&gt;Eur. Biophys. J. &lt;/secondary-title&gt;&lt;/titles&gt;&lt;periodical&gt;&lt;full-title&gt;Eur. Biophys. J.&lt;/full-title&gt;&lt;/periodical&gt;&lt;pages&gt;843&lt;/pages&gt;&lt;volume&gt;40&lt;/volume&gt;&lt;number&gt;7&lt;/number&gt;&lt;dates&gt;&lt;year&gt;2011&lt;/year&gt;&lt;/dates&gt;&lt;isbn&gt;0175-7571&lt;/isbn&gt;&lt;urls&gt;&lt;/urls&gt;&lt;/record&gt;&lt;/Cite&gt;&lt;/EndNote&gt;</w:instrText>
      </w:r>
      <w:r w:rsidR="00737AAA" w:rsidRPr="00F45008">
        <w:rPr>
          <w:rFonts w:ascii="Arial" w:hAnsi="Arial" w:cs="Arial"/>
          <w:sz w:val="24"/>
          <w:szCs w:val="24"/>
          <w:lang w:bidi="fa-IR"/>
        </w:rPr>
        <w:fldChar w:fldCharType="separate"/>
      </w:r>
      <w:r w:rsidR="00737AAA" w:rsidRPr="00737AAA">
        <w:rPr>
          <w:rFonts w:ascii="Arial" w:hAnsi="Arial" w:cs="Arial"/>
          <w:noProof/>
          <w:sz w:val="24"/>
          <w:szCs w:val="24"/>
          <w:vertAlign w:val="superscript"/>
          <w:lang w:bidi="fa-IR"/>
        </w:rPr>
        <w:t>5</w:t>
      </w:r>
      <w:r w:rsidR="00737AAA" w:rsidRPr="00F45008">
        <w:rPr>
          <w:rFonts w:ascii="Arial" w:hAnsi="Arial" w:cs="Arial"/>
          <w:sz w:val="24"/>
          <w:szCs w:val="24"/>
          <w:lang w:bidi="fa-IR"/>
        </w:rPr>
        <w:fldChar w:fldCharType="end"/>
      </w:r>
      <w:r w:rsidR="00C65591">
        <w:rPr>
          <w:rFonts w:ascii="Arial" w:hAnsi="Arial" w:cs="Arial"/>
          <w:sz w:val="24"/>
          <w:szCs w:val="24"/>
          <w:lang w:bidi="fa-IR"/>
        </w:rPr>
        <w:fldChar w:fldCharType="end"/>
      </w:r>
      <w:r w:rsidRPr="00F45008">
        <w:rPr>
          <w:rFonts w:ascii="Arial" w:hAnsi="Arial" w:cs="Arial"/>
          <w:sz w:val="24"/>
          <w:szCs w:val="24"/>
          <w:lang w:bidi="fa-IR"/>
        </w:rPr>
        <w:t xml:space="preserve"> were used in the simulations and the interaction time steps during the simulation were set to 2 fs. The Particle-Mesh Ewald (PME) method with maximum Fast Fourier Transforms (FFT) grid spacing of 0.16 nm and an interpolation order of 4 was used to determine the long-range electrostatic interactions. A cutoff radius of 1.0 nm is used for Coulomb interactions and short-range interactions defined as van der Waals interactions </w:t>
      </w:r>
      <w:hyperlink w:anchor="_ENREF_6" w:tooltip="Tao, 2010 #103" w:history="1">
        <w:r w:rsidR="00737AAA" w:rsidRPr="00F45008">
          <w:rPr>
            <w:rFonts w:ascii="Arial" w:hAnsi="Arial" w:cs="Arial"/>
            <w:sz w:val="24"/>
            <w:szCs w:val="24"/>
            <w:lang w:bidi="fa-IR"/>
          </w:rPr>
          <w:fldChar w:fldCharType="begin"/>
        </w:r>
        <w:r w:rsidR="00737AAA">
          <w:rPr>
            <w:rFonts w:ascii="Arial" w:hAnsi="Arial" w:cs="Arial"/>
            <w:sz w:val="24"/>
            <w:szCs w:val="24"/>
            <w:lang w:bidi="fa-IR"/>
          </w:rPr>
          <w:instrText xml:space="preserve"> ADDIN EN.CITE &lt;EndNote&gt;&lt;Cite&gt;&lt;Author&gt;Tao&lt;/Author&gt;&lt;Year&gt;2010&lt;/Year&gt;&lt;RecNum&gt;103&lt;/RecNum&gt;&lt;DisplayText&gt;&lt;style face="superscript"&gt;6&lt;/style&gt;&lt;/DisplayText&gt;&lt;record&gt;&lt;rec-number&gt;103&lt;/rec-number&gt;&lt;foreign-keys&gt;&lt;key app="EN" db-id="axftva55ivvx0deexpaxfzrgvf9090x9sep5"&gt;103&lt;/key&gt;&lt;/foreign-keys&gt;&lt;ref-type name="Journal Article"&gt;17&lt;/ref-type&gt;&lt;contributors&gt;&lt;authors&gt;&lt;author&gt;Tao, Yan&lt;/author&gt;&lt;author&gt;Rao, Zi-He&lt;/author&gt;&lt;author&gt;Liu, Shu-Qun &lt;/author&gt;&lt;/authors&gt;&lt;/contributors&gt;&lt;titles&gt;&lt;title&gt;&lt;style face="normal" font="default" size="100%"&gt;Insight derived from molecular dynamics simulation into substrate-induced changes in protein motions of proteinase K&amp;#xD;&lt;/style&gt;&lt;style face="italic" font="default" size="100%"&gt;J BIOMOL STRUCT DYN &lt;/style&gt;&lt;/title&gt;&lt;/titles&gt;&lt;pages&gt;143-157&lt;/pages&gt;&lt;volume&gt;28&lt;/volume&gt;&lt;number&gt;2&lt;/number&gt;&lt;dates&gt;&lt;year&gt;2010&lt;/year&gt;&lt;/dates&gt;&lt;isbn&gt;0739-1102&lt;/isbn&gt;&lt;urls&gt;&lt;/urls&gt;&lt;/record&gt;&lt;/Cite&gt;&lt;/EndNote&gt;</w:instrText>
        </w:r>
        <w:r w:rsidR="00737AAA" w:rsidRPr="00F45008">
          <w:rPr>
            <w:rFonts w:ascii="Arial" w:hAnsi="Arial" w:cs="Arial"/>
            <w:sz w:val="24"/>
            <w:szCs w:val="24"/>
            <w:lang w:bidi="fa-IR"/>
          </w:rPr>
          <w:fldChar w:fldCharType="separate"/>
        </w:r>
        <w:r w:rsidR="00737AAA" w:rsidRPr="00737AAA">
          <w:rPr>
            <w:rFonts w:ascii="Arial" w:hAnsi="Arial" w:cs="Arial"/>
            <w:noProof/>
            <w:sz w:val="24"/>
            <w:szCs w:val="24"/>
            <w:vertAlign w:val="superscript"/>
            <w:lang w:bidi="fa-IR"/>
          </w:rPr>
          <w:t>6</w:t>
        </w:r>
        <w:r w:rsidR="00737AAA" w:rsidRPr="00F45008">
          <w:rPr>
            <w:rFonts w:ascii="Arial" w:hAnsi="Arial" w:cs="Arial"/>
            <w:sz w:val="24"/>
            <w:szCs w:val="24"/>
            <w:lang w:bidi="fa-IR"/>
          </w:rPr>
          <w:fldChar w:fldCharType="end"/>
        </w:r>
      </w:hyperlink>
      <w:r w:rsidRPr="00F45008">
        <w:rPr>
          <w:rFonts w:ascii="Arial" w:hAnsi="Arial" w:cs="Arial"/>
          <w:sz w:val="24"/>
          <w:szCs w:val="24"/>
          <w:lang w:bidi="fa-IR"/>
        </w:rPr>
        <w:t xml:space="preserve">. </w:t>
      </w:r>
      <w:r w:rsidRPr="00F45008">
        <w:rPr>
          <w:rFonts w:ascii="Arial" w:hAnsi="Arial" w:cs="Arial"/>
          <w:sz w:val="24"/>
          <w:szCs w:val="24"/>
          <w:lang w:bidi="fa-IR"/>
        </w:rPr>
        <w:lastRenderedPageBreak/>
        <w:t>Periodic boundary conditions were used, and bonds were restrained by applying the LINCS algorithm to their equilibrium position. Initial structures were solvated with three-point model water molecules in a cubic box of 1.0 nm to fully cover the protein system in water, following periodic boundary conditions (PBC). The produced system for each peptide was neutralized through the “genion tool” plugin of the GROMACS package by adding ions Na</w:t>
      </w:r>
      <w:r w:rsidRPr="00F45008">
        <w:rPr>
          <w:rFonts w:ascii="Arial" w:hAnsi="Arial" w:cs="Arial"/>
          <w:sz w:val="24"/>
          <w:szCs w:val="24"/>
          <w:vertAlign w:val="superscript"/>
          <w:lang w:bidi="fa-IR"/>
        </w:rPr>
        <w:t>+</w:t>
      </w:r>
      <w:r w:rsidRPr="00F45008">
        <w:rPr>
          <w:rFonts w:ascii="Arial" w:hAnsi="Arial" w:cs="Arial"/>
          <w:sz w:val="24"/>
          <w:szCs w:val="24"/>
          <w:lang w:bidi="fa-IR"/>
        </w:rPr>
        <w:t xml:space="preserve"> and Cl</w:t>
      </w:r>
      <w:r w:rsidRPr="00F45008">
        <w:rPr>
          <w:rFonts w:ascii="Arial" w:eastAsia="Calibri" w:hAnsi="Arial" w:cs="Arial"/>
          <w:sz w:val="24"/>
          <w:szCs w:val="24"/>
          <w:vertAlign w:val="superscript"/>
          <w:lang w:bidi="fa-IR"/>
        </w:rPr>
        <w:t>−</w:t>
      </w:r>
      <w:r w:rsidRPr="00F45008">
        <w:rPr>
          <w:rFonts w:ascii="Arial" w:hAnsi="Arial" w:cs="Arial"/>
          <w:sz w:val="24"/>
          <w:szCs w:val="24"/>
          <w:lang w:bidi="fa-IR"/>
        </w:rPr>
        <w:t xml:space="preserve">. Then, the system was minimized for 50000 iterations using the steepest descent (SD) algorithm and using velocity rescaling (modiﬁed Berendsen) temperature coupling and Parrinello-Rahman pressure coupling methods, simulated under an isothermal-isobaric ensemble (NPT) for 5 ns at a constant temperature, the pressure of 300 K, and 1 atm, respectively. The NVT and NPT equilibration was carried out for 50000 steps. The minimization and equilibration procedures were executed, and finally, one system of the peptide was subjected to a 200 ns production run of MD simulations utilizing 2 fs as the time step and coordinates of all atoms were recorded in the form of .trr GROMACS trajectory ﬁle every 10 ps. </w:t>
      </w:r>
    </w:p>
    <w:p w14:paraId="1A2F85A0" w14:textId="0C385F0D" w:rsidR="006B3F98" w:rsidRPr="00B4348B" w:rsidRDefault="006B3F98" w:rsidP="00B4348B">
      <w:pPr>
        <w:pStyle w:val="ListParagraph"/>
        <w:numPr>
          <w:ilvl w:val="0"/>
          <w:numId w:val="1"/>
        </w:numPr>
        <w:spacing w:line="360" w:lineRule="auto"/>
        <w:jc w:val="both"/>
        <w:rPr>
          <w:rFonts w:ascii="Arial" w:hAnsi="Arial" w:cs="Arial"/>
          <w:b/>
          <w:bCs/>
          <w:sz w:val="24"/>
          <w:szCs w:val="24"/>
          <w:lang w:val="en-US" w:bidi="fa-IR"/>
        </w:rPr>
      </w:pPr>
      <w:r w:rsidRPr="00B4348B">
        <w:rPr>
          <w:rFonts w:ascii="Arial" w:hAnsi="Arial" w:cs="Arial"/>
          <w:b/>
          <w:bCs/>
          <w:sz w:val="24"/>
          <w:szCs w:val="24"/>
          <w:lang w:val="en-US" w:bidi="fa-IR"/>
        </w:rPr>
        <w:t>TUNEL assay</w:t>
      </w:r>
    </w:p>
    <w:p w14:paraId="2C25FB88" w14:textId="77777777" w:rsidR="006B3F98" w:rsidRPr="00F45008" w:rsidRDefault="006B3F98" w:rsidP="006B3F98">
      <w:pPr>
        <w:spacing w:line="360" w:lineRule="auto"/>
        <w:ind w:left="360"/>
        <w:jc w:val="both"/>
        <w:rPr>
          <w:rFonts w:ascii="Arial" w:hAnsi="Arial" w:cs="Arial"/>
          <w:sz w:val="24"/>
          <w:szCs w:val="24"/>
          <w:lang w:val="en-US" w:bidi="fa-IR"/>
        </w:rPr>
      </w:pPr>
      <w:r w:rsidRPr="00F45008">
        <w:rPr>
          <w:rFonts w:ascii="Arial" w:hAnsi="Arial" w:cs="Arial"/>
          <w:sz w:val="24"/>
          <w:szCs w:val="24"/>
          <w:lang w:val="en-US" w:bidi="fa-IR"/>
        </w:rPr>
        <w:t>2 × 10</w:t>
      </w:r>
      <w:r w:rsidRPr="00F45008">
        <w:rPr>
          <w:rFonts w:ascii="Arial" w:hAnsi="Arial" w:cs="Arial"/>
          <w:sz w:val="24"/>
          <w:szCs w:val="24"/>
          <w:vertAlign w:val="superscript"/>
          <w:lang w:val="en-US" w:bidi="fa-IR"/>
        </w:rPr>
        <w:t>3</w:t>
      </w:r>
      <w:r w:rsidRPr="00F45008">
        <w:rPr>
          <w:rFonts w:ascii="Arial" w:hAnsi="Arial" w:cs="Arial"/>
          <w:sz w:val="24"/>
          <w:szCs w:val="24"/>
          <w:lang w:val="en-US" w:bidi="fa-IR"/>
        </w:rPr>
        <w:t xml:space="preserve"> HUVE or 4T1 cells were cultured in DMEM and RPMI-1640 media, respectively, supplemented with 10% (v/v) FBS overnight. Then, the cells were incubated in the media supplemented with 5% FBS, with PBS or VGB3 (0.40 μM). The terminal </w:t>
      </w:r>
      <w:proofErr w:type="spellStart"/>
      <w:r w:rsidRPr="00F45008">
        <w:rPr>
          <w:rFonts w:ascii="Arial" w:hAnsi="Arial" w:cs="Arial"/>
          <w:sz w:val="24"/>
          <w:szCs w:val="24"/>
          <w:lang w:val="en-US" w:bidi="fa-IR"/>
        </w:rPr>
        <w:t>deoxynucleotidyl</w:t>
      </w:r>
      <w:proofErr w:type="spellEnd"/>
      <w:r w:rsidRPr="00F45008">
        <w:rPr>
          <w:rFonts w:ascii="Arial" w:hAnsi="Arial" w:cs="Arial"/>
          <w:sz w:val="24"/>
          <w:szCs w:val="24"/>
          <w:lang w:val="en-US" w:bidi="fa-IR"/>
        </w:rPr>
        <w:t xml:space="preserve"> transferase (</w:t>
      </w:r>
      <w:proofErr w:type="spellStart"/>
      <w:r w:rsidRPr="00F45008">
        <w:rPr>
          <w:rFonts w:ascii="Arial" w:hAnsi="Arial" w:cs="Arial"/>
          <w:sz w:val="24"/>
          <w:szCs w:val="24"/>
          <w:lang w:val="en-US" w:bidi="fa-IR"/>
        </w:rPr>
        <w:t>TdT</w:t>
      </w:r>
      <w:proofErr w:type="spellEnd"/>
      <w:r w:rsidRPr="00F45008">
        <w:rPr>
          <w:rFonts w:ascii="Arial" w:hAnsi="Arial" w:cs="Arial"/>
          <w:sz w:val="24"/>
          <w:szCs w:val="24"/>
          <w:lang w:val="en-US" w:bidi="fa-IR"/>
        </w:rPr>
        <w:t xml:space="preserve">) </w:t>
      </w:r>
      <w:proofErr w:type="spellStart"/>
      <w:r w:rsidRPr="00F45008">
        <w:rPr>
          <w:rFonts w:ascii="Arial" w:hAnsi="Arial" w:cs="Arial"/>
          <w:sz w:val="24"/>
          <w:szCs w:val="24"/>
          <w:lang w:val="en-US" w:bidi="fa-IR"/>
        </w:rPr>
        <w:t>dUTP</w:t>
      </w:r>
      <w:proofErr w:type="spellEnd"/>
      <w:r w:rsidRPr="00F45008">
        <w:rPr>
          <w:rFonts w:ascii="Arial" w:hAnsi="Arial" w:cs="Arial"/>
          <w:sz w:val="24"/>
          <w:szCs w:val="24"/>
          <w:lang w:val="en-US" w:bidi="fa-IR"/>
        </w:rPr>
        <w:t xml:space="preserve"> nick-end labeling (TUNEL) assay was performed on the HUVE and 4T1 cells using TUNEL Assay Kit (FITC or HRP-DAB; E-CK-A332) according to manufacturer instructions. The steps included: (1) washing the cells once with PBS; (2) fixation of the HUVE or 4T1 cells in fixative buffer at room temperature for 15-60 min; (3) washing the HUVE or 4T1 cells with PBS for 5 min (three times); (4) adding blocking buffer on the slides, and incubation at room temperature for 10 min; (5) repeating the step 3; (6) putting the slides into the permeabilization buffer on an ice bath for 2 min, and (7) repeating the step 3. The following steps were performed for TUNEL staining: (1 washing the slides with PBS (2 times, 5 min each time) and wipe drying the liquid on the slides; (2) adding 50 </w:t>
      </w:r>
      <w:proofErr w:type="spellStart"/>
      <w:r w:rsidRPr="00F45008">
        <w:rPr>
          <w:rFonts w:ascii="Arial" w:hAnsi="Arial" w:cs="Arial"/>
          <w:sz w:val="24"/>
          <w:szCs w:val="24"/>
          <w:lang w:val="en-US" w:bidi="fa-IR"/>
        </w:rPr>
        <w:t>μL</w:t>
      </w:r>
      <w:proofErr w:type="spellEnd"/>
      <w:r w:rsidRPr="00F45008">
        <w:rPr>
          <w:rFonts w:ascii="Arial" w:hAnsi="Arial" w:cs="Arial"/>
          <w:sz w:val="24"/>
          <w:szCs w:val="24"/>
          <w:lang w:val="en-US" w:bidi="fa-IR"/>
        </w:rPr>
        <w:t xml:space="preserve"> </w:t>
      </w:r>
      <w:proofErr w:type="spellStart"/>
      <w:r w:rsidRPr="00F45008">
        <w:rPr>
          <w:rFonts w:ascii="Arial" w:hAnsi="Arial" w:cs="Arial"/>
          <w:sz w:val="24"/>
          <w:szCs w:val="24"/>
          <w:lang w:val="en-US" w:bidi="fa-IR"/>
        </w:rPr>
        <w:t>TdT</w:t>
      </w:r>
      <w:proofErr w:type="spellEnd"/>
      <w:r w:rsidRPr="00F45008">
        <w:rPr>
          <w:rFonts w:ascii="Arial" w:hAnsi="Arial" w:cs="Arial"/>
          <w:sz w:val="24"/>
          <w:szCs w:val="24"/>
          <w:lang w:val="en-US" w:bidi="fa-IR"/>
        </w:rPr>
        <w:t xml:space="preserve"> enzyme working solution to each slide, and incubating at 37°C (60 min in a wet bow); (3) washing the slide with PBS (3 times, 5 min each time); (4) wipe drying the </w:t>
      </w:r>
      <w:r w:rsidRPr="00F45008">
        <w:rPr>
          <w:rFonts w:ascii="Arial" w:hAnsi="Arial" w:cs="Arial"/>
          <w:sz w:val="24"/>
          <w:szCs w:val="24"/>
          <w:lang w:val="en-US" w:bidi="fa-IR"/>
        </w:rPr>
        <w:lastRenderedPageBreak/>
        <w:t>liquid on the slides with absorbent paper; (5) adding DAPI, and incubating at room temperature for 5 min; (6) washing the slides with PBS (4 times, 5 min each time) and wipe drying the liquid on the slides with absorbent paper; and (7) adding mounting medium (contain Fluorescent Mounting Media) to seal the slides. Fluorescence microscopy was done for detection according to manufacturer instructions. Image analysis was done using ImageJ software.</w:t>
      </w:r>
    </w:p>
    <w:p w14:paraId="6C8EE60D" w14:textId="6D4F8FD0" w:rsidR="00C56611" w:rsidRPr="00F45008" w:rsidRDefault="00C56611" w:rsidP="0030795C">
      <w:pPr>
        <w:spacing w:line="360" w:lineRule="auto"/>
        <w:ind w:left="360"/>
        <w:jc w:val="both"/>
        <w:rPr>
          <w:rFonts w:ascii="Arial" w:hAnsi="Arial" w:cs="Arial"/>
          <w:sz w:val="24"/>
          <w:szCs w:val="24"/>
          <w:lang w:bidi="fa-IR"/>
        </w:rPr>
      </w:pPr>
    </w:p>
    <w:p w14:paraId="5B6497D1" w14:textId="7F34C42B" w:rsidR="00737AAA" w:rsidRPr="00CC5036" w:rsidRDefault="00F84476" w:rsidP="00CC5036">
      <w:pPr>
        <w:spacing w:before="240" w:after="240" w:line="240" w:lineRule="auto"/>
        <w:jc w:val="both"/>
        <w:rPr>
          <w:rFonts w:ascii="Arial" w:eastAsia="Times New Roman" w:hAnsi="Arial" w:cs="Arial"/>
          <w:b/>
          <w:bCs/>
          <w:sz w:val="28"/>
          <w:szCs w:val="28"/>
          <w:lang w:val="en-US" w:eastAsia="nl-NL"/>
        </w:rPr>
      </w:pPr>
      <w:r w:rsidRPr="00CC5036">
        <w:rPr>
          <w:rFonts w:ascii="Arial" w:eastAsia="Times New Roman" w:hAnsi="Arial" w:cs="Arial"/>
          <w:b/>
          <w:bCs/>
          <w:sz w:val="28"/>
          <w:szCs w:val="28"/>
          <w:lang w:val="en-US" w:eastAsia="nl-NL"/>
        </w:rPr>
        <w:t>References</w:t>
      </w:r>
    </w:p>
    <w:p w14:paraId="41FDA153" w14:textId="0CFF428F" w:rsidR="00737AAA" w:rsidRPr="00CC5036" w:rsidRDefault="00737AAA" w:rsidP="00CC5036">
      <w:pPr>
        <w:spacing w:after="0" w:line="240" w:lineRule="auto"/>
        <w:jc w:val="both"/>
        <w:rPr>
          <w:rFonts w:ascii="Arial" w:eastAsia="Times New Roman" w:hAnsi="Arial" w:cs="Arial"/>
          <w:noProof/>
          <w:lang w:val="en-US" w:eastAsia="nl-NL"/>
        </w:rPr>
      </w:pPr>
      <w:r w:rsidRPr="00CC5036">
        <w:rPr>
          <w:rFonts w:ascii="Arial" w:eastAsia="Times New Roman" w:hAnsi="Arial" w:cs="Arial"/>
          <w:lang w:val="en-US" w:eastAsia="nl-NL"/>
        </w:rPr>
        <w:fldChar w:fldCharType="begin"/>
      </w:r>
      <w:r w:rsidRPr="00CC5036">
        <w:rPr>
          <w:rFonts w:ascii="Arial" w:eastAsia="Times New Roman" w:hAnsi="Arial" w:cs="Arial"/>
          <w:lang w:val="en-US" w:eastAsia="nl-NL"/>
        </w:rPr>
        <w:instrText xml:space="preserve"> ADDIN EN.REFLIST </w:instrText>
      </w:r>
      <w:r w:rsidRPr="00CC5036">
        <w:rPr>
          <w:rFonts w:ascii="Arial" w:eastAsia="Times New Roman" w:hAnsi="Arial" w:cs="Arial"/>
          <w:lang w:val="en-US" w:eastAsia="nl-NL"/>
        </w:rPr>
        <w:fldChar w:fldCharType="separate"/>
      </w:r>
      <w:bookmarkStart w:id="1" w:name="_ENREF_1"/>
      <w:r w:rsidR="00CC5036" w:rsidRPr="00CC5036">
        <w:rPr>
          <w:rFonts w:ascii="Arial" w:eastAsia="Times New Roman" w:hAnsi="Arial" w:cs="Arial"/>
          <w:noProof/>
          <w:lang w:val="en-US" w:eastAsia="nl-NL"/>
        </w:rPr>
        <w:t xml:space="preserve">1. </w:t>
      </w:r>
      <w:r w:rsidRPr="00CC5036">
        <w:rPr>
          <w:rFonts w:ascii="Arial" w:eastAsia="Times New Roman" w:hAnsi="Arial" w:cs="Arial"/>
          <w:noProof/>
          <w:lang w:val="en-US" w:eastAsia="nl-NL"/>
        </w:rPr>
        <w:t>Eswar, N., Webb, B., Marti</w:t>
      </w:r>
      <w:r w:rsidRPr="00CC5036">
        <w:rPr>
          <w:rFonts w:ascii="Cambria Math" w:eastAsia="Times New Roman" w:hAnsi="Cambria Math" w:cs="Cambria Math"/>
          <w:noProof/>
          <w:lang w:val="en-US" w:eastAsia="nl-NL"/>
        </w:rPr>
        <w:t>‐</w:t>
      </w:r>
      <w:r w:rsidRPr="00CC5036">
        <w:rPr>
          <w:rFonts w:ascii="Arial" w:eastAsia="Times New Roman" w:hAnsi="Arial" w:cs="Arial"/>
          <w:noProof/>
          <w:lang w:val="en-US" w:eastAsia="nl-NL"/>
        </w:rPr>
        <w:t xml:space="preserve">Renom, M. A., Madhusudhan, M., Eramian, D., Shen, M. y., Pieper, U. &amp; Sali, A. (2006). Comparative protein structure modeling using Modeller. </w:t>
      </w:r>
      <w:r w:rsidRPr="00CC5036">
        <w:rPr>
          <w:rFonts w:ascii="Arial" w:eastAsia="Times New Roman" w:hAnsi="Arial" w:cs="Arial"/>
          <w:i/>
          <w:noProof/>
          <w:lang w:val="en-US" w:eastAsia="nl-NL"/>
        </w:rPr>
        <w:t>Curr. Protoc. Bioinformatics</w:t>
      </w:r>
      <w:r w:rsidRPr="00CC5036">
        <w:rPr>
          <w:rFonts w:ascii="Arial" w:eastAsia="Times New Roman" w:hAnsi="Arial" w:cs="Arial"/>
          <w:noProof/>
          <w:lang w:val="en-US" w:eastAsia="nl-NL"/>
        </w:rPr>
        <w:t xml:space="preserve"> </w:t>
      </w:r>
      <w:r w:rsidRPr="00CC5036">
        <w:rPr>
          <w:rFonts w:ascii="Arial" w:eastAsia="Times New Roman" w:hAnsi="Arial" w:cs="Arial"/>
          <w:b/>
          <w:noProof/>
          <w:lang w:val="en-US" w:eastAsia="nl-NL"/>
        </w:rPr>
        <w:t>15</w:t>
      </w:r>
      <w:r w:rsidRPr="00CC5036">
        <w:rPr>
          <w:rFonts w:ascii="Arial" w:eastAsia="Times New Roman" w:hAnsi="Arial" w:cs="Arial"/>
          <w:noProof/>
          <w:lang w:val="en-US" w:eastAsia="nl-NL"/>
        </w:rPr>
        <w:t>, 5.6. 1-5.6. 30.</w:t>
      </w:r>
      <w:bookmarkEnd w:id="1"/>
    </w:p>
    <w:p w14:paraId="0CBF0D82" w14:textId="5C95F88D" w:rsidR="00737AAA" w:rsidRPr="00CC5036" w:rsidRDefault="00CC5036" w:rsidP="00CC5036">
      <w:pPr>
        <w:spacing w:line="240" w:lineRule="auto"/>
        <w:jc w:val="both"/>
        <w:rPr>
          <w:rFonts w:ascii="Arial" w:eastAsia="Times New Roman" w:hAnsi="Arial" w:cs="Arial"/>
          <w:noProof/>
          <w:lang w:val="en-US" w:eastAsia="nl-NL"/>
        </w:rPr>
      </w:pPr>
      <w:bookmarkStart w:id="2" w:name="_ENREF_2"/>
      <w:r w:rsidRPr="00CC5036">
        <w:rPr>
          <w:rFonts w:ascii="Arial" w:eastAsia="Times New Roman" w:hAnsi="Arial" w:cs="Arial"/>
          <w:noProof/>
          <w:lang w:val="en-US" w:eastAsia="nl-NL"/>
        </w:rPr>
        <w:t xml:space="preserve">2. </w:t>
      </w:r>
      <w:r w:rsidR="00737AAA" w:rsidRPr="00CC5036">
        <w:rPr>
          <w:rFonts w:ascii="Arial" w:eastAsia="Times New Roman" w:hAnsi="Arial" w:cs="Arial"/>
          <w:noProof/>
          <w:lang w:val="en-US" w:eastAsia="nl-NL"/>
        </w:rPr>
        <w:t xml:space="preserve">Laskowski, R. A., MacArthur, M. W., Moss, D. S. &amp; Thornton, J. M. (1993). PROCHECK: a program to check the stereochemical quality of protein structures. </w:t>
      </w:r>
      <w:r w:rsidR="00737AAA" w:rsidRPr="00CC5036">
        <w:rPr>
          <w:rFonts w:ascii="Arial" w:eastAsia="Times New Roman" w:hAnsi="Arial" w:cs="Arial"/>
          <w:i/>
          <w:noProof/>
          <w:lang w:val="en-US" w:eastAsia="nl-NL"/>
        </w:rPr>
        <w:t>J. Appl. Crystallogr.</w:t>
      </w:r>
      <w:r w:rsidR="00737AAA" w:rsidRPr="00CC5036">
        <w:rPr>
          <w:rFonts w:ascii="Arial" w:eastAsia="Times New Roman" w:hAnsi="Arial" w:cs="Arial"/>
          <w:noProof/>
          <w:lang w:val="en-US" w:eastAsia="nl-NL"/>
        </w:rPr>
        <w:t xml:space="preserve"> </w:t>
      </w:r>
      <w:r w:rsidR="00737AAA" w:rsidRPr="00CC5036">
        <w:rPr>
          <w:rFonts w:ascii="Arial" w:eastAsia="Times New Roman" w:hAnsi="Arial" w:cs="Arial"/>
          <w:b/>
          <w:noProof/>
          <w:lang w:val="en-US" w:eastAsia="nl-NL"/>
        </w:rPr>
        <w:t>26</w:t>
      </w:r>
      <w:r w:rsidR="00737AAA" w:rsidRPr="00CC5036">
        <w:rPr>
          <w:rFonts w:ascii="Arial" w:eastAsia="Times New Roman" w:hAnsi="Arial" w:cs="Arial"/>
          <w:noProof/>
          <w:lang w:val="en-US" w:eastAsia="nl-NL"/>
        </w:rPr>
        <w:t>, 283-291.</w:t>
      </w:r>
      <w:bookmarkEnd w:id="2"/>
    </w:p>
    <w:p w14:paraId="793B7F78" w14:textId="2E532FC2" w:rsidR="00737AAA" w:rsidRPr="00CC5036" w:rsidRDefault="00CC5036" w:rsidP="00CC5036">
      <w:pPr>
        <w:spacing w:line="240" w:lineRule="auto"/>
        <w:jc w:val="both"/>
        <w:rPr>
          <w:rFonts w:ascii="Arial" w:eastAsia="Times New Roman" w:hAnsi="Arial" w:cs="Arial"/>
          <w:noProof/>
          <w:lang w:val="en-US" w:eastAsia="nl-NL"/>
        </w:rPr>
      </w:pPr>
      <w:bookmarkStart w:id="3" w:name="_ENREF_3"/>
      <w:r w:rsidRPr="00CC5036">
        <w:rPr>
          <w:rFonts w:ascii="Arial" w:eastAsia="Times New Roman" w:hAnsi="Arial" w:cs="Arial"/>
          <w:noProof/>
          <w:lang w:val="en-US" w:eastAsia="nl-NL"/>
        </w:rPr>
        <w:t xml:space="preserve">3. </w:t>
      </w:r>
      <w:r w:rsidR="00737AAA" w:rsidRPr="00CC5036">
        <w:rPr>
          <w:rFonts w:ascii="Arial" w:eastAsia="Times New Roman" w:hAnsi="Arial" w:cs="Arial"/>
          <w:noProof/>
          <w:lang w:val="en-US" w:eastAsia="nl-NL"/>
        </w:rPr>
        <w:t xml:space="preserve">Benkert, P., Tosatto, S. C. &amp; Schomburg, D. (2008). QMEAN: A comprehensive scoring function for model quality assessment. </w:t>
      </w:r>
      <w:r w:rsidR="00737AAA" w:rsidRPr="00CC5036">
        <w:rPr>
          <w:rFonts w:ascii="Arial" w:eastAsia="Times New Roman" w:hAnsi="Arial" w:cs="Arial"/>
          <w:i/>
          <w:noProof/>
          <w:lang w:val="en-US" w:eastAsia="nl-NL"/>
        </w:rPr>
        <w:t>Proteins: Structure, Function, Bioinformatics</w:t>
      </w:r>
      <w:r w:rsidR="00FB0B94" w:rsidRPr="00CC5036">
        <w:rPr>
          <w:rFonts w:ascii="Arial" w:eastAsia="Times New Roman" w:hAnsi="Arial" w:cs="Arial"/>
          <w:noProof/>
          <w:lang w:val="en-US" w:eastAsia="nl-NL"/>
        </w:rPr>
        <w:t>.</w:t>
      </w:r>
      <w:r w:rsidR="00737AAA" w:rsidRPr="00CC5036">
        <w:rPr>
          <w:rFonts w:ascii="Arial" w:eastAsia="Times New Roman" w:hAnsi="Arial" w:cs="Arial"/>
          <w:noProof/>
          <w:lang w:val="en-US" w:eastAsia="nl-NL"/>
        </w:rPr>
        <w:t xml:space="preserve"> </w:t>
      </w:r>
      <w:r w:rsidR="00737AAA" w:rsidRPr="00CC5036">
        <w:rPr>
          <w:rFonts w:ascii="Arial" w:eastAsia="Times New Roman" w:hAnsi="Arial" w:cs="Arial"/>
          <w:b/>
          <w:noProof/>
          <w:lang w:val="en-US" w:eastAsia="nl-NL"/>
        </w:rPr>
        <w:t>71</w:t>
      </w:r>
      <w:r w:rsidR="00737AAA" w:rsidRPr="00CC5036">
        <w:rPr>
          <w:rFonts w:ascii="Arial" w:eastAsia="Times New Roman" w:hAnsi="Arial" w:cs="Arial"/>
          <w:noProof/>
          <w:lang w:val="en-US" w:eastAsia="nl-NL"/>
        </w:rPr>
        <w:t>, 261-277.</w:t>
      </w:r>
      <w:bookmarkEnd w:id="3"/>
    </w:p>
    <w:p w14:paraId="0E3C17F8" w14:textId="5788E375" w:rsidR="00737AAA" w:rsidRPr="00CC5036" w:rsidRDefault="00CC5036" w:rsidP="00CC5036">
      <w:pPr>
        <w:spacing w:line="240" w:lineRule="auto"/>
        <w:jc w:val="both"/>
        <w:rPr>
          <w:rFonts w:ascii="Arial" w:eastAsia="Times New Roman" w:hAnsi="Arial" w:cs="Arial"/>
          <w:noProof/>
          <w:lang w:val="en-US" w:eastAsia="nl-NL"/>
        </w:rPr>
      </w:pPr>
      <w:bookmarkStart w:id="4" w:name="_ENREF_4"/>
      <w:r w:rsidRPr="00CC5036">
        <w:rPr>
          <w:rFonts w:ascii="Arial" w:eastAsia="Times New Roman" w:hAnsi="Arial" w:cs="Arial"/>
          <w:noProof/>
          <w:lang w:val="en-US" w:eastAsia="nl-NL"/>
        </w:rPr>
        <w:t xml:space="preserve">4. </w:t>
      </w:r>
      <w:r w:rsidR="00737AAA" w:rsidRPr="00CC5036">
        <w:rPr>
          <w:rFonts w:ascii="Arial" w:eastAsia="Times New Roman" w:hAnsi="Arial" w:cs="Arial"/>
          <w:noProof/>
          <w:lang w:val="en-US" w:eastAsia="nl-NL"/>
        </w:rPr>
        <w:t xml:space="preserve">Abraham, M. J., Murtola, T., Schulz, R., Páll, S., Smith, J. C., Hess, B. &amp; Lindahl, E. (2015). GROMACS: High performance molecular simulations through multi-level parallelism from laptops to supercomputers. </w:t>
      </w:r>
      <w:r w:rsidR="00737AAA" w:rsidRPr="00CC5036">
        <w:rPr>
          <w:rFonts w:ascii="Arial" w:eastAsia="Times New Roman" w:hAnsi="Arial" w:cs="Arial"/>
          <w:i/>
          <w:noProof/>
          <w:lang w:val="en-US" w:eastAsia="nl-NL"/>
        </w:rPr>
        <w:t>SoftwareX</w:t>
      </w:r>
      <w:r w:rsidR="00737AAA" w:rsidRPr="00CC5036">
        <w:rPr>
          <w:rFonts w:ascii="Arial" w:eastAsia="Times New Roman" w:hAnsi="Arial" w:cs="Arial"/>
          <w:noProof/>
          <w:lang w:val="en-US" w:eastAsia="nl-NL"/>
        </w:rPr>
        <w:t xml:space="preserve">. </w:t>
      </w:r>
      <w:r w:rsidR="00737AAA" w:rsidRPr="00CC5036">
        <w:rPr>
          <w:rFonts w:ascii="Arial" w:eastAsia="Times New Roman" w:hAnsi="Arial" w:cs="Arial"/>
          <w:b/>
          <w:noProof/>
          <w:lang w:val="en-US" w:eastAsia="nl-NL"/>
        </w:rPr>
        <w:t>1</w:t>
      </w:r>
      <w:r w:rsidR="00737AAA" w:rsidRPr="00CC5036">
        <w:rPr>
          <w:rFonts w:ascii="Arial" w:eastAsia="Times New Roman" w:hAnsi="Arial" w:cs="Arial"/>
          <w:noProof/>
          <w:lang w:val="en-US" w:eastAsia="nl-NL"/>
        </w:rPr>
        <w:t>, 19-25.</w:t>
      </w:r>
      <w:bookmarkEnd w:id="4"/>
    </w:p>
    <w:p w14:paraId="6000178C" w14:textId="3E7C1730" w:rsidR="00737AAA" w:rsidRPr="00CC5036" w:rsidRDefault="00CC5036" w:rsidP="00CC5036">
      <w:pPr>
        <w:spacing w:after="0" w:line="240" w:lineRule="auto"/>
        <w:jc w:val="both"/>
        <w:rPr>
          <w:rFonts w:ascii="Arial" w:eastAsia="Times New Roman" w:hAnsi="Arial" w:cs="Arial"/>
          <w:noProof/>
          <w:lang w:val="en-US" w:eastAsia="nl-NL"/>
        </w:rPr>
      </w:pPr>
      <w:bookmarkStart w:id="5" w:name="_ENREF_5"/>
      <w:r w:rsidRPr="00CC5036">
        <w:rPr>
          <w:rFonts w:ascii="Arial" w:eastAsia="Times New Roman" w:hAnsi="Arial" w:cs="Arial"/>
          <w:noProof/>
          <w:lang w:val="en-US" w:eastAsia="nl-NL"/>
        </w:rPr>
        <w:t xml:space="preserve">5. </w:t>
      </w:r>
      <w:r w:rsidR="00737AAA" w:rsidRPr="00CC5036">
        <w:rPr>
          <w:rFonts w:ascii="Arial" w:eastAsia="Times New Roman" w:hAnsi="Arial" w:cs="Arial"/>
          <w:noProof/>
          <w:lang w:val="en-US" w:eastAsia="nl-NL"/>
        </w:rPr>
        <w:t xml:space="preserve">Schmid, N., Eichenberger, A. P., Choutko, A., Riniker, S., Winger, M., Mark, A. E. &amp; van Gunsteren, W. F. (2011). Definition and testing of the GROMOS force-field versions 54A7 and 54B7. </w:t>
      </w:r>
      <w:r w:rsidR="00737AAA" w:rsidRPr="00CC5036">
        <w:rPr>
          <w:rFonts w:ascii="Arial" w:eastAsia="Times New Roman" w:hAnsi="Arial" w:cs="Arial"/>
          <w:i/>
          <w:noProof/>
          <w:lang w:val="en-US" w:eastAsia="nl-NL"/>
        </w:rPr>
        <w:t xml:space="preserve">Eur. Biophys. J. </w:t>
      </w:r>
      <w:r w:rsidR="00737AAA" w:rsidRPr="00CC5036">
        <w:rPr>
          <w:rFonts w:ascii="Arial" w:eastAsia="Times New Roman" w:hAnsi="Arial" w:cs="Arial"/>
          <w:b/>
          <w:noProof/>
          <w:lang w:val="en-US" w:eastAsia="nl-NL"/>
        </w:rPr>
        <w:t>40</w:t>
      </w:r>
      <w:r w:rsidR="00737AAA" w:rsidRPr="00CC5036">
        <w:rPr>
          <w:rFonts w:ascii="Arial" w:eastAsia="Times New Roman" w:hAnsi="Arial" w:cs="Arial"/>
          <w:noProof/>
          <w:lang w:val="en-US" w:eastAsia="nl-NL"/>
        </w:rPr>
        <w:t>, 843.</w:t>
      </w:r>
      <w:bookmarkEnd w:id="5"/>
    </w:p>
    <w:p w14:paraId="3ED1B8B2" w14:textId="475E9A2C" w:rsidR="00737AAA" w:rsidRPr="00CC5036" w:rsidRDefault="00CC5036" w:rsidP="00CC5036">
      <w:pPr>
        <w:spacing w:line="240" w:lineRule="auto"/>
        <w:jc w:val="both"/>
        <w:rPr>
          <w:rFonts w:ascii="Arial" w:eastAsia="Times New Roman" w:hAnsi="Arial" w:cs="Arial"/>
          <w:noProof/>
          <w:lang w:val="en-US" w:eastAsia="nl-NL"/>
        </w:rPr>
      </w:pPr>
      <w:bookmarkStart w:id="6" w:name="_ENREF_6"/>
      <w:r w:rsidRPr="00CC5036">
        <w:rPr>
          <w:rFonts w:ascii="Arial" w:eastAsia="Times New Roman" w:hAnsi="Arial" w:cs="Arial"/>
          <w:noProof/>
          <w:lang w:val="en-US" w:eastAsia="nl-NL"/>
        </w:rPr>
        <w:t xml:space="preserve">6. </w:t>
      </w:r>
      <w:r w:rsidR="00737AAA" w:rsidRPr="00CC5036">
        <w:rPr>
          <w:rFonts w:ascii="Arial" w:eastAsia="Times New Roman" w:hAnsi="Arial" w:cs="Arial"/>
          <w:noProof/>
          <w:lang w:val="en-US" w:eastAsia="nl-NL"/>
        </w:rPr>
        <w:t xml:space="preserve">Tao, Y., Rao, Z.-H. &amp; Liu, S.-Q. (2010). Insight derived from molecular dynamics simulation into substrate-induced changes in protein motions of proteinase K. </w:t>
      </w:r>
      <w:r w:rsidR="00737AAA" w:rsidRPr="00CC5036">
        <w:rPr>
          <w:rFonts w:ascii="Arial" w:eastAsia="Times New Roman" w:hAnsi="Arial" w:cs="Arial"/>
          <w:i/>
          <w:noProof/>
          <w:lang w:val="en-US" w:eastAsia="nl-NL"/>
        </w:rPr>
        <w:t xml:space="preserve">J BIOMOL STRUCT DYN </w:t>
      </w:r>
      <w:r w:rsidR="00737AAA" w:rsidRPr="00CC5036">
        <w:rPr>
          <w:rFonts w:ascii="Arial" w:eastAsia="Times New Roman" w:hAnsi="Arial" w:cs="Arial"/>
          <w:b/>
          <w:noProof/>
          <w:lang w:val="en-US" w:eastAsia="nl-NL"/>
        </w:rPr>
        <w:t>28</w:t>
      </w:r>
      <w:r w:rsidR="00737AAA" w:rsidRPr="00CC5036">
        <w:rPr>
          <w:rFonts w:ascii="Arial" w:eastAsia="Times New Roman" w:hAnsi="Arial" w:cs="Arial"/>
          <w:noProof/>
          <w:lang w:val="en-US" w:eastAsia="nl-NL"/>
        </w:rPr>
        <w:t>, 143-157.</w:t>
      </w:r>
      <w:bookmarkEnd w:id="6"/>
    </w:p>
    <w:p w14:paraId="5DE4B618" w14:textId="7B7B289B" w:rsidR="00737AAA" w:rsidRPr="00CC5036" w:rsidRDefault="00737AAA" w:rsidP="00737AAA">
      <w:pPr>
        <w:spacing w:line="240" w:lineRule="auto"/>
        <w:jc w:val="both"/>
        <w:rPr>
          <w:rFonts w:ascii="Arial" w:eastAsia="Times New Roman" w:hAnsi="Arial" w:cs="Arial"/>
          <w:noProof/>
          <w:lang w:val="en-US" w:eastAsia="nl-NL"/>
        </w:rPr>
      </w:pPr>
    </w:p>
    <w:p w14:paraId="1C700DD6" w14:textId="1F5D6B29" w:rsidR="00934CE6" w:rsidRPr="00F45008" w:rsidRDefault="00737AAA">
      <w:pPr>
        <w:spacing w:before="240" w:after="240" w:line="240" w:lineRule="auto"/>
        <w:jc w:val="both"/>
        <w:rPr>
          <w:rFonts w:ascii="Arial" w:eastAsia="Times New Roman" w:hAnsi="Arial" w:cs="Arial"/>
          <w:sz w:val="24"/>
          <w:szCs w:val="24"/>
          <w:lang w:val="en-US" w:eastAsia="nl-NL"/>
        </w:rPr>
      </w:pPr>
      <w:r w:rsidRPr="00CC5036">
        <w:rPr>
          <w:rFonts w:ascii="Arial" w:eastAsia="Times New Roman" w:hAnsi="Arial" w:cs="Arial"/>
          <w:lang w:val="en-US" w:eastAsia="nl-NL"/>
        </w:rPr>
        <w:fldChar w:fldCharType="end"/>
      </w:r>
    </w:p>
    <w:sectPr w:rsidR="00934CE6" w:rsidRPr="00F45008">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77635" w14:textId="77777777" w:rsidR="00BC6799" w:rsidRDefault="00BC6799" w:rsidP="00374097">
      <w:pPr>
        <w:spacing w:after="0" w:line="240" w:lineRule="auto"/>
      </w:pPr>
      <w:r>
        <w:separator/>
      </w:r>
    </w:p>
  </w:endnote>
  <w:endnote w:type="continuationSeparator" w:id="0">
    <w:p w14:paraId="1C1E2026" w14:textId="77777777" w:rsidR="00BC6799" w:rsidRDefault="00BC6799" w:rsidP="00374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368559"/>
      <w:docPartObj>
        <w:docPartGallery w:val="Page Numbers (Bottom of Page)"/>
        <w:docPartUnique/>
      </w:docPartObj>
    </w:sdtPr>
    <w:sdtEndPr>
      <w:rPr>
        <w:rFonts w:ascii="Arial" w:hAnsi="Arial" w:cs="Arial"/>
        <w:noProof/>
      </w:rPr>
    </w:sdtEndPr>
    <w:sdtContent>
      <w:p w14:paraId="2D037C0F" w14:textId="0AB4442B" w:rsidR="00374097" w:rsidRPr="00387A76" w:rsidRDefault="00374097">
        <w:pPr>
          <w:pStyle w:val="Footer"/>
          <w:jc w:val="center"/>
          <w:rPr>
            <w:rFonts w:ascii="Arial" w:hAnsi="Arial" w:cs="Arial"/>
          </w:rPr>
        </w:pPr>
        <w:r w:rsidRPr="00387A76">
          <w:rPr>
            <w:rFonts w:ascii="Arial" w:hAnsi="Arial" w:cs="Arial"/>
          </w:rPr>
          <w:fldChar w:fldCharType="begin"/>
        </w:r>
        <w:r w:rsidRPr="00387A76">
          <w:rPr>
            <w:rFonts w:ascii="Arial" w:hAnsi="Arial" w:cs="Arial"/>
          </w:rPr>
          <w:instrText xml:space="preserve"> PAGE   \* MERGEFORMAT </w:instrText>
        </w:r>
        <w:r w:rsidRPr="00387A76">
          <w:rPr>
            <w:rFonts w:ascii="Arial" w:hAnsi="Arial" w:cs="Arial"/>
          </w:rPr>
          <w:fldChar w:fldCharType="separate"/>
        </w:r>
        <w:r w:rsidR="005D617A">
          <w:rPr>
            <w:rFonts w:ascii="Arial" w:hAnsi="Arial" w:cs="Arial"/>
            <w:noProof/>
          </w:rPr>
          <w:t>1</w:t>
        </w:r>
        <w:r w:rsidRPr="00387A76">
          <w:rPr>
            <w:rFonts w:ascii="Arial" w:hAnsi="Arial" w:cs="Arial"/>
            <w:noProof/>
          </w:rPr>
          <w:fldChar w:fldCharType="end"/>
        </w:r>
      </w:p>
    </w:sdtContent>
  </w:sdt>
  <w:p w14:paraId="79BB10E8" w14:textId="77777777" w:rsidR="00374097" w:rsidRDefault="00374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F7370" w14:textId="77777777" w:rsidR="00BC6799" w:rsidRDefault="00BC6799" w:rsidP="00374097">
      <w:pPr>
        <w:spacing w:after="0" w:line="240" w:lineRule="auto"/>
      </w:pPr>
      <w:r>
        <w:separator/>
      </w:r>
    </w:p>
  </w:footnote>
  <w:footnote w:type="continuationSeparator" w:id="0">
    <w:p w14:paraId="6517F8A4" w14:textId="77777777" w:rsidR="00BC6799" w:rsidRDefault="00BC6799" w:rsidP="00374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A19FE"/>
    <w:multiLevelType w:val="hybridMultilevel"/>
    <w:tmpl w:val="9BCEC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83581D"/>
    <w:multiLevelType w:val="hybridMultilevel"/>
    <w:tmpl w:val="9EB4DE96"/>
    <w:lvl w:ilvl="0" w:tplc="40068B9E">
      <w:numFmt w:val="bullet"/>
      <w:lvlText w:val=""/>
      <w:lvlJc w:val="left"/>
      <w:pPr>
        <w:ind w:left="936" w:hanging="360"/>
      </w:pPr>
      <w:rPr>
        <w:rFonts w:ascii="Symbol" w:eastAsia="Times New Roman" w:hAnsi="Symbol" w:cs="Arial" w:hint="default"/>
        <w:color w:val="000000"/>
        <w:sz w:val="24"/>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15:restartNumberingAfterBreak="0">
    <w:nsid w:val="4AB379A7"/>
    <w:multiLevelType w:val="hybridMultilevel"/>
    <w:tmpl w:val="BD969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8A6560"/>
    <w:multiLevelType w:val="hybridMultilevel"/>
    <w:tmpl w:val="4BB84906"/>
    <w:lvl w:ilvl="0" w:tplc="D2720CD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8823E3"/>
    <w:multiLevelType w:val="hybridMultilevel"/>
    <w:tmpl w:val="B87C1072"/>
    <w:lvl w:ilvl="0" w:tplc="6AFEE9F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J Molecular Bi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583682"/>
    <w:rsid w:val="000070B3"/>
    <w:rsid w:val="00030528"/>
    <w:rsid w:val="00033E65"/>
    <w:rsid w:val="000463C9"/>
    <w:rsid w:val="00056816"/>
    <w:rsid w:val="00093037"/>
    <w:rsid w:val="000B1457"/>
    <w:rsid w:val="000D0330"/>
    <w:rsid w:val="000D30E9"/>
    <w:rsid w:val="000E3274"/>
    <w:rsid w:val="000E7C2B"/>
    <w:rsid w:val="00110E55"/>
    <w:rsid w:val="00120DDF"/>
    <w:rsid w:val="001217C1"/>
    <w:rsid w:val="001278B9"/>
    <w:rsid w:val="00140E47"/>
    <w:rsid w:val="00190CE7"/>
    <w:rsid w:val="001929C7"/>
    <w:rsid w:val="001A33ED"/>
    <w:rsid w:val="001D50CD"/>
    <w:rsid w:val="001F5E6A"/>
    <w:rsid w:val="00201D0C"/>
    <w:rsid w:val="00206702"/>
    <w:rsid w:val="00221B83"/>
    <w:rsid w:val="00231324"/>
    <w:rsid w:val="002447EA"/>
    <w:rsid w:val="00256D17"/>
    <w:rsid w:val="002756C1"/>
    <w:rsid w:val="002862FC"/>
    <w:rsid w:val="00287DB2"/>
    <w:rsid w:val="00294EE3"/>
    <w:rsid w:val="002E2936"/>
    <w:rsid w:val="002E327E"/>
    <w:rsid w:val="002F1749"/>
    <w:rsid w:val="00302ECE"/>
    <w:rsid w:val="00304992"/>
    <w:rsid w:val="0030795C"/>
    <w:rsid w:val="00343C74"/>
    <w:rsid w:val="00374097"/>
    <w:rsid w:val="00387A76"/>
    <w:rsid w:val="003B4303"/>
    <w:rsid w:val="003B67FC"/>
    <w:rsid w:val="003C4CF3"/>
    <w:rsid w:val="003E443E"/>
    <w:rsid w:val="00411705"/>
    <w:rsid w:val="00413D17"/>
    <w:rsid w:val="00443E4B"/>
    <w:rsid w:val="00446220"/>
    <w:rsid w:val="004A0FF8"/>
    <w:rsid w:val="004A6092"/>
    <w:rsid w:val="004B1493"/>
    <w:rsid w:val="004F0A90"/>
    <w:rsid w:val="004F1EF2"/>
    <w:rsid w:val="0054624A"/>
    <w:rsid w:val="005477C2"/>
    <w:rsid w:val="00583682"/>
    <w:rsid w:val="00594388"/>
    <w:rsid w:val="005B20D9"/>
    <w:rsid w:val="005B5A2E"/>
    <w:rsid w:val="005C790E"/>
    <w:rsid w:val="005D5486"/>
    <w:rsid w:val="005D617A"/>
    <w:rsid w:val="005E448B"/>
    <w:rsid w:val="005F0B16"/>
    <w:rsid w:val="00601D0F"/>
    <w:rsid w:val="0060383E"/>
    <w:rsid w:val="00605333"/>
    <w:rsid w:val="0060674B"/>
    <w:rsid w:val="0061072C"/>
    <w:rsid w:val="0061463C"/>
    <w:rsid w:val="0067616D"/>
    <w:rsid w:val="006801C7"/>
    <w:rsid w:val="00682DEF"/>
    <w:rsid w:val="006A67B1"/>
    <w:rsid w:val="006B157D"/>
    <w:rsid w:val="006B3A27"/>
    <w:rsid w:val="006B3F98"/>
    <w:rsid w:val="006B6206"/>
    <w:rsid w:val="006C4BEE"/>
    <w:rsid w:val="006C4FDE"/>
    <w:rsid w:val="006C5C5E"/>
    <w:rsid w:val="006C621F"/>
    <w:rsid w:val="007013BF"/>
    <w:rsid w:val="007032B7"/>
    <w:rsid w:val="00737A5F"/>
    <w:rsid w:val="00737AAA"/>
    <w:rsid w:val="00753AA6"/>
    <w:rsid w:val="0078741F"/>
    <w:rsid w:val="00790E23"/>
    <w:rsid w:val="007B25AA"/>
    <w:rsid w:val="007C4313"/>
    <w:rsid w:val="007C6B25"/>
    <w:rsid w:val="007D3A07"/>
    <w:rsid w:val="00820355"/>
    <w:rsid w:val="00872AF0"/>
    <w:rsid w:val="00887475"/>
    <w:rsid w:val="0089004F"/>
    <w:rsid w:val="00890427"/>
    <w:rsid w:val="00895B6B"/>
    <w:rsid w:val="008A3736"/>
    <w:rsid w:val="008A4AEF"/>
    <w:rsid w:val="00933151"/>
    <w:rsid w:val="00934CE6"/>
    <w:rsid w:val="00945DA0"/>
    <w:rsid w:val="009503B2"/>
    <w:rsid w:val="009811C6"/>
    <w:rsid w:val="00992AA2"/>
    <w:rsid w:val="009A0B63"/>
    <w:rsid w:val="009B362E"/>
    <w:rsid w:val="009B7ED2"/>
    <w:rsid w:val="009D2A1C"/>
    <w:rsid w:val="009D31B7"/>
    <w:rsid w:val="00A10FEE"/>
    <w:rsid w:val="00A152DA"/>
    <w:rsid w:val="00A27830"/>
    <w:rsid w:val="00A30E9B"/>
    <w:rsid w:val="00A33B75"/>
    <w:rsid w:val="00A41731"/>
    <w:rsid w:val="00A661C9"/>
    <w:rsid w:val="00A70E6A"/>
    <w:rsid w:val="00A77C86"/>
    <w:rsid w:val="00A9375A"/>
    <w:rsid w:val="00A9594F"/>
    <w:rsid w:val="00AF5D8F"/>
    <w:rsid w:val="00B212C3"/>
    <w:rsid w:val="00B4348B"/>
    <w:rsid w:val="00B67874"/>
    <w:rsid w:val="00B82D59"/>
    <w:rsid w:val="00BA1200"/>
    <w:rsid w:val="00BC6799"/>
    <w:rsid w:val="00BD334E"/>
    <w:rsid w:val="00BF2F00"/>
    <w:rsid w:val="00BF5F7C"/>
    <w:rsid w:val="00C05D12"/>
    <w:rsid w:val="00C21B4A"/>
    <w:rsid w:val="00C255D0"/>
    <w:rsid w:val="00C51672"/>
    <w:rsid w:val="00C56611"/>
    <w:rsid w:val="00C65591"/>
    <w:rsid w:val="00C72354"/>
    <w:rsid w:val="00C92333"/>
    <w:rsid w:val="00C92A85"/>
    <w:rsid w:val="00CA19C6"/>
    <w:rsid w:val="00CB1995"/>
    <w:rsid w:val="00CB4B76"/>
    <w:rsid w:val="00CC1079"/>
    <w:rsid w:val="00CC5036"/>
    <w:rsid w:val="00CD1E84"/>
    <w:rsid w:val="00CD570F"/>
    <w:rsid w:val="00CD5FC0"/>
    <w:rsid w:val="00CE5AEF"/>
    <w:rsid w:val="00CF0ED0"/>
    <w:rsid w:val="00CF5F31"/>
    <w:rsid w:val="00D04D41"/>
    <w:rsid w:val="00D222D7"/>
    <w:rsid w:val="00D31FF0"/>
    <w:rsid w:val="00D41EE7"/>
    <w:rsid w:val="00D57158"/>
    <w:rsid w:val="00D57ED9"/>
    <w:rsid w:val="00D65564"/>
    <w:rsid w:val="00DE437F"/>
    <w:rsid w:val="00DF1CFA"/>
    <w:rsid w:val="00DF31F7"/>
    <w:rsid w:val="00DF5AA6"/>
    <w:rsid w:val="00E00691"/>
    <w:rsid w:val="00E12CFE"/>
    <w:rsid w:val="00E25F39"/>
    <w:rsid w:val="00E50C93"/>
    <w:rsid w:val="00E62EB5"/>
    <w:rsid w:val="00EA2DA8"/>
    <w:rsid w:val="00EC7ECC"/>
    <w:rsid w:val="00ED5426"/>
    <w:rsid w:val="00EF3473"/>
    <w:rsid w:val="00F13419"/>
    <w:rsid w:val="00F41E3B"/>
    <w:rsid w:val="00F4404F"/>
    <w:rsid w:val="00F45008"/>
    <w:rsid w:val="00F6012D"/>
    <w:rsid w:val="00F74966"/>
    <w:rsid w:val="00F84476"/>
    <w:rsid w:val="00F86C6B"/>
    <w:rsid w:val="00FA139B"/>
    <w:rsid w:val="00FB0B94"/>
    <w:rsid w:val="00FD72F6"/>
    <w:rsid w:val="00FE36EA"/>
    <w:rsid w:val="00FF07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8586"/>
  <w15:chartTrackingRefBased/>
  <w15:docId w15:val="{A33FD7D9-09A3-40CE-B649-02F2009B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682"/>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368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unhideWhenUsed/>
    <w:rsid w:val="00890427"/>
    <w:rPr>
      <w:color w:val="0000FF"/>
      <w:u w:val="single"/>
    </w:rPr>
  </w:style>
  <w:style w:type="table" w:styleId="TableGrid">
    <w:name w:val="Table Grid"/>
    <w:basedOn w:val="TableNormal"/>
    <w:uiPriority w:val="39"/>
    <w:rsid w:val="00AF5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4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097"/>
    <w:rPr>
      <w:lang w:val="nl-NL"/>
    </w:rPr>
  </w:style>
  <w:style w:type="paragraph" w:styleId="Footer">
    <w:name w:val="footer"/>
    <w:basedOn w:val="Normal"/>
    <w:link w:val="FooterChar"/>
    <w:uiPriority w:val="99"/>
    <w:unhideWhenUsed/>
    <w:rsid w:val="00374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097"/>
    <w:rPr>
      <w:lang w:val="nl-NL"/>
    </w:rPr>
  </w:style>
  <w:style w:type="table" w:styleId="PlainTable2">
    <w:name w:val="Plain Table 2"/>
    <w:basedOn w:val="TableNormal"/>
    <w:uiPriority w:val="42"/>
    <w:rsid w:val="00D31F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5Dark-Accent3">
    <w:name w:val="Grid Table 5 Dark Accent 3"/>
    <w:basedOn w:val="TableNormal"/>
    <w:uiPriority w:val="50"/>
    <w:rsid w:val="00201D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5">
    <w:name w:val="Grid Table 5 Dark Accent 5"/>
    <w:basedOn w:val="TableNormal"/>
    <w:uiPriority w:val="50"/>
    <w:rsid w:val="00201D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1">
    <w:name w:val="Grid Table 5 Dark Accent 1"/>
    <w:basedOn w:val="TableNormal"/>
    <w:uiPriority w:val="50"/>
    <w:rsid w:val="00201D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ListParagraph">
    <w:name w:val="List Paragraph"/>
    <w:basedOn w:val="Normal"/>
    <w:uiPriority w:val="34"/>
    <w:qFormat/>
    <w:rsid w:val="00C56611"/>
    <w:pPr>
      <w:ind w:left="720"/>
      <w:contextualSpacing/>
    </w:pPr>
  </w:style>
  <w:style w:type="character" w:customStyle="1" w:styleId="categorynumber">
    <w:name w:val="category_number"/>
    <w:basedOn w:val="DefaultParagraphFont"/>
    <w:rsid w:val="00C56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m.asghari@ut.ac.ir"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TotalTime>
  <Pages>15</Pages>
  <Words>1120</Words>
  <Characters>22743</Characters>
  <Application>Microsoft Office Word</Application>
  <DocSecurity>0</DocSecurity>
  <Lines>1137</Lines>
  <Paragraphs>1037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16</cp:revision>
  <cp:lastPrinted>2023-03-06T09:27:00Z</cp:lastPrinted>
  <dcterms:created xsi:type="dcterms:W3CDTF">2023-03-06T09:27:00Z</dcterms:created>
  <dcterms:modified xsi:type="dcterms:W3CDTF">2023-04-28T10:25:00Z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4aa89f0b75ec4408ceb70a170c1d2441e4ceb4fb51ddbaee65ae9b60a8cd5911</vt:lpwstr>
  </property>
</Properties>
</file>