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A7467" w14:textId="18925337" w:rsidR="004E0330" w:rsidRPr="004E0330" w:rsidRDefault="004E0330" w:rsidP="002117A7">
      <w:pPr>
        <w:autoSpaceDE w:val="0"/>
        <w:autoSpaceDN w:val="0"/>
        <w:adjustRightInd w:val="0"/>
        <w:rPr>
          <w:rFonts w:ascii="AppleSystemUIFont" w:hAnsi="AppleSystemUIFont" w:cs="AppleSystemUIFont"/>
          <w:sz w:val="26"/>
          <w:szCs w:val="26"/>
          <w:u w:val="single"/>
          <w:lang w:val="en-US"/>
        </w:rPr>
      </w:pPr>
      <w:r w:rsidRPr="004E0330">
        <w:rPr>
          <w:rFonts w:ascii="AppleSystemUIFont" w:hAnsi="AppleSystemUIFont" w:cs="AppleSystemUIFont"/>
          <w:sz w:val="26"/>
          <w:szCs w:val="26"/>
          <w:u w:val="single"/>
          <w:lang w:val="en-US"/>
        </w:rPr>
        <w:t>Supplementary Material 1:</w:t>
      </w:r>
    </w:p>
    <w:p w14:paraId="35550F5E" w14:textId="77777777" w:rsidR="004E0330" w:rsidRDefault="004E0330" w:rsidP="002117A7">
      <w:pPr>
        <w:autoSpaceDE w:val="0"/>
        <w:autoSpaceDN w:val="0"/>
        <w:adjustRightInd w:val="0"/>
        <w:rPr>
          <w:rFonts w:ascii="AppleSystemUIFont" w:hAnsi="AppleSystemUIFont" w:cs="AppleSystemUIFont"/>
          <w:sz w:val="26"/>
          <w:szCs w:val="26"/>
          <w:lang w:val="en-US"/>
        </w:rPr>
      </w:pPr>
    </w:p>
    <w:p w14:paraId="2CA3A63E" w14:textId="73C05A4C" w:rsidR="002117A7" w:rsidRPr="002117A7" w:rsidRDefault="002117A7" w:rsidP="002117A7">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S</w:t>
      </w:r>
      <w:r w:rsidRPr="002117A7">
        <w:rPr>
          <w:rFonts w:ascii="AppleSystemUIFont" w:hAnsi="AppleSystemUIFont" w:cs="AppleSystemUIFont"/>
          <w:sz w:val="26"/>
          <w:szCs w:val="26"/>
          <w:lang w:val="en-US"/>
        </w:rPr>
        <w:t>pecific words and phrases</w:t>
      </w:r>
      <w:r>
        <w:rPr>
          <w:rFonts w:ascii="AppleSystemUIFont" w:hAnsi="AppleSystemUIFont" w:cs="AppleSystemUIFont"/>
          <w:sz w:val="26"/>
          <w:szCs w:val="26"/>
          <w:lang w:val="en-US"/>
        </w:rPr>
        <w:t xml:space="preserve"> used during search of </w:t>
      </w:r>
      <w:r w:rsidRPr="002117A7">
        <w:rPr>
          <w:lang w:val="en-US"/>
        </w:rPr>
        <w:t>PubMed and EBSCO Discovery Service</w:t>
      </w:r>
      <w:r>
        <w:rPr>
          <w:lang w:val="en-US"/>
        </w:rPr>
        <w:t xml:space="preserve"> databases:</w:t>
      </w:r>
    </w:p>
    <w:p w14:paraId="0CFFE17B" w14:textId="4F79F5A3" w:rsidR="002117A7" w:rsidRDefault="002117A7" w:rsidP="002117A7">
      <w:pPr>
        <w:autoSpaceDE w:val="0"/>
        <w:autoSpaceDN w:val="0"/>
        <w:adjustRightInd w:val="0"/>
        <w:rPr>
          <w:rFonts w:ascii="AppleSystemUIFont" w:hAnsi="AppleSystemUIFont" w:cs="AppleSystemUIFont"/>
          <w:sz w:val="26"/>
          <w:szCs w:val="26"/>
          <w:lang w:val="en-US"/>
        </w:rPr>
      </w:pPr>
    </w:p>
    <w:p w14:paraId="14D152C6" w14:textId="77777777" w:rsidR="002117A7" w:rsidRPr="002117A7" w:rsidRDefault="002117A7" w:rsidP="002117A7">
      <w:pPr>
        <w:autoSpaceDE w:val="0"/>
        <w:autoSpaceDN w:val="0"/>
        <w:adjustRightInd w:val="0"/>
        <w:rPr>
          <w:rFonts w:ascii="AppleSystemUIFont" w:hAnsi="AppleSystemUIFont" w:cs="AppleSystemUIFont"/>
          <w:sz w:val="26"/>
          <w:szCs w:val="26"/>
          <w:lang w:val="en-US"/>
        </w:rPr>
      </w:pPr>
    </w:p>
    <w:p w14:paraId="71238B74" w14:textId="0F13CBB0" w:rsidR="002117A7" w:rsidRDefault="002117A7" w:rsidP="002117A7">
      <w:pPr>
        <w:autoSpaceDE w:val="0"/>
        <w:autoSpaceDN w:val="0"/>
        <w:adjustRightInd w:val="0"/>
        <w:rPr>
          <w:rFonts w:ascii="AppleSystemUIFont" w:hAnsi="AppleSystemUIFont" w:cs="AppleSystemUIFont"/>
          <w:sz w:val="26"/>
          <w:szCs w:val="26"/>
          <w:lang w:val="en-US"/>
        </w:rPr>
      </w:pPr>
      <w:r w:rsidRPr="002117A7">
        <w:rPr>
          <w:rFonts w:ascii="AppleSystemUIFont" w:hAnsi="AppleSystemUIFont" w:cs="AppleSystemUIFont"/>
          <w:sz w:val="26"/>
          <w:szCs w:val="26"/>
          <w:lang w:val="en-US"/>
        </w:rPr>
        <w:t>“papillomavirus” or „HPV” or „cervical cancer” or „cervical intraepithelial neoplasia” or „CIN” or „cervical dysplasia” or „HSIL” or „vulvar cancer” or „vulvar intraepithelial neoplasia” or „vulvar dysplasia” or „VIN” or „vaginal cancer” or „</w:t>
      </w:r>
      <w:r w:rsidR="00F13D99">
        <w:rPr>
          <w:rFonts w:ascii="AppleSystemUIFont" w:hAnsi="AppleSystemUIFont" w:cs="AppleSystemUIFont"/>
          <w:sz w:val="26"/>
          <w:szCs w:val="26"/>
          <w:lang w:val="en-US"/>
        </w:rPr>
        <w:t>v</w:t>
      </w:r>
      <w:r w:rsidRPr="002117A7">
        <w:rPr>
          <w:rFonts w:ascii="AppleSystemUIFont" w:hAnsi="AppleSystemUIFont" w:cs="AppleSystemUIFont"/>
          <w:sz w:val="26"/>
          <w:szCs w:val="26"/>
          <w:lang w:val="en-US"/>
        </w:rPr>
        <w:t>aginal intraepithelial neoplasia” or „VAIN” or „vaginal dysplasia” </w:t>
      </w:r>
    </w:p>
    <w:p w14:paraId="3FE8F6B3" w14:textId="77777777" w:rsidR="002117A7" w:rsidRDefault="002117A7" w:rsidP="002117A7">
      <w:pPr>
        <w:autoSpaceDE w:val="0"/>
        <w:autoSpaceDN w:val="0"/>
        <w:adjustRightInd w:val="0"/>
        <w:rPr>
          <w:rFonts w:ascii="AppleSystemUIFont" w:hAnsi="AppleSystemUIFont" w:cs="AppleSystemUIFont"/>
          <w:sz w:val="26"/>
          <w:szCs w:val="26"/>
          <w:lang w:val="en-US"/>
        </w:rPr>
      </w:pPr>
    </w:p>
    <w:p w14:paraId="0373031D" w14:textId="7BA9E5FC" w:rsidR="002117A7" w:rsidRDefault="002117A7" w:rsidP="002117A7">
      <w:pPr>
        <w:autoSpaceDE w:val="0"/>
        <w:autoSpaceDN w:val="0"/>
        <w:adjustRightInd w:val="0"/>
        <w:rPr>
          <w:rFonts w:ascii="AppleSystemUIFont" w:hAnsi="AppleSystemUIFont" w:cs="AppleSystemUIFont"/>
          <w:b/>
          <w:bCs/>
          <w:sz w:val="26"/>
          <w:szCs w:val="26"/>
          <w:lang w:val="en-US"/>
        </w:rPr>
      </w:pPr>
      <w:r w:rsidRPr="002117A7">
        <w:rPr>
          <w:rFonts w:ascii="AppleSystemUIFont" w:hAnsi="AppleSystemUIFont" w:cs="AppleSystemUIFont"/>
          <w:b/>
          <w:bCs/>
          <w:sz w:val="26"/>
          <w:szCs w:val="26"/>
          <w:lang w:val="en-US"/>
        </w:rPr>
        <w:t>AND</w:t>
      </w:r>
    </w:p>
    <w:p w14:paraId="158C99A7" w14:textId="77777777" w:rsidR="002117A7" w:rsidRPr="002117A7" w:rsidRDefault="002117A7" w:rsidP="002117A7">
      <w:pPr>
        <w:autoSpaceDE w:val="0"/>
        <w:autoSpaceDN w:val="0"/>
        <w:adjustRightInd w:val="0"/>
        <w:rPr>
          <w:rFonts w:ascii="AppleSystemUIFont" w:hAnsi="AppleSystemUIFont" w:cs="AppleSystemUIFont"/>
          <w:sz w:val="26"/>
          <w:szCs w:val="26"/>
          <w:lang w:val="en-US"/>
        </w:rPr>
      </w:pPr>
    </w:p>
    <w:p w14:paraId="0ED818A8" w14:textId="77777777" w:rsidR="002117A7" w:rsidRDefault="002117A7" w:rsidP="002117A7">
      <w:pPr>
        <w:autoSpaceDE w:val="0"/>
        <w:autoSpaceDN w:val="0"/>
        <w:adjustRightInd w:val="0"/>
        <w:rPr>
          <w:rFonts w:ascii="AppleSystemUIFont" w:hAnsi="AppleSystemUIFont" w:cs="AppleSystemUIFont"/>
          <w:sz w:val="26"/>
          <w:szCs w:val="26"/>
          <w:lang w:val="en-US"/>
        </w:rPr>
      </w:pPr>
      <w:r w:rsidRPr="002117A7">
        <w:rPr>
          <w:rFonts w:ascii="AppleSystemUIFont" w:hAnsi="AppleSystemUIFont" w:cs="AppleSystemUIFont"/>
          <w:sz w:val="26"/>
          <w:szCs w:val="26"/>
          <w:lang w:val="en-US"/>
        </w:rPr>
        <w:t>„AIN” or „Anal intraepithelial neoplasia” or „anal dysplasia” or „anal precancer” or „anal cancer” or „anus neoplasms”</w:t>
      </w:r>
    </w:p>
    <w:p w14:paraId="2F9F8F3F" w14:textId="77777777" w:rsidR="002117A7" w:rsidRDefault="002117A7" w:rsidP="002117A7">
      <w:pPr>
        <w:autoSpaceDE w:val="0"/>
        <w:autoSpaceDN w:val="0"/>
        <w:adjustRightInd w:val="0"/>
        <w:rPr>
          <w:rFonts w:ascii="AppleSystemUIFont" w:hAnsi="AppleSystemUIFont" w:cs="AppleSystemUIFont"/>
          <w:sz w:val="26"/>
          <w:szCs w:val="26"/>
          <w:lang w:val="en-US"/>
        </w:rPr>
      </w:pPr>
    </w:p>
    <w:p w14:paraId="74AA5B27" w14:textId="4B1999D9" w:rsidR="00FA08D5" w:rsidRDefault="00FA08D5" w:rsidP="00064BE6">
      <w:pPr>
        <w:autoSpaceDE w:val="0"/>
        <w:autoSpaceDN w:val="0"/>
        <w:adjustRightInd w:val="0"/>
        <w:rPr>
          <w:lang w:val="en-US"/>
        </w:rPr>
      </w:pPr>
    </w:p>
    <w:p w14:paraId="302FFBFD" w14:textId="77777777" w:rsidR="004E0330" w:rsidRDefault="004E0330">
      <w:pPr>
        <w:rPr>
          <w:lang w:val="en-US"/>
        </w:rPr>
      </w:pPr>
    </w:p>
    <w:p w14:paraId="1DC2894A" w14:textId="0C3CC4CA" w:rsidR="004E0330" w:rsidRPr="004E0330" w:rsidRDefault="004E0330" w:rsidP="004E0330">
      <w:pPr>
        <w:autoSpaceDE w:val="0"/>
        <w:autoSpaceDN w:val="0"/>
        <w:adjustRightInd w:val="0"/>
        <w:rPr>
          <w:rFonts w:ascii="AppleSystemUIFont" w:hAnsi="AppleSystemUIFont" w:cs="AppleSystemUIFont"/>
          <w:sz w:val="26"/>
          <w:szCs w:val="26"/>
          <w:u w:val="single"/>
          <w:lang w:val="en-US"/>
        </w:rPr>
      </w:pPr>
      <w:r w:rsidRPr="004E0330">
        <w:rPr>
          <w:rFonts w:ascii="AppleSystemUIFont" w:hAnsi="AppleSystemUIFont" w:cs="AppleSystemUIFont"/>
          <w:sz w:val="26"/>
          <w:szCs w:val="26"/>
          <w:u w:val="single"/>
          <w:lang w:val="en-US"/>
        </w:rPr>
        <w:t xml:space="preserve">Supplementary Material </w:t>
      </w:r>
      <w:r>
        <w:rPr>
          <w:rFonts w:ascii="AppleSystemUIFont" w:hAnsi="AppleSystemUIFont" w:cs="AppleSystemUIFont"/>
          <w:sz w:val="26"/>
          <w:szCs w:val="26"/>
          <w:u w:val="single"/>
          <w:lang w:val="en-US"/>
        </w:rPr>
        <w:t>2</w:t>
      </w:r>
      <w:r w:rsidRPr="004E0330">
        <w:rPr>
          <w:rFonts w:ascii="AppleSystemUIFont" w:hAnsi="AppleSystemUIFont" w:cs="AppleSystemUIFont"/>
          <w:sz w:val="26"/>
          <w:szCs w:val="26"/>
          <w:u w:val="single"/>
          <w:lang w:val="en-US"/>
        </w:rPr>
        <w:t>:</w:t>
      </w:r>
    </w:p>
    <w:p w14:paraId="754858CF" w14:textId="7383FB60" w:rsidR="005357AA" w:rsidRDefault="005357AA">
      <w:pPr>
        <w:rPr>
          <w:lang w:val="en-US"/>
        </w:rPr>
      </w:pPr>
    </w:p>
    <w:p w14:paraId="294F8D95" w14:textId="30192911" w:rsidR="005357AA" w:rsidRDefault="009F2A1F">
      <w:pPr>
        <w:rPr>
          <w:lang w:val="en-US"/>
        </w:rPr>
      </w:pPr>
      <w:r>
        <w:rPr>
          <w:lang w:val="en-US"/>
        </w:rPr>
        <w:t xml:space="preserve"> </w:t>
      </w:r>
    </w:p>
    <w:p w14:paraId="4BEF6DAA" w14:textId="3B4EFAC2" w:rsidR="00933A38" w:rsidRDefault="00933A38">
      <w:pPr>
        <w:rPr>
          <w:lang w:val="en-US"/>
        </w:rPr>
      </w:pPr>
    </w:p>
    <w:tbl>
      <w:tblPr>
        <w:tblStyle w:val="Tabela-Siatka"/>
        <w:tblW w:w="12900" w:type="dxa"/>
        <w:tblInd w:w="-431" w:type="dxa"/>
        <w:tblLayout w:type="fixed"/>
        <w:tblLook w:val="04A0" w:firstRow="1" w:lastRow="0" w:firstColumn="1" w:lastColumn="0" w:noHBand="0" w:noVBand="1"/>
      </w:tblPr>
      <w:tblGrid>
        <w:gridCol w:w="568"/>
        <w:gridCol w:w="1843"/>
        <w:gridCol w:w="1134"/>
        <w:gridCol w:w="1276"/>
        <w:gridCol w:w="1275"/>
        <w:gridCol w:w="1134"/>
        <w:gridCol w:w="1134"/>
        <w:gridCol w:w="1276"/>
        <w:gridCol w:w="1276"/>
        <w:gridCol w:w="1984"/>
      </w:tblGrid>
      <w:tr w:rsidR="00435CF2" w:rsidRPr="004F328B" w14:paraId="697DBDEA" w14:textId="77777777" w:rsidTr="00825395">
        <w:trPr>
          <w:trHeight w:val="526"/>
        </w:trPr>
        <w:tc>
          <w:tcPr>
            <w:tcW w:w="568" w:type="dxa"/>
            <w:vMerge w:val="restart"/>
          </w:tcPr>
          <w:p w14:paraId="5027BE5D" w14:textId="77777777" w:rsidR="00435CF2" w:rsidRPr="00DB04A3" w:rsidRDefault="00435CF2" w:rsidP="00825395">
            <w:pPr>
              <w:jc w:val="center"/>
              <w:rPr>
                <w:sz w:val="18"/>
                <w:szCs w:val="18"/>
                <w:lang w:val="en-GB"/>
              </w:rPr>
            </w:pPr>
            <w:r w:rsidRPr="00DB04A3">
              <w:rPr>
                <w:sz w:val="18"/>
                <w:szCs w:val="18"/>
                <w:lang w:val="en-GB"/>
              </w:rPr>
              <w:t>No.</w:t>
            </w:r>
          </w:p>
        </w:tc>
        <w:tc>
          <w:tcPr>
            <w:tcW w:w="1843" w:type="dxa"/>
            <w:vMerge w:val="restart"/>
          </w:tcPr>
          <w:p w14:paraId="1FBEC390" w14:textId="77777777" w:rsidR="00435CF2" w:rsidRPr="004F328B" w:rsidRDefault="00435CF2" w:rsidP="00825395">
            <w:pPr>
              <w:jc w:val="center"/>
              <w:rPr>
                <w:sz w:val="18"/>
                <w:szCs w:val="18"/>
                <w:lang w:val="en-GB"/>
              </w:rPr>
            </w:pPr>
            <w:r w:rsidRPr="004F328B">
              <w:rPr>
                <w:sz w:val="18"/>
                <w:szCs w:val="18"/>
                <w:lang w:val="en-GB"/>
              </w:rPr>
              <w:t>Authors and year of publication</w:t>
            </w:r>
          </w:p>
        </w:tc>
        <w:tc>
          <w:tcPr>
            <w:tcW w:w="4819" w:type="dxa"/>
            <w:gridSpan w:val="4"/>
          </w:tcPr>
          <w:p w14:paraId="7461339E" w14:textId="77777777" w:rsidR="00435CF2" w:rsidRPr="004F328B" w:rsidRDefault="00435CF2" w:rsidP="00825395">
            <w:pPr>
              <w:jc w:val="center"/>
              <w:rPr>
                <w:sz w:val="18"/>
                <w:szCs w:val="18"/>
                <w:lang w:val="en-GB"/>
              </w:rPr>
            </w:pPr>
            <w:r>
              <w:rPr>
                <w:sz w:val="18"/>
                <w:szCs w:val="18"/>
                <w:lang w:val="en-GB"/>
              </w:rPr>
              <w:t>Risk of bias</w:t>
            </w:r>
          </w:p>
        </w:tc>
        <w:tc>
          <w:tcPr>
            <w:tcW w:w="3686" w:type="dxa"/>
            <w:gridSpan w:val="3"/>
          </w:tcPr>
          <w:p w14:paraId="5006191A" w14:textId="77777777" w:rsidR="00435CF2" w:rsidRPr="004F328B" w:rsidRDefault="00435CF2" w:rsidP="00825395">
            <w:pPr>
              <w:jc w:val="center"/>
              <w:rPr>
                <w:sz w:val="18"/>
                <w:szCs w:val="18"/>
                <w:lang w:val="en-GB"/>
              </w:rPr>
            </w:pPr>
            <w:r>
              <w:rPr>
                <w:sz w:val="18"/>
                <w:szCs w:val="18"/>
                <w:lang w:val="en-GB"/>
              </w:rPr>
              <w:t>Applicability concerns</w:t>
            </w:r>
          </w:p>
        </w:tc>
        <w:tc>
          <w:tcPr>
            <w:tcW w:w="1984" w:type="dxa"/>
            <w:vMerge w:val="restart"/>
          </w:tcPr>
          <w:p w14:paraId="14FDD915" w14:textId="77777777" w:rsidR="00435CF2" w:rsidRPr="004F328B" w:rsidRDefault="00435CF2" w:rsidP="00825395">
            <w:pPr>
              <w:jc w:val="center"/>
              <w:rPr>
                <w:sz w:val="18"/>
                <w:szCs w:val="18"/>
                <w:lang w:val="en-GB"/>
              </w:rPr>
            </w:pPr>
            <w:r>
              <w:rPr>
                <w:sz w:val="18"/>
                <w:szCs w:val="18"/>
                <w:lang w:val="en-GB"/>
              </w:rPr>
              <w:t>Cumulative risk of bias</w:t>
            </w:r>
          </w:p>
        </w:tc>
      </w:tr>
      <w:tr w:rsidR="00435CF2" w:rsidRPr="004F328B" w14:paraId="324C9274" w14:textId="77777777" w:rsidTr="00825395">
        <w:trPr>
          <w:trHeight w:val="525"/>
        </w:trPr>
        <w:tc>
          <w:tcPr>
            <w:tcW w:w="568" w:type="dxa"/>
            <w:vMerge/>
          </w:tcPr>
          <w:p w14:paraId="17EB9832" w14:textId="77777777" w:rsidR="00435CF2" w:rsidRPr="00DB04A3" w:rsidRDefault="00435CF2" w:rsidP="00825395">
            <w:pPr>
              <w:jc w:val="center"/>
              <w:rPr>
                <w:sz w:val="18"/>
                <w:szCs w:val="18"/>
                <w:lang w:val="en-GB"/>
              </w:rPr>
            </w:pPr>
          </w:p>
        </w:tc>
        <w:tc>
          <w:tcPr>
            <w:tcW w:w="1843" w:type="dxa"/>
            <w:vMerge/>
          </w:tcPr>
          <w:p w14:paraId="443A7601" w14:textId="77777777" w:rsidR="00435CF2" w:rsidRPr="004F328B" w:rsidRDefault="00435CF2" w:rsidP="00825395">
            <w:pPr>
              <w:jc w:val="center"/>
              <w:rPr>
                <w:sz w:val="18"/>
                <w:szCs w:val="18"/>
                <w:lang w:val="en-GB"/>
              </w:rPr>
            </w:pPr>
          </w:p>
        </w:tc>
        <w:tc>
          <w:tcPr>
            <w:tcW w:w="1134" w:type="dxa"/>
          </w:tcPr>
          <w:p w14:paraId="11CDD4EA" w14:textId="77777777" w:rsidR="00435CF2" w:rsidRDefault="00435CF2" w:rsidP="00825395">
            <w:pPr>
              <w:jc w:val="center"/>
              <w:rPr>
                <w:sz w:val="18"/>
                <w:szCs w:val="18"/>
                <w:lang w:val="en-GB"/>
              </w:rPr>
            </w:pPr>
            <w:r>
              <w:rPr>
                <w:sz w:val="18"/>
                <w:szCs w:val="18"/>
                <w:lang w:val="en-GB"/>
              </w:rPr>
              <w:t>Patient selection</w:t>
            </w:r>
          </w:p>
        </w:tc>
        <w:tc>
          <w:tcPr>
            <w:tcW w:w="1276" w:type="dxa"/>
          </w:tcPr>
          <w:p w14:paraId="206DD29A" w14:textId="77777777" w:rsidR="00435CF2" w:rsidRDefault="00435CF2" w:rsidP="00825395">
            <w:pPr>
              <w:jc w:val="center"/>
              <w:rPr>
                <w:sz w:val="18"/>
                <w:szCs w:val="18"/>
                <w:lang w:val="en-GB"/>
              </w:rPr>
            </w:pPr>
            <w:r>
              <w:rPr>
                <w:sz w:val="18"/>
                <w:szCs w:val="18"/>
                <w:lang w:val="en-GB"/>
              </w:rPr>
              <w:t>Index Test</w:t>
            </w:r>
          </w:p>
        </w:tc>
        <w:tc>
          <w:tcPr>
            <w:tcW w:w="1275" w:type="dxa"/>
          </w:tcPr>
          <w:p w14:paraId="30351D43" w14:textId="77777777" w:rsidR="00435CF2" w:rsidRDefault="00435CF2" w:rsidP="00825395">
            <w:pPr>
              <w:jc w:val="center"/>
              <w:rPr>
                <w:sz w:val="18"/>
                <w:szCs w:val="18"/>
                <w:lang w:val="en-GB"/>
              </w:rPr>
            </w:pPr>
            <w:r>
              <w:rPr>
                <w:sz w:val="18"/>
                <w:szCs w:val="18"/>
                <w:lang w:val="en-GB"/>
              </w:rPr>
              <w:t>Reference standard</w:t>
            </w:r>
          </w:p>
        </w:tc>
        <w:tc>
          <w:tcPr>
            <w:tcW w:w="1134" w:type="dxa"/>
          </w:tcPr>
          <w:p w14:paraId="00B0597A" w14:textId="77777777" w:rsidR="00435CF2" w:rsidRDefault="00435CF2" w:rsidP="00825395">
            <w:pPr>
              <w:jc w:val="center"/>
              <w:rPr>
                <w:sz w:val="18"/>
                <w:szCs w:val="18"/>
                <w:lang w:val="en-GB"/>
              </w:rPr>
            </w:pPr>
            <w:r>
              <w:rPr>
                <w:sz w:val="18"/>
                <w:szCs w:val="18"/>
                <w:lang w:val="en-GB"/>
              </w:rPr>
              <w:t>Flow and Timing</w:t>
            </w:r>
          </w:p>
        </w:tc>
        <w:tc>
          <w:tcPr>
            <w:tcW w:w="1134" w:type="dxa"/>
          </w:tcPr>
          <w:p w14:paraId="08655166" w14:textId="77777777" w:rsidR="00435CF2" w:rsidRPr="004F328B" w:rsidRDefault="00435CF2" w:rsidP="00825395">
            <w:pPr>
              <w:jc w:val="center"/>
              <w:rPr>
                <w:sz w:val="18"/>
                <w:szCs w:val="18"/>
                <w:lang w:val="en-GB"/>
              </w:rPr>
            </w:pPr>
            <w:r>
              <w:rPr>
                <w:sz w:val="18"/>
                <w:szCs w:val="18"/>
                <w:lang w:val="en-GB"/>
              </w:rPr>
              <w:t>Patient selection</w:t>
            </w:r>
          </w:p>
        </w:tc>
        <w:tc>
          <w:tcPr>
            <w:tcW w:w="1276" w:type="dxa"/>
          </w:tcPr>
          <w:p w14:paraId="31F072C0" w14:textId="77777777" w:rsidR="00435CF2" w:rsidRPr="004F328B" w:rsidRDefault="00435CF2" w:rsidP="00825395">
            <w:pPr>
              <w:jc w:val="center"/>
              <w:rPr>
                <w:sz w:val="18"/>
                <w:szCs w:val="18"/>
                <w:lang w:val="en-GB"/>
              </w:rPr>
            </w:pPr>
            <w:r>
              <w:rPr>
                <w:sz w:val="18"/>
                <w:szCs w:val="18"/>
                <w:lang w:val="en-GB"/>
              </w:rPr>
              <w:t>Index Test</w:t>
            </w:r>
          </w:p>
        </w:tc>
        <w:tc>
          <w:tcPr>
            <w:tcW w:w="1276" w:type="dxa"/>
          </w:tcPr>
          <w:p w14:paraId="706EF3AB" w14:textId="77777777" w:rsidR="00435CF2" w:rsidRPr="004F328B" w:rsidRDefault="00435CF2" w:rsidP="00825395">
            <w:pPr>
              <w:jc w:val="center"/>
              <w:rPr>
                <w:sz w:val="18"/>
                <w:szCs w:val="18"/>
                <w:lang w:val="en-GB"/>
              </w:rPr>
            </w:pPr>
            <w:r>
              <w:rPr>
                <w:sz w:val="18"/>
                <w:szCs w:val="18"/>
                <w:lang w:val="en-GB"/>
              </w:rPr>
              <w:t>Reference standard</w:t>
            </w:r>
          </w:p>
        </w:tc>
        <w:tc>
          <w:tcPr>
            <w:tcW w:w="1984" w:type="dxa"/>
            <w:vMerge/>
          </w:tcPr>
          <w:p w14:paraId="6B86ED5A" w14:textId="77777777" w:rsidR="00435CF2" w:rsidRPr="004F328B" w:rsidRDefault="00435CF2" w:rsidP="00825395">
            <w:pPr>
              <w:jc w:val="center"/>
              <w:rPr>
                <w:sz w:val="18"/>
                <w:szCs w:val="18"/>
                <w:lang w:val="en-GB"/>
              </w:rPr>
            </w:pPr>
          </w:p>
        </w:tc>
      </w:tr>
      <w:tr w:rsidR="00435CF2" w:rsidRPr="004F328B" w14:paraId="7F9D6C00" w14:textId="77777777" w:rsidTr="00625662">
        <w:trPr>
          <w:trHeight w:val="354"/>
        </w:trPr>
        <w:tc>
          <w:tcPr>
            <w:tcW w:w="568" w:type="dxa"/>
          </w:tcPr>
          <w:p w14:paraId="3E9B3040" w14:textId="77777777" w:rsidR="00435CF2" w:rsidRPr="00DB04A3" w:rsidRDefault="00435CF2" w:rsidP="00825395">
            <w:pPr>
              <w:rPr>
                <w:sz w:val="18"/>
                <w:szCs w:val="18"/>
                <w:lang w:val="en-GB"/>
              </w:rPr>
            </w:pPr>
            <w:r w:rsidRPr="00DB04A3">
              <w:rPr>
                <w:sz w:val="18"/>
                <w:szCs w:val="18"/>
                <w:lang w:val="en-GB"/>
              </w:rPr>
              <w:t>1.</w:t>
            </w:r>
          </w:p>
        </w:tc>
        <w:tc>
          <w:tcPr>
            <w:tcW w:w="1843" w:type="dxa"/>
          </w:tcPr>
          <w:p w14:paraId="6296E55C" w14:textId="4DA83B54" w:rsidR="00435CF2" w:rsidRPr="004F328B" w:rsidRDefault="00435CF2" w:rsidP="00825395">
            <w:pPr>
              <w:rPr>
                <w:sz w:val="18"/>
                <w:szCs w:val="18"/>
                <w:lang w:val="en-GB"/>
              </w:rPr>
            </w:pPr>
            <w:r w:rsidRPr="004F328B">
              <w:rPr>
                <w:sz w:val="18"/>
                <w:szCs w:val="18"/>
                <w:lang w:val="en-GB"/>
              </w:rPr>
              <w:t>Acevedo-</w:t>
            </w:r>
            <w:proofErr w:type="spellStart"/>
            <w:r w:rsidRPr="004F328B">
              <w:rPr>
                <w:sz w:val="18"/>
                <w:szCs w:val="18"/>
                <w:lang w:val="en-GB"/>
              </w:rPr>
              <w:t>Fontánez</w:t>
            </w:r>
            <w:proofErr w:type="spellEnd"/>
            <w:r w:rsidRPr="004F328B">
              <w:rPr>
                <w:sz w:val="18"/>
                <w:szCs w:val="18"/>
                <w:lang w:val="en-GB"/>
              </w:rPr>
              <w:t xml:space="preserve"> et al. (2018)</w:t>
            </w:r>
            <w:r w:rsidR="00B346A8">
              <w:rPr>
                <w:sz w:val="18"/>
                <w:szCs w:val="18"/>
                <w:lang w:val="en-GB"/>
              </w:rPr>
              <w:t xml:space="preserve">  </w:t>
            </w:r>
            <w:r w:rsidR="0055575A">
              <w:rPr>
                <w:sz w:val="18"/>
                <w:szCs w:val="18"/>
                <w:lang w:val="en-GB"/>
              </w:rPr>
              <w:fldChar w:fldCharType="begin"/>
            </w:r>
            <w:r w:rsidR="0055575A">
              <w:rPr>
                <w:sz w:val="18"/>
                <w:szCs w:val="18"/>
                <w:lang w:val="en-GB"/>
              </w:rPr>
              <w:instrText xml:space="preserve"> ADDIN ZOTERO_ITEM CSL_CITATION {"citationID":"Fuk5tCcz","properties":{"formattedCitation":"[1]","plainCitation":"[1]","noteIndex":0},"citationItems":[{"id":48,"uris":["http://zotero.org/users/local/CblV8433/items/5LK9J2UR"],"itemData":{"id":48,"type":"article-journal","abstract":"Objective: The aim of the study was to estimate the magnitude of the association between HPV-related gynecological neoplasms and secondary anal cancer among women in Puerto Rico (PR). Materials and Methods: We identified 9,489 women who had been diagnosed with a primary cervical, vaginal, or vulvar tumor during 1987–2013. To describe the trends of invasive cervical, vulvar, vaginal, and anal cancer, the age-adjusted incidence rates were estimated using the direct method (2000 US as Standard Population). Standardized incidence ratios (observed/ expected) were computed using the indirect method; expected cases were calculated using 2 methods based on age-specific rates of anal cancer in PR. The ratio of standardized incidence ratios of anal cancer was estimated using the Poisson regression model to estimate the magnitude of the association between HPV-gynecologic neoplasms and secondary anal cancer.\nResults: A significant increase in the incidence trend for anal cancer was observed from 1987 to 2013 (annual percent change = 1.1, p &lt; .05), whereas from 2004 to 2013, an increase was observed for cervical cancer incidence (annual percent change = 3.3, p &lt; .05). The risk of secondary anal cancer among women with HPV-related gynecological cancers was approximately 3 times this risk among women with non–HPV-related gynecological cancers (relative risk = 3.27, 95% CI = 1.37 to 7.79).\nConclusions: Anal cancer is increasing among women in PR. Women with gynecological HPV-related tumors are at higher risk of secondary anal cancer as compared with women from the general population and with those with non–HPV-related gynecological cancers. Appropriate anal cancer screening guidelines for high-risk populations are needed, including women with HPV-related gynecological malignancies and potentially other cancer survivors.","container-title":"Journal of Lower Genital Tract Disease","DOI":"10.1097/LGT.0000000000000395","ISSN":"1526-0976","issue":"3","journalAbbreviation":"J Low Genit Tract Dis","language":"en","page":"225-230","source":"DOI.org (Crossref)","title":"Risk of Anal Cancer in Women With a Human Papillomavirus–Related Gynecological Neoplasm: Puerto Rico 1987–2013","title-short":"Risk of Anal Cancer in Women With a Human Papillomavirus–Related Gynecological Neoplasm","volume":"22","author":[{"family":"Acevedo-Fontánez","given":"Adrianna I."},{"family":"Suárez","given":"Erick"},{"family":"Torres Cintrón","given":"Carlos R."},{"family":"Ortiz","given":"Ana P."}],"issued":{"date-parts":[["2018",7]]}}}],"schema":"https://github.com/citation-style-language/schema/raw/master/csl-citation.json"} </w:instrText>
            </w:r>
            <w:r w:rsidR="0055575A">
              <w:rPr>
                <w:sz w:val="18"/>
                <w:szCs w:val="18"/>
                <w:lang w:val="en-GB"/>
              </w:rPr>
              <w:fldChar w:fldCharType="separate"/>
            </w:r>
            <w:r w:rsidR="0055575A">
              <w:rPr>
                <w:noProof/>
                <w:sz w:val="18"/>
                <w:szCs w:val="18"/>
                <w:lang w:val="en-GB"/>
              </w:rPr>
              <w:t>[1]</w:t>
            </w:r>
            <w:r w:rsidR="0055575A">
              <w:rPr>
                <w:sz w:val="18"/>
                <w:szCs w:val="18"/>
                <w:lang w:val="en-GB"/>
              </w:rPr>
              <w:fldChar w:fldCharType="end"/>
            </w:r>
          </w:p>
        </w:tc>
        <w:tc>
          <w:tcPr>
            <w:tcW w:w="1134" w:type="dxa"/>
            <w:shd w:val="clear" w:color="auto" w:fill="auto"/>
          </w:tcPr>
          <w:p w14:paraId="51E9D9A8" w14:textId="5C24CAE6" w:rsidR="00435CF2" w:rsidRPr="00D818CC" w:rsidRDefault="00D818CC" w:rsidP="00825395">
            <w:pPr>
              <w:rPr>
                <w:color w:val="000000" w:themeColor="text1"/>
                <w:sz w:val="18"/>
                <w:szCs w:val="18"/>
                <w:lang w:val="en-GB"/>
              </w:rPr>
            </w:pPr>
            <w:r w:rsidRPr="00D818CC">
              <w:rPr>
                <w:color w:val="000000" w:themeColor="text1"/>
                <w:sz w:val="18"/>
                <w:szCs w:val="18"/>
                <w:lang w:val="en-GB"/>
              </w:rPr>
              <w:t>L</w:t>
            </w:r>
          </w:p>
        </w:tc>
        <w:tc>
          <w:tcPr>
            <w:tcW w:w="1276" w:type="dxa"/>
          </w:tcPr>
          <w:p w14:paraId="134FD6B4" w14:textId="77777777" w:rsidR="00435CF2" w:rsidRPr="004F328B" w:rsidRDefault="00435CF2" w:rsidP="00825395">
            <w:pPr>
              <w:rPr>
                <w:sz w:val="18"/>
                <w:szCs w:val="18"/>
                <w:lang w:val="en-GB"/>
              </w:rPr>
            </w:pPr>
            <w:r>
              <w:rPr>
                <w:sz w:val="18"/>
                <w:szCs w:val="18"/>
                <w:lang w:val="en-GB"/>
              </w:rPr>
              <w:t>L</w:t>
            </w:r>
          </w:p>
        </w:tc>
        <w:tc>
          <w:tcPr>
            <w:tcW w:w="1275" w:type="dxa"/>
            <w:shd w:val="clear" w:color="auto" w:fill="auto"/>
          </w:tcPr>
          <w:p w14:paraId="78EC749B" w14:textId="2B70202F" w:rsidR="00435CF2" w:rsidRPr="00625662" w:rsidRDefault="00625662" w:rsidP="00825395">
            <w:pPr>
              <w:rPr>
                <w:sz w:val="18"/>
                <w:szCs w:val="18"/>
                <w:lang w:val="en-GB"/>
              </w:rPr>
            </w:pPr>
            <w:r w:rsidRPr="00625662">
              <w:rPr>
                <w:sz w:val="18"/>
                <w:szCs w:val="18"/>
                <w:lang w:val="en-GB"/>
              </w:rPr>
              <w:t>L</w:t>
            </w:r>
          </w:p>
        </w:tc>
        <w:tc>
          <w:tcPr>
            <w:tcW w:w="1134" w:type="dxa"/>
            <w:shd w:val="clear" w:color="auto" w:fill="auto"/>
          </w:tcPr>
          <w:p w14:paraId="22424783" w14:textId="32BCD471" w:rsidR="00435CF2" w:rsidRPr="00625662" w:rsidRDefault="00D818CC" w:rsidP="00825395">
            <w:pPr>
              <w:rPr>
                <w:sz w:val="18"/>
                <w:szCs w:val="18"/>
                <w:lang w:val="en-GB"/>
              </w:rPr>
            </w:pPr>
            <w:r w:rsidRPr="00625662">
              <w:rPr>
                <w:sz w:val="18"/>
                <w:szCs w:val="18"/>
                <w:lang w:val="en-GB"/>
              </w:rPr>
              <w:t>L</w:t>
            </w:r>
          </w:p>
        </w:tc>
        <w:tc>
          <w:tcPr>
            <w:tcW w:w="1134" w:type="dxa"/>
            <w:shd w:val="clear" w:color="auto" w:fill="auto"/>
          </w:tcPr>
          <w:p w14:paraId="63BE20F6" w14:textId="69954215" w:rsidR="00435CF2" w:rsidRPr="00625662" w:rsidRDefault="00625662" w:rsidP="00825395">
            <w:pPr>
              <w:rPr>
                <w:sz w:val="18"/>
                <w:szCs w:val="18"/>
                <w:lang w:val="en-GB"/>
              </w:rPr>
            </w:pPr>
            <w:r w:rsidRPr="00625662">
              <w:rPr>
                <w:sz w:val="18"/>
                <w:szCs w:val="18"/>
                <w:lang w:val="en-GB"/>
              </w:rPr>
              <w:t>L</w:t>
            </w:r>
          </w:p>
        </w:tc>
        <w:tc>
          <w:tcPr>
            <w:tcW w:w="1276" w:type="dxa"/>
          </w:tcPr>
          <w:p w14:paraId="10037C4D" w14:textId="77777777" w:rsidR="00435CF2" w:rsidRPr="004F328B" w:rsidRDefault="00435CF2" w:rsidP="00825395">
            <w:pPr>
              <w:rPr>
                <w:sz w:val="18"/>
                <w:szCs w:val="18"/>
                <w:lang w:val="en-GB"/>
              </w:rPr>
            </w:pPr>
            <w:r>
              <w:rPr>
                <w:sz w:val="18"/>
                <w:szCs w:val="18"/>
                <w:lang w:val="en-GB"/>
              </w:rPr>
              <w:t>L</w:t>
            </w:r>
          </w:p>
        </w:tc>
        <w:tc>
          <w:tcPr>
            <w:tcW w:w="1276" w:type="dxa"/>
          </w:tcPr>
          <w:p w14:paraId="70C43DE8" w14:textId="77777777" w:rsidR="00435CF2" w:rsidRPr="004F328B" w:rsidRDefault="00435CF2" w:rsidP="00825395">
            <w:pPr>
              <w:rPr>
                <w:sz w:val="18"/>
                <w:szCs w:val="18"/>
                <w:lang w:val="en-GB"/>
              </w:rPr>
            </w:pPr>
            <w:r>
              <w:rPr>
                <w:sz w:val="18"/>
                <w:szCs w:val="18"/>
                <w:lang w:val="en-GB"/>
              </w:rPr>
              <w:t>L</w:t>
            </w:r>
          </w:p>
        </w:tc>
        <w:tc>
          <w:tcPr>
            <w:tcW w:w="1984" w:type="dxa"/>
            <w:shd w:val="clear" w:color="auto" w:fill="auto"/>
          </w:tcPr>
          <w:p w14:paraId="3387E65E" w14:textId="22B7F28F" w:rsidR="00435CF2" w:rsidRPr="004F328B" w:rsidRDefault="00625662" w:rsidP="00825395">
            <w:pPr>
              <w:rPr>
                <w:sz w:val="18"/>
                <w:szCs w:val="18"/>
                <w:lang w:val="en-GB"/>
              </w:rPr>
            </w:pPr>
            <w:r>
              <w:rPr>
                <w:sz w:val="18"/>
                <w:szCs w:val="18"/>
                <w:lang w:val="en-GB"/>
              </w:rPr>
              <w:t>L</w:t>
            </w:r>
          </w:p>
        </w:tc>
      </w:tr>
      <w:tr w:rsidR="00435CF2" w:rsidRPr="004F328B" w14:paraId="64B61CE0" w14:textId="77777777" w:rsidTr="007A4688">
        <w:trPr>
          <w:trHeight w:val="354"/>
        </w:trPr>
        <w:tc>
          <w:tcPr>
            <w:tcW w:w="568" w:type="dxa"/>
          </w:tcPr>
          <w:p w14:paraId="5545439F" w14:textId="77777777" w:rsidR="00435CF2" w:rsidRPr="00DB04A3" w:rsidRDefault="00435CF2" w:rsidP="00825395">
            <w:pPr>
              <w:rPr>
                <w:sz w:val="18"/>
                <w:szCs w:val="18"/>
                <w:lang w:val="en-GB"/>
              </w:rPr>
            </w:pPr>
            <w:r>
              <w:rPr>
                <w:sz w:val="18"/>
                <w:szCs w:val="18"/>
                <w:lang w:val="en-GB"/>
              </w:rPr>
              <w:t>2</w:t>
            </w:r>
            <w:r w:rsidRPr="00DB04A3">
              <w:rPr>
                <w:sz w:val="18"/>
                <w:szCs w:val="18"/>
                <w:lang w:val="en-GB"/>
              </w:rPr>
              <w:t>.</w:t>
            </w:r>
          </w:p>
        </w:tc>
        <w:tc>
          <w:tcPr>
            <w:tcW w:w="1843" w:type="dxa"/>
          </w:tcPr>
          <w:p w14:paraId="5D3FFBE8" w14:textId="5F3C64BB" w:rsidR="00435CF2" w:rsidRPr="004F328B" w:rsidRDefault="00435CF2" w:rsidP="00825395">
            <w:pPr>
              <w:rPr>
                <w:sz w:val="18"/>
                <w:szCs w:val="18"/>
                <w:lang w:val="en-GB"/>
              </w:rPr>
            </w:pPr>
            <w:r w:rsidRPr="004F328B">
              <w:rPr>
                <w:sz w:val="18"/>
                <w:szCs w:val="18"/>
                <w:lang w:val="en-GB"/>
              </w:rPr>
              <w:t>Chaturvedi et al. (2007)</w:t>
            </w:r>
            <w:r w:rsidR="008562B2">
              <w:rPr>
                <w:sz w:val="18"/>
                <w:szCs w:val="18"/>
                <w:lang w:val="en-GB"/>
              </w:rPr>
              <w:t xml:space="preserve"> </w:t>
            </w:r>
            <w:r w:rsidR="0055575A">
              <w:rPr>
                <w:sz w:val="18"/>
                <w:szCs w:val="18"/>
                <w:lang w:val="en-GB"/>
              </w:rPr>
              <w:fldChar w:fldCharType="begin"/>
            </w:r>
            <w:r w:rsidR="0055575A">
              <w:rPr>
                <w:sz w:val="18"/>
                <w:szCs w:val="18"/>
                <w:lang w:val="en-GB"/>
              </w:rPr>
              <w:instrText xml:space="preserve"> ADDIN ZOTERO_ITEM CSL_CITATION {"citationID":"JSU7RNsx","properties":{"formattedCitation":"[2]","plainCitation":"[2]","noteIndex":0},"citationItems":[{"id":52,"uris":["http://zotero.org/users/local/CblV8433/items/MUUPKFSX"],"itemData":{"id":52,"type":"article-journal","container-title":"JNCI Journal of the National Cancer Institute","DOI":"10.1093/jnci/djm201","ISSN":"0027-8874, 1460-2105","issue":"21","journalAbbreviation":"JNCI Journal of the National Cancer Institute","language":"en","page":"1634-1643","source":"DOI.org (Crossref)","title":"Second Cancers Among 104760 Survivors of Cervical Cancer: Evaluation of Long-Term Risk","title-short":"Second Cancers Among 104760 Survivors of Cervical Cancer","volume":"99","author":[{"family":"Chaturvedi","given":"A. K."},{"family":"Engels","given":"E. A."},{"family":"Gilbert","given":"E. S."},{"family":"Chen","given":"B. E."},{"family":"Storm","given":"H."},{"family":"Lynch","given":"C. F."},{"family":"Hall","given":"P."},{"family":"Langmark","given":"F."},{"family":"Pukkala","given":"E."},{"family":"Kaijser","given":"M."},{"family":"Andersson","given":"M."},{"family":"Fossa","given":"S. D."},{"family":"Joensuu","given":"H."},{"family":"Boice","given":"J. D."},{"family":"Kleinerman","given":"R. A."},{"family":"Travis","given":"L. B."}],"issued":{"date-parts":[["2007",11,7]]}}}],"schema":"https://github.com/citation-style-language/schema/raw/master/csl-citation.json"} </w:instrText>
            </w:r>
            <w:r w:rsidR="0055575A">
              <w:rPr>
                <w:sz w:val="18"/>
                <w:szCs w:val="18"/>
                <w:lang w:val="en-GB"/>
              </w:rPr>
              <w:fldChar w:fldCharType="separate"/>
            </w:r>
            <w:r w:rsidR="0055575A">
              <w:rPr>
                <w:noProof/>
                <w:sz w:val="18"/>
                <w:szCs w:val="18"/>
                <w:lang w:val="en-GB"/>
              </w:rPr>
              <w:t>[2]</w:t>
            </w:r>
            <w:r w:rsidR="0055575A">
              <w:rPr>
                <w:sz w:val="18"/>
                <w:szCs w:val="18"/>
                <w:lang w:val="en-GB"/>
              </w:rPr>
              <w:fldChar w:fldCharType="end"/>
            </w:r>
          </w:p>
        </w:tc>
        <w:tc>
          <w:tcPr>
            <w:tcW w:w="1134" w:type="dxa"/>
          </w:tcPr>
          <w:p w14:paraId="7AAFE89E" w14:textId="77777777" w:rsidR="00435CF2" w:rsidRPr="004F328B" w:rsidRDefault="00435CF2" w:rsidP="00825395">
            <w:pPr>
              <w:rPr>
                <w:sz w:val="18"/>
                <w:szCs w:val="18"/>
                <w:lang w:val="en-GB"/>
              </w:rPr>
            </w:pPr>
            <w:r>
              <w:rPr>
                <w:sz w:val="18"/>
                <w:szCs w:val="18"/>
                <w:lang w:val="en-GB"/>
              </w:rPr>
              <w:t>L</w:t>
            </w:r>
          </w:p>
        </w:tc>
        <w:tc>
          <w:tcPr>
            <w:tcW w:w="1276" w:type="dxa"/>
          </w:tcPr>
          <w:p w14:paraId="497BE079" w14:textId="77777777" w:rsidR="00435CF2" w:rsidRPr="004F328B" w:rsidRDefault="00435CF2" w:rsidP="00825395">
            <w:pPr>
              <w:rPr>
                <w:sz w:val="18"/>
                <w:szCs w:val="18"/>
                <w:lang w:val="en-GB"/>
              </w:rPr>
            </w:pPr>
            <w:r>
              <w:rPr>
                <w:sz w:val="18"/>
                <w:szCs w:val="18"/>
                <w:lang w:val="en-GB"/>
              </w:rPr>
              <w:t>L</w:t>
            </w:r>
          </w:p>
        </w:tc>
        <w:tc>
          <w:tcPr>
            <w:tcW w:w="1275" w:type="dxa"/>
          </w:tcPr>
          <w:p w14:paraId="305F4B2A" w14:textId="77777777" w:rsidR="00435CF2" w:rsidRPr="004F328B" w:rsidRDefault="00435CF2" w:rsidP="00825395">
            <w:pPr>
              <w:rPr>
                <w:sz w:val="18"/>
                <w:szCs w:val="18"/>
                <w:lang w:val="en-GB"/>
              </w:rPr>
            </w:pPr>
            <w:r>
              <w:rPr>
                <w:sz w:val="18"/>
                <w:szCs w:val="18"/>
                <w:lang w:val="en-GB"/>
              </w:rPr>
              <w:t>L</w:t>
            </w:r>
          </w:p>
        </w:tc>
        <w:tc>
          <w:tcPr>
            <w:tcW w:w="1134" w:type="dxa"/>
            <w:shd w:val="clear" w:color="auto" w:fill="auto"/>
          </w:tcPr>
          <w:p w14:paraId="52D34F7E" w14:textId="7B4DDB20" w:rsidR="00435CF2" w:rsidRPr="004F328B" w:rsidRDefault="007A4688" w:rsidP="00825395">
            <w:pPr>
              <w:rPr>
                <w:sz w:val="18"/>
                <w:szCs w:val="18"/>
                <w:lang w:val="en-GB"/>
              </w:rPr>
            </w:pPr>
            <w:r>
              <w:rPr>
                <w:sz w:val="18"/>
                <w:szCs w:val="18"/>
                <w:lang w:val="en-GB"/>
              </w:rPr>
              <w:t>L</w:t>
            </w:r>
          </w:p>
        </w:tc>
        <w:tc>
          <w:tcPr>
            <w:tcW w:w="1134" w:type="dxa"/>
          </w:tcPr>
          <w:p w14:paraId="0F9D6852" w14:textId="77777777" w:rsidR="00435CF2" w:rsidRPr="004F328B" w:rsidRDefault="00435CF2" w:rsidP="00825395">
            <w:pPr>
              <w:rPr>
                <w:sz w:val="18"/>
                <w:szCs w:val="18"/>
                <w:lang w:val="en-GB"/>
              </w:rPr>
            </w:pPr>
            <w:r>
              <w:rPr>
                <w:sz w:val="18"/>
                <w:szCs w:val="18"/>
                <w:lang w:val="en-GB"/>
              </w:rPr>
              <w:t>L</w:t>
            </w:r>
          </w:p>
        </w:tc>
        <w:tc>
          <w:tcPr>
            <w:tcW w:w="1276" w:type="dxa"/>
          </w:tcPr>
          <w:p w14:paraId="24B7D993" w14:textId="77777777" w:rsidR="00435CF2" w:rsidRPr="004F328B" w:rsidRDefault="00435CF2" w:rsidP="00825395">
            <w:pPr>
              <w:rPr>
                <w:sz w:val="18"/>
                <w:szCs w:val="18"/>
                <w:lang w:val="en-GB"/>
              </w:rPr>
            </w:pPr>
            <w:r>
              <w:rPr>
                <w:sz w:val="18"/>
                <w:szCs w:val="18"/>
                <w:lang w:val="en-GB"/>
              </w:rPr>
              <w:t>L</w:t>
            </w:r>
          </w:p>
        </w:tc>
        <w:tc>
          <w:tcPr>
            <w:tcW w:w="1276" w:type="dxa"/>
          </w:tcPr>
          <w:p w14:paraId="3C229054" w14:textId="77777777" w:rsidR="00435CF2" w:rsidRPr="004F328B" w:rsidRDefault="00435CF2" w:rsidP="00825395">
            <w:pPr>
              <w:rPr>
                <w:sz w:val="18"/>
                <w:szCs w:val="18"/>
                <w:lang w:val="en-GB"/>
              </w:rPr>
            </w:pPr>
            <w:r>
              <w:rPr>
                <w:sz w:val="18"/>
                <w:szCs w:val="18"/>
                <w:lang w:val="en-GB"/>
              </w:rPr>
              <w:t>L</w:t>
            </w:r>
          </w:p>
        </w:tc>
        <w:tc>
          <w:tcPr>
            <w:tcW w:w="1984" w:type="dxa"/>
            <w:shd w:val="clear" w:color="auto" w:fill="auto"/>
          </w:tcPr>
          <w:p w14:paraId="1507BBA3" w14:textId="0F56D972" w:rsidR="00435CF2" w:rsidRPr="004F328B" w:rsidRDefault="00625662" w:rsidP="00825395">
            <w:pPr>
              <w:rPr>
                <w:sz w:val="18"/>
                <w:szCs w:val="18"/>
                <w:lang w:val="en-GB"/>
              </w:rPr>
            </w:pPr>
            <w:r>
              <w:rPr>
                <w:sz w:val="18"/>
                <w:szCs w:val="18"/>
                <w:lang w:val="en-GB"/>
              </w:rPr>
              <w:t>L</w:t>
            </w:r>
          </w:p>
        </w:tc>
      </w:tr>
      <w:tr w:rsidR="00435CF2" w:rsidRPr="004F328B" w14:paraId="776012D8" w14:textId="77777777" w:rsidTr="00825395">
        <w:trPr>
          <w:trHeight w:val="354"/>
        </w:trPr>
        <w:tc>
          <w:tcPr>
            <w:tcW w:w="568" w:type="dxa"/>
          </w:tcPr>
          <w:p w14:paraId="397EB436" w14:textId="77777777" w:rsidR="00435CF2" w:rsidRPr="00DB04A3" w:rsidRDefault="00435CF2" w:rsidP="00825395">
            <w:pPr>
              <w:rPr>
                <w:sz w:val="18"/>
                <w:szCs w:val="18"/>
                <w:lang w:val="en-GB"/>
              </w:rPr>
            </w:pPr>
            <w:r>
              <w:rPr>
                <w:sz w:val="18"/>
                <w:szCs w:val="18"/>
                <w:lang w:val="en-GB"/>
              </w:rPr>
              <w:t>3</w:t>
            </w:r>
            <w:r w:rsidRPr="00DB04A3">
              <w:rPr>
                <w:sz w:val="18"/>
                <w:szCs w:val="18"/>
                <w:lang w:val="en-GB"/>
              </w:rPr>
              <w:t>.</w:t>
            </w:r>
          </w:p>
        </w:tc>
        <w:tc>
          <w:tcPr>
            <w:tcW w:w="1843" w:type="dxa"/>
          </w:tcPr>
          <w:p w14:paraId="4CD4589A" w14:textId="27E83265" w:rsidR="00435CF2" w:rsidRPr="004F328B" w:rsidRDefault="00435CF2" w:rsidP="00825395">
            <w:pPr>
              <w:rPr>
                <w:sz w:val="18"/>
                <w:szCs w:val="18"/>
                <w:lang w:val="en-GB"/>
              </w:rPr>
            </w:pPr>
            <w:proofErr w:type="spellStart"/>
            <w:r w:rsidRPr="004F328B">
              <w:rPr>
                <w:sz w:val="18"/>
                <w:szCs w:val="18"/>
                <w:lang w:val="en-GB"/>
              </w:rPr>
              <w:t>Ebisch</w:t>
            </w:r>
            <w:proofErr w:type="spellEnd"/>
            <w:r w:rsidRPr="004F328B">
              <w:rPr>
                <w:sz w:val="18"/>
                <w:szCs w:val="18"/>
                <w:lang w:val="en-GB"/>
              </w:rPr>
              <w:t xml:space="preserve"> et al. (2017)</w:t>
            </w:r>
            <w:r w:rsidR="008562B2">
              <w:rPr>
                <w:sz w:val="18"/>
                <w:szCs w:val="18"/>
                <w:lang w:val="en-GB"/>
              </w:rPr>
              <w:t xml:space="preserve"> </w:t>
            </w:r>
            <w:r w:rsidR="0055575A">
              <w:rPr>
                <w:sz w:val="18"/>
                <w:szCs w:val="18"/>
                <w:lang w:val="en-GB"/>
              </w:rPr>
              <w:fldChar w:fldCharType="begin"/>
            </w:r>
            <w:r w:rsidR="0055575A">
              <w:rPr>
                <w:sz w:val="18"/>
                <w:szCs w:val="18"/>
                <w:lang w:val="en-GB"/>
              </w:rPr>
              <w:instrText xml:space="preserve"> ADDIN ZOTERO_ITEM CSL_CITATION {"citationID":"jZ7Q9Ph5","properties":{"formattedCitation":"[3]","plainCitation":"[3]","noteIndex":0},"citationItems":[{"id":53,"uris":["http://zotero.org/users/local/CblV8433/items/GVYCJ743"],"itemData":{"id":53,"type":"article-journal","abstract":"Purpose The aim of this study was to determine the risk of human papillomavirus (HPV)–related carcinomas and premalignancies in women diagnosed with cervical intraepithelial neoplasia grade 3 (CIN3). Knowledge of this risk is important to preventing the development and progression of other HPVrelated premalignancies and carcinomas, by considering prophylactic HPV vaccination and/or by paying increased attention to other HPV-related carcinomas and premalignancies when CIN3 is identiﬁed.\nMethods Women diagnosed with a CIN3 between 1990 and 2010 were identiﬁed from the Dutch nationwide registry of histopathology and cytopathology (PALGA) and matched with a control group of women without CIN3. Subsequently, all cases of high-risk (hr) HPV–associated high-grade lesions and carcinomas in the anogenital region and oropharynx between 1990 and 2015 were extracted. Incidence rate ratios were estimated for carcinomas and premalignancies of the vulva, vagina, anus, and oropharynx.\nResults A total of 178,036 women were identiﬁed: 89,018 with a previous diagnosis of CIN3 and 89,018 matched control subjects without a history of CIN3. Women with a history of CIN3 showed increased risk of HPV-related carcinomas and premalignancies, with incidence rate ratios of 3.85 (95% CI, 2.32 to 6.37) for anal cancer, 6.68 (95% CI, 3.64 to 12.25) for anal intraepithelial neoplasia grade 3, 4.97 (95% CI, 3.26 to 7.57) for vulvar cancer, 13.66 (93% CI, 9.69 to 19.25) for vulvar intraepithelial neoplasia grade 3, 86.08 (95% CI, 11.98 to 618.08) for vaginal cancer, 25.65 (95% CI, 10.50 to 62.69) for vaginal intraepithelial neoplasia grade 3, and 5.51 (95% CI, 1.22 to 24.84) for oropharyngeal cancer. This risk remained signiﬁcantly increased, even after long-term follow-up of up to 20 years.\nConclusion This population-based study shows a long-lasting increased risk for HPV-related carcinomas and premalignancies of the anogenital and oropharyngeal region after a CIN3 diagnosis. Studies that investigate methods to prevent this increased risk in this group of patients, such as intensiﬁed screening or vaccination, are warranted.","container-title":"Journal of Clinical Oncology","DOI":"10.1200/JCO.2016.71.4543","ISSN":"0732-183X, 1527-7755","issue":"22","journalAbbreviation":"JCO","language":"en","page":"2542-2550","source":"DOI.org (Crossref)","title":"Long-Lasting Increased Risk of Human Papillomavirus–Related Carcinomas and Premalignancies After Cervical Intraepithelial Neoplasia Grade 3: A Population-Based Cohort Study","title-short":"Long-Lasting Increased Risk of Human Papillomavirus–Related Carcinomas and Premalignancies After Cervical Intraepithelial Neoplasia Grade 3","volume":"35","author":[{"family":"Ebisch","given":"Renée M.F."},{"family":"Rutten","given":"Dominiek W.E."},{"family":"IntHout","given":"Joanna"},{"family":"Melchers","given":"Willem J.G."},{"family":"Massuger","given":"Leon F.A.G."},{"family":"Bulten","given":"Johan"},{"family":"Bekkers","given":"Ruud L.M."},{"family":"Siebers","given":"Albert G."}],"issued":{"date-parts":[["2017",8,1]]}}}],"schema":"https://github.com/citation-style-language/schema/raw/master/csl-citation.json"} </w:instrText>
            </w:r>
            <w:r w:rsidR="0055575A">
              <w:rPr>
                <w:sz w:val="18"/>
                <w:szCs w:val="18"/>
                <w:lang w:val="en-GB"/>
              </w:rPr>
              <w:fldChar w:fldCharType="separate"/>
            </w:r>
            <w:r w:rsidR="0055575A">
              <w:rPr>
                <w:noProof/>
                <w:sz w:val="18"/>
                <w:szCs w:val="18"/>
                <w:lang w:val="en-GB"/>
              </w:rPr>
              <w:t>[3]</w:t>
            </w:r>
            <w:r w:rsidR="0055575A">
              <w:rPr>
                <w:sz w:val="18"/>
                <w:szCs w:val="18"/>
                <w:lang w:val="en-GB"/>
              </w:rPr>
              <w:fldChar w:fldCharType="end"/>
            </w:r>
          </w:p>
        </w:tc>
        <w:tc>
          <w:tcPr>
            <w:tcW w:w="1134" w:type="dxa"/>
          </w:tcPr>
          <w:p w14:paraId="0957F5BF" w14:textId="77777777" w:rsidR="00435CF2" w:rsidRPr="004F328B" w:rsidRDefault="00435CF2" w:rsidP="00825395">
            <w:pPr>
              <w:rPr>
                <w:sz w:val="18"/>
                <w:szCs w:val="18"/>
                <w:lang w:val="en-GB"/>
              </w:rPr>
            </w:pPr>
            <w:r>
              <w:rPr>
                <w:sz w:val="18"/>
                <w:szCs w:val="18"/>
                <w:lang w:val="en-GB"/>
              </w:rPr>
              <w:t>L</w:t>
            </w:r>
          </w:p>
        </w:tc>
        <w:tc>
          <w:tcPr>
            <w:tcW w:w="1276" w:type="dxa"/>
          </w:tcPr>
          <w:p w14:paraId="0E7B6626" w14:textId="77777777" w:rsidR="00435CF2" w:rsidRPr="004F328B" w:rsidRDefault="00435CF2" w:rsidP="00825395">
            <w:pPr>
              <w:rPr>
                <w:sz w:val="18"/>
                <w:szCs w:val="18"/>
                <w:lang w:val="en-GB"/>
              </w:rPr>
            </w:pPr>
            <w:r>
              <w:rPr>
                <w:sz w:val="18"/>
                <w:szCs w:val="18"/>
                <w:lang w:val="en-GB"/>
              </w:rPr>
              <w:t>L</w:t>
            </w:r>
          </w:p>
        </w:tc>
        <w:tc>
          <w:tcPr>
            <w:tcW w:w="1275" w:type="dxa"/>
          </w:tcPr>
          <w:p w14:paraId="2F0A7767" w14:textId="77777777" w:rsidR="00435CF2" w:rsidRPr="004F328B" w:rsidRDefault="00435CF2" w:rsidP="00825395">
            <w:pPr>
              <w:rPr>
                <w:sz w:val="18"/>
                <w:szCs w:val="18"/>
                <w:lang w:val="en-GB"/>
              </w:rPr>
            </w:pPr>
            <w:r>
              <w:rPr>
                <w:sz w:val="18"/>
                <w:szCs w:val="18"/>
                <w:lang w:val="en-GB"/>
              </w:rPr>
              <w:t>L</w:t>
            </w:r>
          </w:p>
        </w:tc>
        <w:tc>
          <w:tcPr>
            <w:tcW w:w="1134" w:type="dxa"/>
          </w:tcPr>
          <w:p w14:paraId="3F937BB7" w14:textId="77777777" w:rsidR="00435CF2" w:rsidRPr="004F328B" w:rsidRDefault="00435CF2" w:rsidP="00825395">
            <w:pPr>
              <w:rPr>
                <w:sz w:val="18"/>
                <w:szCs w:val="18"/>
                <w:lang w:val="en-GB"/>
              </w:rPr>
            </w:pPr>
            <w:r>
              <w:rPr>
                <w:sz w:val="18"/>
                <w:szCs w:val="18"/>
                <w:lang w:val="en-GB"/>
              </w:rPr>
              <w:t>L</w:t>
            </w:r>
          </w:p>
        </w:tc>
        <w:tc>
          <w:tcPr>
            <w:tcW w:w="1134" w:type="dxa"/>
          </w:tcPr>
          <w:p w14:paraId="17FDF865" w14:textId="77777777" w:rsidR="00435CF2" w:rsidRPr="004F328B" w:rsidRDefault="00435CF2" w:rsidP="00825395">
            <w:pPr>
              <w:rPr>
                <w:sz w:val="18"/>
                <w:szCs w:val="18"/>
                <w:lang w:val="en-GB"/>
              </w:rPr>
            </w:pPr>
            <w:r>
              <w:rPr>
                <w:sz w:val="18"/>
                <w:szCs w:val="18"/>
                <w:lang w:val="en-GB"/>
              </w:rPr>
              <w:t>L</w:t>
            </w:r>
          </w:p>
        </w:tc>
        <w:tc>
          <w:tcPr>
            <w:tcW w:w="1276" w:type="dxa"/>
          </w:tcPr>
          <w:p w14:paraId="052EF72A" w14:textId="77777777" w:rsidR="00435CF2" w:rsidRPr="004F328B" w:rsidRDefault="00435CF2" w:rsidP="00825395">
            <w:pPr>
              <w:rPr>
                <w:sz w:val="18"/>
                <w:szCs w:val="18"/>
                <w:lang w:val="en-GB"/>
              </w:rPr>
            </w:pPr>
            <w:r>
              <w:rPr>
                <w:sz w:val="18"/>
                <w:szCs w:val="18"/>
                <w:lang w:val="en-GB"/>
              </w:rPr>
              <w:t>L</w:t>
            </w:r>
          </w:p>
        </w:tc>
        <w:tc>
          <w:tcPr>
            <w:tcW w:w="1276" w:type="dxa"/>
          </w:tcPr>
          <w:p w14:paraId="75CCA9C5" w14:textId="77777777" w:rsidR="00435CF2" w:rsidRPr="004F328B" w:rsidRDefault="00435CF2" w:rsidP="00825395">
            <w:pPr>
              <w:rPr>
                <w:sz w:val="18"/>
                <w:szCs w:val="18"/>
                <w:lang w:val="en-GB"/>
              </w:rPr>
            </w:pPr>
            <w:r>
              <w:rPr>
                <w:sz w:val="18"/>
                <w:szCs w:val="18"/>
                <w:lang w:val="en-GB"/>
              </w:rPr>
              <w:t>L</w:t>
            </w:r>
          </w:p>
        </w:tc>
        <w:tc>
          <w:tcPr>
            <w:tcW w:w="1984" w:type="dxa"/>
          </w:tcPr>
          <w:p w14:paraId="4799EE84" w14:textId="77777777" w:rsidR="00435CF2" w:rsidRPr="004F328B" w:rsidRDefault="00435CF2" w:rsidP="00825395">
            <w:pPr>
              <w:rPr>
                <w:sz w:val="18"/>
                <w:szCs w:val="18"/>
                <w:lang w:val="en-GB"/>
              </w:rPr>
            </w:pPr>
            <w:r>
              <w:rPr>
                <w:sz w:val="18"/>
                <w:szCs w:val="18"/>
                <w:lang w:val="en-GB"/>
              </w:rPr>
              <w:t>L</w:t>
            </w:r>
          </w:p>
        </w:tc>
      </w:tr>
      <w:tr w:rsidR="00435CF2" w:rsidRPr="004F328B" w14:paraId="634D051E" w14:textId="77777777" w:rsidTr="00825395">
        <w:trPr>
          <w:trHeight w:val="354"/>
        </w:trPr>
        <w:tc>
          <w:tcPr>
            <w:tcW w:w="568" w:type="dxa"/>
          </w:tcPr>
          <w:p w14:paraId="3BBFE0F4" w14:textId="77777777" w:rsidR="00435CF2" w:rsidRPr="00DB04A3" w:rsidRDefault="00435CF2" w:rsidP="00825395">
            <w:pPr>
              <w:rPr>
                <w:sz w:val="18"/>
                <w:szCs w:val="18"/>
                <w:lang w:val="en-GB"/>
              </w:rPr>
            </w:pPr>
            <w:r>
              <w:rPr>
                <w:sz w:val="18"/>
                <w:szCs w:val="18"/>
                <w:lang w:val="en-GB"/>
              </w:rPr>
              <w:t>4</w:t>
            </w:r>
            <w:r w:rsidRPr="00DB04A3">
              <w:rPr>
                <w:sz w:val="18"/>
                <w:szCs w:val="18"/>
                <w:lang w:val="en-GB"/>
              </w:rPr>
              <w:t>.</w:t>
            </w:r>
          </w:p>
        </w:tc>
        <w:tc>
          <w:tcPr>
            <w:tcW w:w="1843" w:type="dxa"/>
          </w:tcPr>
          <w:p w14:paraId="4B25CD7A" w14:textId="09EEE834" w:rsidR="00435CF2" w:rsidRPr="004F328B" w:rsidRDefault="00435CF2" w:rsidP="00825395">
            <w:pPr>
              <w:rPr>
                <w:sz w:val="18"/>
                <w:szCs w:val="18"/>
                <w:lang w:val="en-GB"/>
              </w:rPr>
            </w:pPr>
            <w:r w:rsidRPr="004F328B">
              <w:rPr>
                <w:sz w:val="18"/>
                <w:szCs w:val="18"/>
                <w:lang w:val="en-GB"/>
              </w:rPr>
              <w:t>Edgren et al. (2007)</w:t>
            </w:r>
            <w:r w:rsidR="008562B2">
              <w:rPr>
                <w:sz w:val="18"/>
                <w:szCs w:val="18"/>
                <w:lang w:val="en-GB"/>
              </w:rPr>
              <w:t xml:space="preserve"> </w:t>
            </w:r>
            <w:r w:rsidR="0055575A">
              <w:rPr>
                <w:sz w:val="18"/>
                <w:szCs w:val="18"/>
                <w:lang w:val="en-GB"/>
              </w:rPr>
              <w:fldChar w:fldCharType="begin"/>
            </w:r>
            <w:r w:rsidR="0055575A">
              <w:rPr>
                <w:sz w:val="18"/>
                <w:szCs w:val="18"/>
                <w:lang w:val="en-GB"/>
              </w:rPr>
              <w:instrText xml:space="preserve"> ADDIN ZOTERO_ITEM CSL_CITATION {"citationID":"nK3ZruSN","properties":{"formattedCitation":"[4]","plainCitation":"[4]","noteIndex":0},"citationItems":[{"id":54,"uris":["http://zotero.org/users/local/CblV8433/items/CEAZF93U"],"itemData":{"id":54,"type":"article-journal","abstract":"Background The ﬁrst vaccine against human papillomavirus (HPV)-related disease is now available. Although it has been designed and tested mainly to protect against cervical lesions, it is also expected to be eﬀective against other anogenital cancers. Associations between HPV and vaginal, vulvar, and anal cancers are well established, but the full extent in terms of age and time since diagnosis of these associations is not well known.","container-title":"The Lancet Oncology","DOI":"10.1016/S1470-2045(07)70043-8","ISSN":"14702045","issue":"4","journalAbbreviation":"The Lancet Oncology","language":"en","page":"311-316","source":"DOI.org (Crossref)","title":"Risk of anogenital cancer after diagnosis of cervical intraepithelial neoplasia: a prospective population-based study","title-short":"Risk of anogenital cancer after diagnosis of cervical intraepithelial neoplasia","volume":"8","author":[{"family":"Edgren","given":"Gustaf"},{"family":"Sparén","given":"Pär"}],"issued":{"date-parts":[["2007",4]]}}}],"schema":"https://github.com/citation-style-language/schema/raw/master/csl-citation.json"} </w:instrText>
            </w:r>
            <w:r w:rsidR="0055575A">
              <w:rPr>
                <w:sz w:val="18"/>
                <w:szCs w:val="18"/>
                <w:lang w:val="en-GB"/>
              </w:rPr>
              <w:fldChar w:fldCharType="separate"/>
            </w:r>
            <w:r w:rsidR="0055575A">
              <w:rPr>
                <w:noProof/>
                <w:sz w:val="18"/>
                <w:szCs w:val="18"/>
                <w:lang w:val="en-GB"/>
              </w:rPr>
              <w:t>[4]</w:t>
            </w:r>
            <w:r w:rsidR="0055575A">
              <w:rPr>
                <w:sz w:val="18"/>
                <w:szCs w:val="18"/>
                <w:lang w:val="en-GB"/>
              </w:rPr>
              <w:fldChar w:fldCharType="end"/>
            </w:r>
          </w:p>
        </w:tc>
        <w:tc>
          <w:tcPr>
            <w:tcW w:w="1134" w:type="dxa"/>
          </w:tcPr>
          <w:p w14:paraId="04489D30" w14:textId="77777777" w:rsidR="00435CF2" w:rsidRPr="004F328B" w:rsidRDefault="00435CF2" w:rsidP="00825395">
            <w:pPr>
              <w:rPr>
                <w:sz w:val="18"/>
                <w:szCs w:val="18"/>
                <w:lang w:val="en-GB"/>
              </w:rPr>
            </w:pPr>
            <w:r>
              <w:rPr>
                <w:sz w:val="18"/>
                <w:szCs w:val="18"/>
                <w:lang w:val="en-GB"/>
              </w:rPr>
              <w:t>L</w:t>
            </w:r>
          </w:p>
        </w:tc>
        <w:tc>
          <w:tcPr>
            <w:tcW w:w="1276" w:type="dxa"/>
          </w:tcPr>
          <w:p w14:paraId="70C2E212" w14:textId="77777777" w:rsidR="00435CF2" w:rsidRPr="004F328B" w:rsidRDefault="00435CF2" w:rsidP="00825395">
            <w:pPr>
              <w:rPr>
                <w:sz w:val="18"/>
                <w:szCs w:val="18"/>
                <w:lang w:val="en-GB"/>
              </w:rPr>
            </w:pPr>
            <w:r>
              <w:rPr>
                <w:sz w:val="18"/>
                <w:szCs w:val="18"/>
                <w:lang w:val="en-GB"/>
              </w:rPr>
              <w:t>L</w:t>
            </w:r>
          </w:p>
        </w:tc>
        <w:tc>
          <w:tcPr>
            <w:tcW w:w="1275" w:type="dxa"/>
          </w:tcPr>
          <w:p w14:paraId="7F67D01C" w14:textId="77777777" w:rsidR="00435CF2" w:rsidRPr="004F328B" w:rsidRDefault="00435CF2" w:rsidP="00825395">
            <w:pPr>
              <w:rPr>
                <w:sz w:val="18"/>
                <w:szCs w:val="18"/>
                <w:lang w:val="en-GB"/>
              </w:rPr>
            </w:pPr>
            <w:r>
              <w:rPr>
                <w:sz w:val="18"/>
                <w:szCs w:val="18"/>
                <w:lang w:val="en-GB"/>
              </w:rPr>
              <w:t>L</w:t>
            </w:r>
          </w:p>
        </w:tc>
        <w:tc>
          <w:tcPr>
            <w:tcW w:w="1134" w:type="dxa"/>
          </w:tcPr>
          <w:p w14:paraId="4CA7C0E0" w14:textId="77777777" w:rsidR="00435CF2" w:rsidRPr="004F328B" w:rsidRDefault="00435CF2" w:rsidP="00825395">
            <w:pPr>
              <w:rPr>
                <w:sz w:val="18"/>
                <w:szCs w:val="18"/>
                <w:lang w:val="en-GB"/>
              </w:rPr>
            </w:pPr>
            <w:r>
              <w:rPr>
                <w:sz w:val="18"/>
                <w:szCs w:val="18"/>
                <w:lang w:val="en-GB"/>
              </w:rPr>
              <w:t>L</w:t>
            </w:r>
          </w:p>
        </w:tc>
        <w:tc>
          <w:tcPr>
            <w:tcW w:w="1134" w:type="dxa"/>
          </w:tcPr>
          <w:p w14:paraId="5A9F3135" w14:textId="77777777" w:rsidR="00435CF2" w:rsidRPr="004F328B" w:rsidRDefault="00435CF2" w:rsidP="00825395">
            <w:pPr>
              <w:rPr>
                <w:sz w:val="18"/>
                <w:szCs w:val="18"/>
                <w:lang w:val="en-GB"/>
              </w:rPr>
            </w:pPr>
            <w:r>
              <w:rPr>
                <w:sz w:val="18"/>
                <w:szCs w:val="18"/>
                <w:lang w:val="en-GB"/>
              </w:rPr>
              <w:t>L</w:t>
            </w:r>
          </w:p>
        </w:tc>
        <w:tc>
          <w:tcPr>
            <w:tcW w:w="1276" w:type="dxa"/>
          </w:tcPr>
          <w:p w14:paraId="282FA44F" w14:textId="77777777" w:rsidR="00435CF2" w:rsidRPr="004F328B" w:rsidRDefault="00435CF2" w:rsidP="00825395">
            <w:pPr>
              <w:rPr>
                <w:sz w:val="18"/>
                <w:szCs w:val="18"/>
                <w:lang w:val="en-GB"/>
              </w:rPr>
            </w:pPr>
            <w:r>
              <w:rPr>
                <w:sz w:val="18"/>
                <w:szCs w:val="18"/>
                <w:lang w:val="en-GB"/>
              </w:rPr>
              <w:t>L</w:t>
            </w:r>
          </w:p>
        </w:tc>
        <w:tc>
          <w:tcPr>
            <w:tcW w:w="1276" w:type="dxa"/>
          </w:tcPr>
          <w:p w14:paraId="46BF2D4F" w14:textId="77777777" w:rsidR="00435CF2" w:rsidRPr="004F328B" w:rsidRDefault="00435CF2" w:rsidP="00825395">
            <w:pPr>
              <w:rPr>
                <w:sz w:val="18"/>
                <w:szCs w:val="18"/>
                <w:lang w:val="en-GB"/>
              </w:rPr>
            </w:pPr>
            <w:r>
              <w:rPr>
                <w:sz w:val="18"/>
                <w:szCs w:val="18"/>
                <w:lang w:val="en-GB"/>
              </w:rPr>
              <w:t>L</w:t>
            </w:r>
          </w:p>
        </w:tc>
        <w:tc>
          <w:tcPr>
            <w:tcW w:w="1984" w:type="dxa"/>
          </w:tcPr>
          <w:p w14:paraId="2F3A1BE6" w14:textId="77777777" w:rsidR="00435CF2" w:rsidRPr="004F328B" w:rsidRDefault="00435CF2" w:rsidP="00825395">
            <w:pPr>
              <w:rPr>
                <w:sz w:val="18"/>
                <w:szCs w:val="18"/>
                <w:lang w:val="en-GB"/>
              </w:rPr>
            </w:pPr>
            <w:r>
              <w:rPr>
                <w:sz w:val="18"/>
                <w:szCs w:val="18"/>
                <w:lang w:val="en-GB"/>
              </w:rPr>
              <w:t>L</w:t>
            </w:r>
          </w:p>
        </w:tc>
      </w:tr>
      <w:tr w:rsidR="00435CF2" w:rsidRPr="004F328B" w14:paraId="68777B5A" w14:textId="77777777" w:rsidTr="00825395">
        <w:trPr>
          <w:trHeight w:val="354"/>
        </w:trPr>
        <w:tc>
          <w:tcPr>
            <w:tcW w:w="568" w:type="dxa"/>
          </w:tcPr>
          <w:p w14:paraId="1CCA4371" w14:textId="77777777" w:rsidR="00435CF2" w:rsidRPr="00DB04A3" w:rsidRDefault="00435CF2" w:rsidP="00825395">
            <w:pPr>
              <w:rPr>
                <w:sz w:val="18"/>
                <w:szCs w:val="18"/>
                <w:lang w:val="en-GB"/>
              </w:rPr>
            </w:pPr>
            <w:r>
              <w:rPr>
                <w:sz w:val="18"/>
                <w:szCs w:val="18"/>
                <w:lang w:val="en-GB"/>
              </w:rPr>
              <w:t>5</w:t>
            </w:r>
            <w:r w:rsidRPr="00DB04A3">
              <w:rPr>
                <w:sz w:val="18"/>
                <w:szCs w:val="18"/>
                <w:lang w:val="en-GB"/>
              </w:rPr>
              <w:t>.</w:t>
            </w:r>
          </w:p>
        </w:tc>
        <w:tc>
          <w:tcPr>
            <w:tcW w:w="1843" w:type="dxa"/>
          </w:tcPr>
          <w:p w14:paraId="1689FCFA" w14:textId="1899D7B7" w:rsidR="00435CF2" w:rsidRPr="004F328B" w:rsidRDefault="00435CF2" w:rsidP="00825395">
            <w:pPr>
              <w:rPr>
                <w:sz w:val="18"/>
                <w:szCs w:val="18"/>
                <w:lang w:val="en-GB"/>
              </w:rPr>
            </w:pPr>
            <w:proofErr w:type="spellStart"/>
            <w:r w:rsidRPr="004F328B">
              <w:rPr>
                <w:sz w:val="18"/>
                <w:szCs w:val="18"/>
                <w:lang w:val="en-GB"/>
              </w:rPr>
              <w:t>ElNaggar</w:t>
            </w:r>
            <w:proofErr w:type="spellEnd"/>
            <w:r w:rsidRPr="004F328B">
              <w:rPr>
                <w:sz w:val="18"/>
                <w:szCs w:val="18"/>
                <w:lang w:val="en-GB"/>
              </w:rPr>
              <w:t xml:space="preserve"> et al. (2013)</w:t>
            </w:r>
            <w:r w:rsidR="008562B2">
              <w:rPr>
                <w:sz w:val="18"/>
                <w:szCs w:val="18"/>
                <w:lang w:val="en-GB"/>
              </w:rPr>
              <w:t xml:space="preserve"> </w:t>
            </w:r>
            <w:r w:rsidR="0055575A">
              <w:rPr>
                <w:sz w:val="18"/>
                <w:szCs w:val="18"/>
                <w:lang w:val="en-GB"/>
              </w:rPr>
              <w:fldChar w:fldCharType="begin"/>
            </w:r>
            <w:r w:rsidR="0055575A">
              <w:rPr>
                <w:sz w:val="18"/>
                <w:szCs w:val="18"/>
                <w:lang w:val="en-GB"/>
              </w:rPr>
              <w:instrText xml:space="preserve"> ADDIN ZOTERO_ITEM CSL_CITATION {"citationID":"fnTlmOj1","properties":{"formattedCitation":"[5]","plainCitation":"[5]","noteIndex":0},"citationItems":[{"id":55,"uris":["http://zotero.org/users/local/CblV8433/items/55Q6KV2L"],"itemData":{"id":55,"type":"article-journal","container-title":"Obstetrics &amp; Gynecology","DOI":"10.1097/AOG.0b013e31829a2ace","ISSN":"0029-7844","issue":"2","language":"en","page":"218-223","source":"DOI.org (Crossref)","title":"Risk Factors for Anal Intraepithelial Neoplasia in Women With Genital Dysplasia","volume":"122","author":[{"family":"ElNaggar","given":"Adam C."},{"family":"Santoso","given":"Joseph T."}],"issued":{"date-parts":[["2013",8]]}}}],"schema":"https://github.com/citation-style-language/schema/raw/master/csl-citation.json"} </w:instrText>
            </w:r>
            <w:r w:rsidR="0055575A">
              <w:rPr>
                <w:sz w:val="18"/>
                <w:szCs w:val="18"/>
                <w:lang w:val="en-GB"/>
              </w:rPr>
              <w:fldChar w:fldCharType="separate"/>
            </w:r>
            <w:r w:rsidR="0055575A">
              <w:rPr>
                <w:noProof/>
                <w:sz w:val="18"/>
                <w:szCs w:val="18"/>
                <w:lang w:val="en-GB"/>
              </w:rPr>
              <w:t>[5]</w:t>
            </w:r>
            <w:r w:rsidR="0055575A">
              <w:rPr>
                <w:sz w:val="18"/>
                <w:szCs w:val="18"/>
                <w:lang w:val="en-GB"/>
              </w:rPr>
              <w:fldChar w:fldCharType="end"/>
            </w:r>
          </w:p>
        </w:tc>
        <w:tc>
          <w:tcPr>
            <w:tcW w:w="1134" w:type="dxa"/>
            <w:shd w:val="clear" w:color="auto" w:fill="FF7A57"/>
          </w:tcPr>
          <w:p w14:paraId="46BABBC4" w14:textId="77777777" w:rsidR="00435CF2" w:rsidRPr="004F328B" w:rsidRDefault="00435CF2" w:rsidP="00825395">
            <w:pPr>
              <w:rPr>
                <w:sz w:val="18"/>
                <w:szCs w:val="18"/>
                <w:lang w:val="en-GB"/>
              </w:rPr>
            </w:pPr>
            <w:r>
              <w:rPr>
                <w:sz w:val="18"/>
                <w:szCs w:val="18"/>
                <w:lang w:val="en-GB"/>
              </w:rPr>
              <w:t>H</w:t>
            </w:r>
          </w:p>
        </w:tc>
        <w:tc>
          <w:tcPr>
            <w:tcW w:w="1276" w:type="dxa"/>
            <w:shd w:val="clear" w:color="auto" w:fill="FF7A57"/>
          </w:tcPr>
          <w:p w14:paraId="04C229D8" w14:textId="77777777" w:rsidR="00435CF2" w:rsidRPr="004F328B" w:rsidRDefault="00435CF2" w:rsidP="00825395">
            <w:pPr>
              <w:rPr>
                <w:sz w:val="18"/>
                <w:szCs w:val="18"/>
                <w:lang w:val="en-GB"/>
              </w:rPr>
            </w:pPr>
            <w:r>
              <w:rPr>
                <w:sz w:val="18"/>
                <w:szCs w:val="18"/>
                <w:lang w:val="en-GB"/>
              </w:rPr>
              <w:t>H</w:t>
            </w:r>
          </w:p>
        </w:tc>
        <w:tc>
          <w:tcPr>
            <w:tcW w:w="1275" w:type="dxa"/>
          </w:tcPr>
          <w:p w14:paraId="27CBFC91" w14:textId="77777777" w:rsidR="00435CF2" w:rsidRPr="004F328B" w:rsidRDefault="00435CF2" w:rsidP="00825395">
            <w:pPr>
              <w:rPr>
                <w:sz w:val="18"/>
                <w:szCs w:val="18"/>
                <w:lang w:val="en-GB"/>
              </w:rPr>
            </w:pPr>
            <w:r>
              <w:rPr>
                <w:sz w:val="18"/>
                <w:szCs w:val="18"/>
                <w:lang w:val="en-GB"/>
              </w:rPr>
              <w:t>L</w:t>
            </w:r>
          </w:p>
        </w:tc>
        <w:tc>
          <w:tcPr>
            <w:tcW w:w="1134" w:type="dxa"/>
          </w:tcPr>
          <w:p w14:paraId="57A509E3" w14:textId="77777777" w:rsidR="00435CF2" w:rsidRPr="004F328B" w:rsidRDefault="00435CF2" w:rsidP="00825395">
            <w:pPr>
              <w:rPr>
                <w:sz w:val="18"/>
                <w:szCs w:val="18"/>
                <w:lang w:val="en-GB"/>
              </w:rPr>
            </w:pPr>
            <w:r>
              <w:rPr>
                <w:sz w:val="18"/>
                <w:szCs w:val="18"/>
                <w:lang w:val="en-GB"/>
              </w:rPr>
              <w:t>L</w:t>
            </w:r>
          </w:p>
        </w:tc>
        <w:tc>
          <w:tcPr>
            <w:tcW w:w="1134" w:type="dxa"/>
            <w:shd w:val="clear" w:color="auto" w:fill="FF7A57"/>
          </w:tcPr>
          <w:p w14:paraId="717920AE" w14:textId="77777777" w:rsidR="00435CF2" w:rsidRPr="004F328B" w:rsidRDefault="00435CF2" w:rsidP="00825395">
            <w:pPr>
              <w:rPr>
                <w:sz w:val="18"/>
                <w:szCs w:val="18"/>
                <w:lang w:val="en-GB"/>
              </w:rPr>
            </w:pPr>
            <w:r>
              <w:rPr>
                <w:sz w:val="18"/>
                <w:szCs w:val="18"/>
                <w:lang w:val="en-GB"/>
              </w:rPr>
              <w:t>H</w:t>
            </w:r>
          </w:p>
        </w:tc>
        <w:tc>
          <w:tcPr>
            <w:tcW w:w="1276" w:type="dxa"/>
          </w:tcPr>
          <w:p w14:paraId="4EE79D89" w14:textId="77777777" w:rsidR="00435CF2" w:rsidRPr="004F328B" w:rsidRDefault="00435CF2" w:rsidP="00825395">
            <w:pPr>
              <w:rPr>
                <w:sz w:val="18"/>
                <w:szCs w:val="18"/>
                <w:lang w:val="en-GB"/>
              </w:rPr>
            </w:pPr>
            <w:r>
              <w:rPr>
                <w:sz w:val="18"/>
                <w:szCs w:val="18"/>
                <w:lang w:val="en-GB"/>
              </w:rPr>
              <w:t>L</w:t>
            </w:r>
          </w:p>
        </w:tc>
        <w:tc>
          <w:tcPr>
            <w:tcW w:w="1276" w:type="dxa"/>
          </w:tcPr>
          <w:p w14:paraId="26936105" w14:textId="77777777" w:rsidR="00435CF2" w:rsidRPr="004F328B" w:rsidRDefault="00435CF2" w:rsidP="00825395">
            <w:pPr>
              <w:rPr>
                <w:sz w:val="18"/>
                <w:szCs w:val="18"/>
                <w:lang w:val="en-GB"/>
              </w:rPr>
            </w:pPr>
            <w:r>
              <w:rPr>
                <w:sz w:val="18"/>
                <w:szCs w:val="18"/>
                <w:lang w:val="en-GB"/>
              </w:rPr>
              <w:t>L</w:t>
            </w:r>
          </w:p>
        </w:tc>
        <w:tc>
          <w:tcPr>
            <w:tcW w:w="1984" w:type="dxa"/>
            <w:shd w:val="clear" w:color="auto" w:fill="FF7A57"/>
          </w:tcPr>
          <w:p w14:paraId="7EFDC4E5" w14:textId="77777777" w:rsidR="00435CF2" w:rsidRPr="00951023" w:rsidRDefault="00435CF2" w:rsidP="00825395">
            <w:pPr>
              <w:rPr>
                <w:color w:val="EE7754"/>
                <w:sz w:val="18"/>
                <w:szCs w:val="18"/>
                <w:lang w:val="en-GB"/>
              </w:rPr>
            </w:pPr>
            <w:r>
              <w:rPr>
                <w:sz w:val="18"/>
                <w:szCs w:val="18"/>
                <w:lang w:val="en-GB"/>
              </w:rPr>
              <w:t>H</w:t>
            </w:r>
          </w:p>
        </w:tc>
      </w:tr>
      <w:tr w:rsidR="00435CF2" w:rsidRPr="004F328B" w14:paraId="08C49272" w14:textId="77777777" w:rsidTr="00825395">
        <w:trPr>
          <w:trHeight w:val="354"/>
        </w:trPr>
        <w:tc>
          <w:tcPr>
            <w:tcW w:w="568" w:type="dxa"/>
          </w:tcPr>
          <w:p w14:paraId="4AC416C4" w14:textId="77777777" w:rsidR="00435CF2" w:rsidRPr="00DB04A3" w:rsidRDefault="00435CF2" w:rsidP="00825395">
            <w:pPr>
              <w:rPr>
                <w:sz w:val="18"/>
                <w:szCs w:val="18"/>
                <w:lang w:val="en-GB"/>
              </w:rPr>
            </w:pPr>
            <w:r>
              <w:rPr>
                <w:sz w:val="18"/>
                <w:szCs w:val="18"/>
                <w:lang w:val="en-GB"/>
              </w:rPr>
              <w:lastRenderedPageBreak/>
              <w:t>6</w:t>
            </w:r>
            <w:r w:rsidRPr="00DB04A3">
              <w:rPr>
                <w:sz w:val="18"/>
                <w:szCs w:val="18"/>
                <w:lang w:val="en-GB"/>
              </w:rPr>
              <w:t>.</w:t>
            </w:r>
          </w:p>
        </w:tc>
        <w:tc>
          <w:tcPr>
            <w:tcW w:w="1843" w:type="dxa"/>
          </w:tcPr>
          <w:p w14:paraId="5FAA4CB2" w14:textId="71B8D48F" w:rsidR="00435CF2" w:rsidRPr="004F328B" w:rsidRDefault="00435CF2" w:rsidP="00825395">
            <w:pPr>
              <w:rPr>
                <w:sz w:val="18"/>
                <w:szCs w:val="18"/>
                <w:lang w:val="en-GB"/>
              </w:rPr>
            </w:pPr>
            <w:r w:rsidRPr="004F328B">
              <w:rPr>
                <w:sz w:val="18"/>
                <w:szCs w:val="18"/>
                <w:lang w:val="en-GB"/>
              </w:rPr>
              <w:t>Evans et al. (2003)</w:t>
            </w:r>
            <w:r w:rsidR="008562B2">
              <w:rPr>
                <w:sz w:val="18"/>
                <w:szCs w:val="18"/>
                <w:lang w:val="en-GB"/>
              </w:rPr>
              <w:t xml:space="preserve"> </w:t>
            </w:r>
            <w:r w:rsidR="0055575A">
              <w:rPr>
                <w:sz w:val="18"/>
                <w:szCs w:val="18"/>
                <w:lang w:val="en-GB"/>
              </w:rPr>
              <w:fldChar w:fldCharType="begin"/>
            </w:r>
            <w:r w:rsidR="0055575A">
              <w:rPr>
                <w:sz w:val="18"/>
                <w:szCs w:val="18"/>
                <w:lang w:val="en-GB"/>
              </w:rPr>
              <w:instrText xml:space="preserve"> ADDIN ZOTERO_ITEM CSL_CITATION {"citationID":"ra0Gryys","properties":{"formattedCitation":"[6]","plainCitation":"[6]","noteIndex":0},"citationItems":[{"id":56,"uris":["http://zotero.org/users/local/CblV8433/items/39IR3WC3"],"itemData":{"id":56,"type":"article-journal","abstract":"Objective. Multiple primary cancers may arise in an individual because they share a common environmental risk factor (such as smoking); genetic predisposition or immunodeﬁciency may predispose to both cancers, or treatment for one cancer may cause a second cancer. The objective of this analysis was to identify which, if any, cancers occur more often than would be expected in a cohort of women diagnosed with cervical intraepithelial neoplasia III (CIN III) and in women with invasive cervical cancer.\nMethods. The Thames Cancer Registry was used to identify two cohorts of women diagnosed with either CIN III or invasive cervical cancer. The number of subsequent cancers at other sites was observed and compared to the expected number, based on relevant age-, sex-, and period-speciﬁc incidence rates. Standardised incidence rates (SIRs) were calculated assuming a Poisson distribution.\nResults. The following cancer sites were signiﬁcantly increased after a diagnosis of either CIN III or cervical cancer: anus (SIR 5.9 and 6.3, respectively), lung (SIR 1.8 and 2.5), vulva (SIR 4.4 and 1.9), vagina (SIR 18.5 and 8.0), and kidney (SIR 1.6 and 1.9). In addition, the incidence of cancers of the rectum, bladder, and connective tissue was signiﬁcantly increased after invasive cervical cancer. Cervical cancers were seen signiﬁcantly more often than expected after cancers of the anus and vagina.\nConclusion. These results support the hypothesis that cancers of the cervix, anus, vulva, and vagina share common risk factors such as human papillomavirus and smoking. © 2003 Elsevier Science (USA). All rights reserved.","container-title":"Gynecologic Oncology","DOI":"10.1016/S0090-8258(03)00231-2","ISSN":"00908258","issue":"1","journalAbbreviation":"Gynecologic Oncology","language":"en","page":"131-136","source":"DOI.org (Crossref)","title":"Second primary cancers after cervical intraepithelial neoplasia III and invasive cervical cancer in Southeast England","volume":"90","author":[{"family":"Evans","given":"H.S"},{"family":"Newnham","given":"A"},{"family":"Hodgson","given":"S.V"},{"family":"Møller","given":"H"}],"issued":{"date-parts":[["2003",7]]}}}],"schema":"https://github.com/citation-style-language/schema/raw/master/csl-citation.json"} </w:instrText>
            </w:r>
            <w:r w:rsidR="0055575A">
              <w:rPr>
                <w:sz w:val="18"/>
                <w:szCs w:val="18"/>
                <w:lang w:val="en-GB"/>
              </w:rPr>
              <w:fldChar w:fldCharType="separate"/>
            </w:r>
            <w:r w:rsidR="0055575A">
              <w:rPr>
                <w:noProof/>
                <w:sz w:val="18"/>
                <w:szCs w:val="18"/>
                <w:lang w:val="en-GB"/>
              </w:rPr>
              <w:t>[6]</w:t>
            </w:r>
            <w:r w:rsidR="0055575A">
              <w:rPr>
                <w:sz w:val="18"/>
                <w:szCs w:val="18"/>
                <w:lang w:val="en-GB"/>
              </w:rPr>
              <w:fldChar w:fldCharType="end"/>
            </w:r>
          </w:p>
        </w:tc>
        <w:tc>
          <w:tcPr>
            <w:tcW w:w="1134" w:type="dxa"/>
          </w:tcPr>
          <w:p w14:paraId="234D2D4B" w14:textId="77777777" w:rsidR="00435CF2" w:rsidRPr="004F328B" w:rsidRDefault="00435CF2" w:rsidP="00825395">
            <w:pPr>
              <w:rPr>
                <w:sz w:val="18"/>
                <w:szCs w:val="18"/>
                <w:lang w:val="en-GB"/>
              </w:rPr>
            </w:pPr>
            <w:r>
              <w:rPr>
                <w:sz w:val="18"/>
                <w:szCs w:val="18"/>
                <w:lang w:val="en-GB"/>
              </w:rPr>
              <w:t>L</w:t>
            </w:r>
          </w:p>
        </w:tc>
        <w:tc>
          <w:tcPr>
            <w:tcW w:w="1276" w:type="dxa"/>
          </w:tcPr>
          <w:p w14:paraId="62CF6DE9" w14:textId="77777777" w:rsidR="00435CF2" w:rsidRPr="004F328B" w:rsidRDefault="00435CF2" w:rsidP="00825395">
            <w:pPr>
              <w:rPr>
                <w:sz w:val="18"/>
                <w:szCs w:val="18"/>
                <w:lang w:val="en-GB"/>
              </w:rPr>
            </w:pPr>
            <w:r>
              <w:rPr>
                <w:sz w:val="18"/>
                <w:szCs w:val="18"/>
                <w:lang w:val="en-GB"/>
              </w:rPr>
              <w:t>L</w:t>
            </w:r>
          </w:p>
        </w:tc>
        <w:tc>
          <w:tcPr>
            <w:tcW w:w="1275" w:type="dxa"/>
          </w:tcPr>
          <w:p w14:paraId="4AB8716A" w14:textId="77777777" w:rsidR="00435CF2" w:rsidRPr="004F328B" w:rsidRDefault="00435CF2" w:rsidP="00825395">
            <w:pPr>
              <w:rPr>
                <w:sz w:val="18"/>
                <w:szCs w:val="18"/>
                <w:lang w:val="en-GB"/>
              </w:rPr>
            </w:pPr>
            <w:r>
              <w:rPr>
                <w:sz w:val="18"/>
                <w:szCs w:val="18"/>
                <w:lang w:val="en-GB"/>
              </w:rPr>
              <w:t>L</w:t>
            </w:r>
          </w:p>
        </w:tc>
        <w:tc>
          <w:tcPr>
            <w:tcW w:w="1134" w:type="dxa"/>
          </w:tcPr>
          <w:p w14:paraId="20E3CD52" w14:textId="77777777" w:rsidR="00435CF2" w:rsidRPr="004F328B" w:rsidRDefault="00435CF2" w:rsidP="00825395">
            <w:pPr>
              <w:rPr>
                <w:sz w:val="18"/>
                <w:szCs w:val="18"/>
                <w:lang w:val="en-GB"/>
              </w:rPr>
            </w:pPr>
            <w:r>
              <w:rPr>
                <w:sz w:val="18"/>
                <w:szCs w:val="18"/>
                <w:lang w:val="en-GB"/>
              </w:rPr>
              <w:t>L</w:t>
            </w:r>
          </w:p>
        </w:tc>
        <w:tc>
          <w:tcPr>
            <w:tcW w:w="1134" w:type="dxa"/>
          </w:tcPr>
          <w:p w14:paraId="5E488626" w14:textId="77777777" w:rsidR="00435CF2" w:rsidRPr="004F328B" w:rsidRDefault="00435CF2" w:rsidP="00825395">
            <w:pPr>
              <w:rPr>
                <w:sz w:val="18"/>
                <w:szCs w:val="18"/>
                <w:lang w:val="en-GB"/>
              </w:rPr>
            </w:pPr>
            <w:r>
              <w:rPr>
                <w:sz w:val="18"/>
                <w:szCs w:val="18"/>
                <w:lang w:val="en-GB"/>
              </w:rPr>
              <w:t>L</w:t>
            </w:r>
          </w:p>
        </w:tc>
        <w:tc>
          <w:tcPr>
            <w:tcW w:w="1276" w:type="dxa"/>
          </w:tcPr>
          <w:p w14:paraId="1F4F44F6" w14:textId="77777777" w:rsidR="00435CF2" w:rsidRPr="004F328B" w:rsidRDefault="00435CF2" w:rsidP="00825395">
            <w:pPr>
              <w:rPr>
                <w:sz w:val="18"/>
                <w:szCs w:val="18"/>
                <w:lang w:val="en-GB"/>
              </w:rPr>
            </w:pPr>
            <w:r>
              <w:rPr>
                <w:sz w:val="18"/>
                <w:szCs w:val="18"/>
                <w:lang w:val="en-GB"/>
              </w:rPr>
              <w:t>L</w:t>
            </w:r>
          </w:p>
        </w:tc>
        <w:tc>
          <w:tcPr>
            <w:tcW w:w="1276" w:type="dxa"/>
          </w:tcPr>
          <w:p w14:paraId="3F154D16" w14:textId="77777777" w:rsidR="00435CF2" w:rsidRPr="004F328B" w:rsidRDefault="00435CF2" w:rsidP="00825395">
            <w:pPr>
              <w:rPr>
                <w:sz w:val="18"/>
                <w:szCs w:val="18"/>
                <w:lang w:val="en-GB"/>
              </w:rPr>
            </w:pPr>
            <w:r>
              <w:rPr>
                <w:sz w:val="18"/>
                <w:szCs w:val="18"/>
                <w:lang w:val="en-GB"/>
              </w:rPr>
              <w:t>L</w:t>
            </w:r>
          </w:p>
        </w:tc>
        <w:tc>
          <w:tcPr>
            <w:tcW w:w="1984" w:type="dxa"/>
          </w:tcPr>
          <w:p w14:paraId="2F3B15EB" w14:textId="77777777" w:rsidR="00435CF2" w:rsidRPr="004F328B" w:rsidRDefault="00435CF2" w:rsidP="00825395">
            <w:pPr>
              <w:rPr>
                <w:sz w:val="18"/>
                <w:szCs w:val="18"/>
                <w:lang w:val="en-GB"/>
              </w:rPr>
            </w:pPr>
            <w:r>
              <w:rPr>
                <w:sz w:val="18"/>
                <w:szCs w:val="18"/>
                <w:lang w:val="en-GB"/>
              </w:rPr>
              <w:t>L</w:t>
            </w:r>
          </w:p>
        </w:tc>
      </w:tr>
      <w:tr w:rsidR="00435CF2" w:rsidRPr="004F328B" w14:paraId="6C2E6BEA" w14:textId="77777777" w:rsidTr="00825395">
        <w:trPr>
          <w:trHeight w:val="354"/>
        </w:trPr>
        <w:tc>
          <w:tcPr>
            <w:tcW w:w="568" w:type="dxa"/>
          </w:tcPr>
          <w:p w14:paraId="7832CA1F" w14:textId="77777777" w:rsidR="00435CF2" w:rsidRPr="00DB04A3" w:rsidRDefault="00435CF2" w:rsidP="00825395">
            <w:pPr>
              <w:rPr>
                <w:sz w:val="18"/>
                <w:szCs w:val="18"/>
                <w:lang w:val="en-GB"/>
              </w:rPr>
            </w:pPr>
            <w:r>
              <w:rPr>
                <w:sz w:val="18"/>
                <w:szCs w:val="18"/>
                <w:lang w:val="en-GB"/>
              </w:rPr>
              <w:t>7</w:t>
            </w:r>
            <w:r w:rsidRPr="00DB04A3">
              <w:rPr>
                <w:sz w:val="18"/>
                <w:szCs w:val="18"/>
                <w:lang w:val="en-GB"/>
              </w:rPr>
              <w:t>.</w:t>
            </w:r>
          </w:p>
          <w:p w14:paraId="4F80F5A1" w14:textId="77777777" w:rsidR="00435CF2" w:rsidRPr="00DB04A3" w:rsidRDefault="00435CF2" w:rsidP="00825395">
            <w:pPr>
              <w:rPr>
                <w:sz w:val="18"/>
                <w:szCs w:val="18"/>
                <w:lang w:val="en-GB"/>
              </w:rPr>
            </w:pPr>
          </w:p>
          <w:p w14:paraId="215C10C2" w14:textId="77777777" w:rsidR="00435CF2" w:rsidRPr="00DB04A3" w:rsidRDefault="00435CF2" w:rsidP="00825395">
            <w:pPr>
              <w:rPr>
                <w:sz w:val="18"/>
                <w:szCs w:val="18"/>
                <w:lang w:val="en-GB"/>
              </w:rPr>
            </w:pPr>
          </w:p>
        </w:tc>
        <w:tc>
          <w:tcPr>
            <w:tcW w:w="1843" w:type="dxa"/>
          </w:tcPr>
          <w:p w14:paraId="63FBB233" w14:textId="2436F3A8" w:rsidR="00435CF2" w:rsidRPr="004F328B" w:rsidRDefault="00435CF2" w:rsidP="00825395">
            <w:pPr>
              <w:rPr>
                <w:sz w:val="18"/>
                <w:szCs w:val="18"/>
                <w:lang w:val="en-GB"/>
              </w:rPr>
            </w:pPr>
            <w:r w:rsidRPr="004F328B">
              <w:rPr>
                <w:sz w:val="18"/>
                <w:szCs w:val="18"/>
                <w:lang w:val="en-GB"/>
              </w:rPr>
              <w:t>Gaudet et al. (2014)</w:t>
            </w:r>
            <w:r w:rsidR="00295995">
              <w:rPr>
                <w:sz w:val="18"/>
                <w:szCs w:val="18"/>
                <w:lang w:val="en-GB"/>
              </w:rPr>
              <w:t xml:space="preserve"> </w:t>
            </w:r>
            <w:r w:rsidR="0055575A">
              <w:rPr>
                <w:sz w:val="18"/>
                <w:szCs w:val="18"/>
                <w:lang w:val="en-GB"/>
              </w:rPr>
              <w:fldChar w:fldCharType="begin"/>
            </w:r>
            <w:r w:rsidR="0055575A">
              <w:rPr>
                <w:sz w:val="18"/>
                <w:szCs w:val="18"/>
                <w:lang w:val="en-GB"/>
              </w:rPr>
              <w:instrText xml:space="preserve"> ADDIN ZOTERO_ITEM CSL_CITATION {"citationID":"aoCQON7i","properties":{"formattedCitation":"[7]","plainCitation":"[7]","noteIndex":0},"citationItems":[{"id":57,"uris":["http://zotero.org/users/local/CblV8433/items/TEB6KEUT"],"itemData":{"id":57,"type":"article-journal","abstract":"Objective. The objective of this study was to determine if women with a history of Cervical Intraepithelial Neoplasia grades 2 and 3 (CIN2 and CIN3) are at increased long-term risk for developing non-cervix HPV-related malignancies. Material and methods. Women diagnosed with CIN2 or CIN3 between 1980 and 2005 were identiﬁed from the British Columbia (BC) Cancer Agency Cervical Cancer Screening Program's database. These patients' records were then cross-referenced with the BC Cancer Registry for diagnosis of vulvar, vaginal, anal or head and neck (HN) cancers during the period subsequent to their diagnosis of CIN. Standardized incidence ratios (SIR) were generated according to expected rates of each cancer.\nResults. 54,320 women with a diagnosis of CIN2 or CIN3 were identiﬁed between 1985 and 2005. The crude incidence rate for non-cervix HPV-related cancers was 35.4 per 100,000 person-years (8.6 for vagina, 17.6 for vulva, 3.7 for anal canal and 5.5 for HN). The SIR was 1.9 (95% CI 1.3–2.7) for all non-cervix cancers, 6.7 (95% CI: 3.0–12.8) for vagina, 2.9 (95% CI: 1.7–4.6) for vulva, 1.8 (95% CI: 0.4–4.7) for anal canal, and 0.6 (95% CI: 0.2–1.4) for HN. There were statistically signiﬁcant increases in anal cancers for years 5–9 and in HN cancers for years 0.5–5.\nConclusion. BC women with a history of CIN2 or CIN3 are at relatively high risk of developing non-cervical HPV-related malignancies. The ﬁndings of this study suggest that interventions such as vaccination against high-risk HPV or long-term screening for these other cancers should be evaluated.","container-title":"Gynecologic Oncology","DOI":"10.1016/j.ygyno.2014.07.088","ISSN":"00908258","issue":"3","journalAbbreviation":"Gynecologic Oncology","language":"en","page":"523-526","source":"DOI.org (Crossref)","title":"Incidence of ano-genital and head and neck malignancies in women with a previous diagnosis of cervical intraepithelial neoplasia","volume":"134","author":[{"family":"Gaudet","given":"Marc"},{"family":"Hamm","given":"Jeremy"},{"family":"Aquino-Parsons","given":"Christina"}],"issued":{"date-parts":[["2014",9]]}}}],"schema":"https://github.com/citation-style-language/schema/raw/master/csl-citation.json"} </w:instrText>
            </w:r>
            <w:r w:rsidR="0055575A">
              <w:rPr>
                <w:sz w:val="18"/>
                <w:szCs w:val="18"/>
                <w:lang w:val="en-GB"/>
              </w:rPr>
              <w:fldChar w:fldCharType="separate"/>
            </w:r>
            <w:r w:rsidR="0055575A">
              <w:rPr>
                <w:noProof/>
                <w:sz w:val="18"/>
                <w:szCs w:val="18"/>
                <w:lang w:val="en-GB"/>
              </w:rPr>
              <w:t>[7]</w:t>
            </w:r>
            <w:r w:rsidR="0055575A">
              <w:rPr>
                <w:sz w:val="18"/>
                <w:szCs w:val="18"/>
                <w:lang w:val="en-GB"/>
              </w:rPr>
              <w:fldChar w:fldCharType="end"/>
            </w:r>
          </w:p>
        </w:tc>
        <w:tc>
          <w:tcPr>
            <w:tcW w:w="1134" w:type="dxa"/>
          </w:tcPr>
          <w:p w14:paraId="49F0328E" w14:textId="77777777" w:rsidR="00435CF2" w:rsidRPr="004F328B" w:rsidRDefault="00435CF2" w:rsidP="00825395">
            <w:pPr>
              <w:rPr>
                <w:sz w:val="18"/>
                <w:szCs w:val="18"/>
                <w:lang w:val="en-GB"/>
              </w:rPr>
            </w:pPr>
            <w:r>
              <w:rPr>
                <w:sz w:val="18"/>
                <w:szCs w:val="18"/>
                <w:lang w:val="en-GB"/>
              </w:rPr>
              <w:t>L</w:t>
            </w:r>
          </w:p>
        </w:tc>
        <w:tc>
          <w:tcPr>
            <w:tcW w:w="1276" w:type="dxa"/>
          </w:tcPr>
          <w:p w14:paraId="1ED05E3C" w14:textId="77777777" w:rsidR="00435CF2" w:rsidRPr="004F328B" w:rsidRDefault="00435CF2" w:rsidP="00825395">
            <w:pPr>
              <w:rPr>
                <w:sz w:val="18"/>
                <w:szCs w:val="18"/>
                <w:lang w:val="en-GB"/>
              </w:rPr>
            </w:pPr>
            <w:r>
              <w:rPr>
                <w:sz w:val="18"/>
                <w:szCs w:val="18"/>
                <w:lang w:val="en-GB"/>
              </w:rPr>
              <w:t>L</w:t>
            </w:r>
          </w:p>
        </w:tc>
        <w:tc>
          <w:tcPr>
            <w:tcW w:w="1275" w:type="dxa"/>
          </w:tcPr>
          <w:p w14:paraId="3ABBE5CF" w14:textId="77777777" w:rsidR="00435CF2" w:rsidRPr="004F328B" w:rsidRDefault="00435CF2" w:rsidP="00825395">
            <w:pPr>
              <w:rPr>
                <w:sz w:val="18"/>
                <w:szCs w:val="18"/>
                <w:lang w:val="en-GB"/>
              </w:rPr>
            </w:pPr>
            <w:r>
              <w:rPr>
                <w:sz w:val="18"/>
                <w:szCs w:val="18"/>
                <w:lang w:val="en-GB"/>
              </w:rPr>
              <w:t>L</w:t>
            </w:r>
          </w:p>
        </w:tc>
        <w:tc>
          <w:tcPr>
            <w:tcW w:w="1134" w:type="dxa"/>
          </w:tcPr>
          <w:p w14:paraId="556C1103" w14:textId="77777777" w:rsidR="00435CF2" w:rsidRPr="004F328B" w:rsidRDefault="00435CF2" w:rsidP="00825395">
            <w:pPr>
              <w:rPr>
                <w:sz w:val="18"/>
                <w:szCs w:val="18"/>
                <w:lang w:val="en-GB"/>
              </w:rPr>
            </w:pPr>
            <w:r>
              <w:rPr>
                <w:sz w:val="18"/>
                <w:szCs w:val="18"/>
                <w:lang w:val="en-GB"/>
              </w:rPr>
              <w:t>L</w:t>
            </w:r>
          </w:p>
        </w:tc>
        <w:tc>
          <w:tcPr>
            <w:tcW w:w="1134" w:type="dxa"/>
          </w:tcPr>
          <w:p w14:paraId="2DD57FA0" w14:textId="77777777" w:rsidR="00435CF2" w:rsidRPr="004F328B" w:rsidRDefault="00435CF2" w:rsidP="00825395">
            <w:pPr>
              <w:rPr>
                <w:sz w:val="18"/>
                <w:szCs w:val="18"/>
                <w:lang w:val="en-GB"/>
              </w:rPr>
            </w:pPr>
            <w:r>
              <w:rPr>
                <w:sz w:val="18"/>
                <w:szCs w:val="18"/>
                <w:lang w:val="en-GB"/>
              </w:rPr>
              <w:t>L</w:t>
            </w:r>
          </w:p>
        </w:tc>
        <w:tc>
          <w:tcPr>
            <w:tcW w:w="1276" w:type="dxa"/>
          </w:tcPr>
          <w:p w14:paraId="728DE74D" w14:textId="77777777" w:rsidR="00435CF2" w:rsidRPr="004F328B" w:rsidRDefault="00435CF2" w:rsidP="00825395">
            <w:pPr>
              <w:rPr>
                <w:sz w:val="18"/>
                <w:szCs w:val="18"/>
                <w:lang w:val="en-GB"/>
              </w:rPr>
            </w:pPr>
            <w:r>
              <w:rPr>
                <w:sz w:val="18"/>
                <w:szCs w:val="18"/>
                <w:lang w:val="en-GB"/>
              </w:rPr>
              <w:t>L</w:t>
            </w:r>
          </w:p>
        </w:tc>
        <w:tc>
          <w:tcPr>
            <w:tcW w:w="1276" w:type="dxa"/>
          </w:tcPr>
          <w:p w14:paraId="48EF6E6E" w14:textId="77777777" w:rsidR="00435CF2" w:rsidRPr="004F328B" w:rsidRDefault="00435CF2" w:rsidP="00825395">
            <w:pPr>
              <w:rPr>
                <w:sz w:val="18"/>
                <w:szCs w:val="18"/>
                <w:lang w:val="en-GB"/>
              </w:rPr>
            </w:pPr>
            <w:r>
              <w:rPr>
                <w:sz w:val="18"/>
                <w:szCs w:val="18"/>
                <w:lang w:val="en-GB"/>
              </w:rPr>
              <w:t>L</w:t>
            </w:r>
          </w:p>
        </w:tc>
        <w:tc>
          <w:tcPr>
            <w:tcW w:w="1984" w:type="dxa"/>
          </w:tcPr>
          <w:p w14:paraId="246C5CBC" w14:textId="77777777" w:rsidR="00435CF2" w:rsidRPr="004F328B" w:rsidRDefault="00435CF2" w:rsidP="00825395">
            <w:pPr>
              <w:rPr>
                <w:sz w:val="18"/>
                <w:szCs w:val="18"/>
                <w:lang w:val="en-GB"/>
              </w:rPr>
            </w:pPr>
            <w:r>
              <w:rPr>
                <w:sz w:val="18"/>
                <w:szCs w:val="18"/>
                <w:lang w:val="en-GB"/>
              </w:rPr>
              <w:t>L</w:t>
            </w:r>
          </w:p>
        </w:tc>
      </w:tr>
      <w:tr w:rsidR="00435CF2" w:rsidRPr="004F328B" w14:paraId="03E36A8E" w14:textId="77777777" w:rsidTr="00825395">
        <w:trPr>
          <w:trHeight w:val="354"/>
        </w:trPr>
        <w:tc>
          <w:tcPr>
            <w:tcW w:w="568" w:type="dxa"/>
          </w:tcPr>
          <w:p w14:paraId="4BEEE51F" w14:textId="77777777" w:rsidR="00435CF2" w:rsidRPr="00DB04A3" w:rsidRDefault="00435CF2" w:rsidP="00825395">
            <w:pPr>
              <w:rPr>
                <w:sz w:val="18"/>
                <w:szCs w:val="18"/>
                <w:lang w:val="en-GB"/>
              </w:rPr>
            </w:pPr>
            <w:r>
              <w:rPr>
                <w:sz w:val="18"/>
                <w:szCs w:val="18"/>
                <w:lang w:val="en-GB"/>
              </w:rPr>
              <w:t>8</w:t>
            </w:r>
            <w:r w:rsidRPr="00DB04A3">
              <w:rPr>
                <w:sz w:val="18"/>
                <w:szCs w:val="18"/>
                <w:lang w:val="en-GB"/>
              </w:rPr>
              <w:t>.</w:t>
            </w:r>
          </w:p>
        </w:tc>
        <w:tc>
          <w:tcPr>
            <w:tcW w:w="1843" w:type="dxa"/>
          </w:tcPr>
          <w:p w14:paraId="26D8AC82" w14:textId="0E40B774" w:rsidR="00435CF2" w:rsidRPr="004F328B" w:rsidRDefault="00435CF2" w:rsidP="00825395">
            <w:pPr>
              <w:rPr>
                <w:sz w:val="18"/>
                <w:szCs w:val="18"/>
                <w:lang w:val="en-GB"/>
              </w:rPr>
            </w:pPr>
            <w:proofErr w:type="spellStart"/>
            <w:r w:rsidRPr="004F328B">
              <w:rPr>
                <w:sz w:val="18"/>
                <w:szCs w:val="18"/>
                <w:lang w:val="en-GB"/>
              </w:rPr>
              <w:t>Hemminki</w:t>
            </w:r>
            <w:proofErr w:type="spellEnd"/>
            <w:r w:rsidRPr="004F328B">
              <w:rPr>
                <w:sz w:val="18"/>
                <w:szCs w:val="18"/>
                <w:lang w:val="en-GB"/>
              </w:rPr>
              <w:t xml:space="preserve"> et al. (2001)</w:t>
            </w:r>
            <w:r w:rsidR="00295995">
              <w:rPr>
                <w:sz w:val="18"/>
                <w:szCs w:val="18"/>
                <w:lang w:val="en-GB"/>
              </w:rPr>
              <w:t xml:space="preserve"> </w:t>
            </w:r>
            <w:r w:rsidR="0055575A">
              <w:rPr>
                <w:sz w:val="18"/>
                <w:szCs w:val="18"/>
                <w:lang w:val="en-GB"/>
              </w:rPr>
              <w:fldChar w:fldCharType="begin"/>
            </w:r>
            <w:r w:rsidR="0055575A">
              <w:rPr>
                <w:sz w:val="18"/>
                <w:szCs w:val="18"/>
                <w:lang w:val="en-GB"/>
              </w:rPr>
              <w:instrText xml:space="preserve"> ADDIN ZOTERO_ITEM CSL_CITATION {"citationID":"tvYjjgKS","properties":{"formattedCitation":"[8]","plainCitation":"[8]","noteIndex":0},"citationItems":[{"id":59,"uris":["http://zotero.org/users/local/CblV8433/items/XSQZ4ISW"],"itemData":{"id":59,"type":"article-journal","container-title":"International Journal of Cancer","DOI":"10.1002/ijc.1319","ISSN":"0020-7136, 1097-0215","issue":"2","journalAbbreviation":"Int. J. Cancer","language":"en","page":"294-298","source":"DOI.org (Crossref)","title":"Second primary cancers after anogenital, skin, oral, esophageal and rectal cancers: Etiological links?","title-short":"Second primary cancers after anogenital, skin, oral, esophageal and rectal cancers","volume":"93","author":[{"family":"Hemminki","given":"Kari"},{"family":"Jiang","given":"Yongwen"},{"family":"Dong","given":"Chuanhui"}],"issued":{"date-parts":[["2001",7,15]]}}}],"schema":"https://github.com/citation-style-language/schema/raw/master/csl-citation.json"} </w:instrText>
            </w:r>
            <w:r w:rsidR="0055575A">
              <w:rPr>
                <w:sz w:val="18"/>
                <w:szCs w:val="18"/>
                <w:lang w:val="en-GB"/>
              </w:rPr>
              <w:fldChar w:fldCharType="separate"/>
            </w:r>
            <w:r w:rsidR="0055575A">
              <w:rPr>
                <w:noProof/>
                <w:sz w:val="18"/>
                <w:szCs w:val="18"/>
                <w:lang w:val="en-GB"/>
              </w:rPr>
              <w:t>[8]</w:t>
            </w:r>
            <w:r w:rsidR="0055575A">
              <w:rPr>
                <w:sz w:val="18"/>
                <w:szCs w:val="18"/>
                <w:lang w:val="en-GB"/>
              </w:rPr>
              <w:fldChar w:fldCharType="end"/>
            </w:r>
          </w:p>
        </w:tc>
        <w:tc>
          <w:tcPr>
            <w:tcW w:w="1134" w:type="dxa"/>
          </w:tcPr>
          <w:p w14:paraId="615EAD53" w14:textId="77777777" w:rsidR="00435CF2" w:rsidRPr="004F328B" w:rsidRDefault="00435CF2" w:rsidP="00825395">
            <w:pPr>
              <w:rPr>
                <w:sz w:val="18"/>
                <w:szCs w:val="18"/>
                <w:lang w:val="en-GB"/>
              </w:rPr>
            </w:pPr>
            <w:r>
              <w:rPr>
                <w:sz w:val="18"/>
                <w:szCs w:val="18"/>
                <w:lang w:val="en-GB"/>
              </w:rPr>
              <w:t>L</w:t>
            </w:r>
          </w:p>
        </w:tc>
        <w:tc>
          <w:tcPr>
            <w:tcW w:w="1276" w:type="dxa"/>
          </w:tcPr>
          <w:p w14:paraId="082C288A" w14:textId="77777777" w:rsidR="00435CF2" w:rsidRPr="004F328B" w:rsidRDefault="00435CF2" w:rsidP="00825395">
            <w:pPr>
              <w:rPr>
                <w:sz w:val="18"/>
                <w:szCs w:val="18"/>
                <w:lang w:val="en-GB"/>
              </w:rPr>
            </w:pPr>
            <w:r>
              <w:rPr>
                <w:sz w:val="18"/>
                <w:szCs w:val="18"/>
                <w:lang w:val="en-GB"/>
              </w:rPr>
              <w:t>L</w:t>
            </w:r>
          </w:p>
        </w:tc>
        <w:tc>
          <w:tcPr>
            <w:tcW w:w="1275" w:type="dxa"/>
          </w:tcPr>
          <w:p w14:paraId="211BF261" w14:textId="77777777" w:rsidR="00435CF2" w:rsidRPr="004F328B" w:rsidRDefault="00435CF2" w:rsidP="00825395">
            <w:pPr>
              <w:rPr>
                <w:sz w:val="18"/>
                <w:szCs w:val="18"/>
                <w:lang w:val="en-GB"/>
              </w:rPr>
            </w:pPr>
            <w:r>
              <w:rPr>
                <w:sz w:val="18"/>
                <w:szCs w:val="18"/>
                <w:lang w:val="en-GB"/>
              </w:rPr>
              <w:t>L</w:t>
            </w:r>
          </w:p>
        </w:tc>
        <w:tc>
          <w:tcPr>
            <w:tcW w:w="1134" w:type="dxa"/>
          </w:tcPr>
          <w:p w14:paraId="482E2836" w14:textId="77777777" w:rsidR="00435CF2" w:rsidRPr="004F328B" w:rsidRDefault="00435CF2" w:rsidP="00825395">
            <w:pPr>
              <w:rPr>
                <w:sz w:val="18"/>
                <w:szCs w:val="18"/>
                <w:lang w:val="en-GB"/>
              </w:rPr>
            </w:pPr>
            <w:r>
              <w:rPr>
                <w:sz w:val="18"/>
                <w:szCs w:val="18"/>
                <w:lang w:val="en-GB"/>
              </w:rPr>
              <w:t>L</w:t>
            </w:r>
          </w:p>
        </w:tc>
        <w:tc>
          <w:tcPr>
            <w:tcW w:w="1134" w:type="dxa"/>
          </w:tcPr>
          <w:p w14:paraId="2DC98991" w14:textId="77777777" w:rsidR="00435CF2" w:rsidRPr="004F328B" w:rsidRDefault="00435CF2" w:rsidP="00825395">
            <w:pPr>
              <w:rPr>
                <w:sz w:val="18"/>
                <w:szCs w:val="18"/>
                <w:lang w:val="en-GB"/>
              </w:rPr>
            </w:pPr>
            <w:r>
              <w:rPr>
                <w:sz w:val="18"/>
                <w:szCs w:val="18"/>
                <w:lang w:val="en-GB"/>
              </w:rPr>
              <w:t>L</w:t>
            </w:r>
          </w:p>
        </w:tc>
        <w:tc>
          <w:tcPr>
            <w:tcW w:w="1276" w:type="dxa"/>
          </w:tcPr>
          <w:p w14:paraId="27AF535F" w14:textId="77777777" w:rsidR="00435CF2" w:rsidRPr="004F328B" w:rsidRDefault="00435CF2" w:rsidP="00825395">
            <w:pPr>
              <w:rPr>
                <w:sz w:val="18"/>
                <w:szCs w:val="18"/>
                <w:lang w:val="en-GB"/>
              </w:rPr>
            </w:pPr>
            <w:r>
              <w:rPr>
                <w:sz w:val="18"/>
                <w:szCs w:val="18"/>
                <w:lang w:val="en-GB"/>
              </w:rPr>
              <w:t>L</w:t>
            </w:r>
          </w:p>
        </w:tc>
        <w:tc>
          <w:tcPr>
            <w:tcW w:w="1276" w:type="dxa"/>
          </w:tcPr>
          <w:p w14:paraId="0C1E393C" w14:textId="77777777" w:rsidR="00435CF2" w:rsidRPr="004F328B" w:rsidRDefault="00435CF2" w:rsidP="00825395">
            <w:pPr>
              <w:rPr>
                <w:sz w:val="18"/>
                <w:szCs w:val="18"/>
                <w:lang w:val="en-GB"/>
              </w:rPr>
            </w:pPr>
            <w:r>
              <w:rPr>
                <w:sz w:val="18"/>
                <w:szCs w:val="18"/>
                <w:lang w:val="en-GB"/>
              </w:rPr>
              <w:t>L</w:t>
            </w:r>
          </w:p>
        </w:tc>
        <w:tc>
          <w:tcPr>
            <w:tcW w:w="1984" w:type="dxa"/>
          </w:tcPr>
          <w:p w14:paraId="7E865E7A" w14:textId="77777777" w:rsidR="00435CF2" w:rsidRPr="004F328B" w:rsidRDefault="00435CF2" w:rsidP="00825395">
            <w:pPr>
              <w:rPr>
                <w:sz w:val="18"/>
                <w:szCs w:val="18"/>
                <w:lang w:val="en-GB"/>
              </w:rPr>
            </w:pPr>
            <w:r>
              <w:rPr>
                <w:sz w:val="18"/>
                <w:szCs w:val="18"/>
                <w:lang w:val="en-GB"/>
              </w:rPr>
              <w:t>L</w:t>
            </w:r>
          </w:p>
        </w:tc>
      </w:tr>
      <w:tr w:rsidR="00435CF2" w:rsidRPr="004F328B" w14:paraId="0B5BDACA" w14:textId="77777777" w:rsidTr="00825395">
        <w:trPr>
          <w:trHeight w:val="354"/>
        </w:trPr>
        <w:tc>
          <w:tcPr>
            <w:tcW w:w="568" w:type="dxa"/>
          </w:tcPr>
          <w:p w14:paraId="467B835B" w14:textId="77777777" w:rsidR="00435CF2" w:rsidRPr="00DB04A3" w:rsidRDefault="00435CF2" w:rsidP="00825395">
            <w:pPr>
              <w:rPr>
                <w:sz w:val="18"/>
                <w:szCs w:val="18"/>
                <w:lang w:val="en-GB"/>
              </w:rPr>
            </w:pPr>
            <w:r>
              <w:rPr>
                <w:sz w:val="18"/>
                <w:szCs w:val="18"/>
                <w:lang w:val="en-GB"/>
              </w:rPr>
              <w:t>9</w:t>
            </w:r>
            <w:r w:rsidRPr="00DB04A3">
              <w:rPr>
                <w:sz w:val="18"/>
                <w:szCs w:val="18"/>
                <w:lang w:val="en-GB"/>
              </w:rPr>
              <w:t>.</w:t>
            </w:r>
          </w:p>
        </w:tc>
        <w:tc>
          <w:tcPr>
            <w:tcW w:w="1843" w:type="dxa"/>
          </w:tcPr>
          <w:p w14:paraId="0B6B15A0" w14:textId="06272513" w:rsidR="00435CF2" w:rsidRPr="004F328B" w:rsidRDefault="00435CF2" w:rsidP="00825395">
            <w:pPr>
              <w:rPr>
                <w:sz w:val="18"/>
                <w:szCs w:val="18"/>
                <w:lang w:val="en-GB"/>
              </w:rPr>
            </w:pPr>
            <w:proofErr w:type="spellStart"/>
            <w:r w:rsidRPr="004F328B">
              <w:rPr>
                <w:sz w:val="18"/>
                <w:szCs w:val="18"/>
                <w:lang w:val="en-GB"/>
              </w:rPr>
              <w:t>Hemminki</w:t>
            </w:r>
            <w:proofErr w:type="spellEnd"/>
            <w:r w:rsidRPr="004F328B">
              <w:rPr>
                <w:sz w:val="18"/>
                <w:szCs w:val="18"/>
                <w:lang w:val="en-GB"/>
              </w:rPr>
              <w:t xml:space="preserve"> et al. (2000)</w:t>
            </w:r>
            <w:r w:rsidR="00295995">
              <w:rPr>
                <w:sz w:val="18"/>
                <w:szCs w:val="18"/>
                <w:lang w:val="en-GB"/>
              </w:rPr>
              <w:t xml:space="preserve"> </w:t>
            </w:r>
            <w:r w:rsidR="004F1E77">
              <w:rPr>
                <w:sz w:val="18"/>
                <w:szCs w:val="18"/>
                <w:lang w:val="en-GB"/>
              </w:rPr>
              <w:fldChar w:fldCharType="begin"/>
            </w:r>
            <w:r w:rsidR="004F1E77">
              <w:rPr>
                <w:sz w:val="18"/>
                <w:szCs w:val="18"/>
                <w:lang w:val="en-GB"/>
              </w:rPr>
              <w:instrText xml:space="preserve"> ADDIN ZOTERO_ITEM CSL_CITATION {"citationID":"m1fT5L8n","properties":{"formattedCitation":"[9]","plainCitation":"[9]","noteIndex":0},"citationItems":[{"id":89,"uris":["http://zotero.org/users/local/CblV8433/items/STZVW45R"],"itemData":{"id":89,"type":"article-journal","abstract":"The Swedish Family-Cancer Database was used to analyze 9,426 second primary cancers in 117,830 subjects diagnosed with in situ and 17,556 subjects with invasive cervical cancer from the years 1958-1996. We calculated standardized incidence ratios (SIRs) from age- and period-specific rates for all women. SIRs were elevated after both in situ and invasive cervical cancer for cancers of the upper aerodigestive tract, anus, pancreas, lung, other female genitals, and urinary bladder. Anus and other female genitals, known targets of human papilloma virus, showed SIRs exceeding 3.0 and 10 or more within the year of diagnosis of cervical cancer, probably implying the effects of diagnostic intensity or transient faltering of host immunosurveillance. Among the remaining sites, smoking appeared to be the major cause, but for urinary bladder cancer it only explained one-half of the excess; human papilloma virus infection, possibly through immunosuppression, could account for the remaining excess. Although urinary bladder cancer showed a relatively small SIR compared with anal cancer, because it is more common, the number of attributable cases was about equal for the two sites. Invasive cervical cancer showed an SIR of 2.3 after in situ cancer. On follow-up, we also observed increased SIRs at many radiosensitive sites 10 or more years after diagnosis of invasive cervical cancer.","container-title":"Epidemiology (Cambridge, Mass.)","DOI":"10.1097/00001648-200007000-00016","ISSN":"1044-3983","issue":"4","journalAbbreviation":"Epidemiology","language":"eng","note":"PMID: 10874555","page":"457-461","source":"PubMed","title":"Second primary cancer after in situ and invasive cervical cancer","volume":"11","author":[{"family":"Hemminki","given":"K."},{"family":"Dong","given":"C."},{"family":"Vaittinen","given":"P."}],"issued":{"date-parts":[["2000",7]]}}}],"schema":"https://github.com/citation-style-language/schema/raw/master/csl-citation.json"} </w:instrText>
            </w:r>
            <w:r w:rsidR="004F1E77">
              <w:rPr>
                <w:sz w:val="18"/>
                <w:szCs w:val="18"/>
                <w:lang w:val="en-GB"/>
              </w:rPr>
              <w:fldChar w:fldCharType="separate"/>
            </w:r>
            <w:r w:rsidR="004F1E77">
              <w:rPr>
                <w:noProof/>
                <w:sz w:val="18"/>
                <w:szCs w:val="18"/>
                <w:lang w:val="en-GB"/>
              </w:rPr>
              <w:t>[9]</w:t>
            </w:r>
            <w:r w:rsidR="004F1E77">
              <w:rPr>
                <w:sz w:val="18"/>
                <w:szCs w:val="18"/>
                <w:lang w:val="en-GB"/>
              </w:rPr>
              <w:fldChar w:fldCharType="end"/>
            </w:r>
          </w:p>
        </w:tc>
        <w:tc>
          <w:tcPr>
            <w:tcW w:w="1134" w:type="dxa"/>
          </w:tcPr>
          <w:p w14:paraId="26294D41" w14:textId="77777777" w:rsidR="00435CF2" w:rsidRPr="004F328B" w:rsidRDefault="00435CF2" w:rsidP="00825395">
            <w:pPr>
              <w:rPr>
                <w:sz w:val="18"/>
                <w:szCs w:val="18"/>
                <w:lang w:val="en-GB"/>
              </w:rPr>
            </w:pPr>
            <w:r>
              <w:rPr>
                <w:sz w:val="18"/>
                <w:szCs w:val="18"/>
                <w:lang w:val="en-GB"/>
              </w:rPr>
              <w:t>L</w:t>
            </w:r>
          </w:p>
        </w:tc>
        <w:tc>
          <w:tcPr>
            <w:tcW w:w="1276" w:type="dxa"/>
          </w:tcPr>
          <w:p w14:paraId="19857DF3" w14:textId="77777777" w:rsidR="00435CF2" w:rsidRPr="004F328B" w:rsidRDefault="00435CF2" w:rsidP="00825395">
            <w:pPr>
              <w:rPr>
                <w:sz w:val="18"/>
                <w:szCs w:val="18"/>
                <w:lang w:val="en-GB"/>
              </w:rPr>
            </w:pPr>
            <w:r>
              <w:rPr>
                <w:sz w:val="18"/>
                <w:szCs w:val="18"/>
                <w:lang w:val="en-GB"/>
              </w:rPr>
              <w:t>L</w:t>
            </w:r>
          </w:p>
        </w:tc>
        <w:tc>
          <w:tcPr>
            <w:tcW w:w="1275" w:type="dxa"/>
          </w:tcPr>
          <w:p w14:paraId="313D83C2" w14:textId="77777777" w:rsidR="00435CF2" w:rsidRPr="004F328B" w:rsidRDefault="00435CF2" w:rsidP="00825395">
            <w:pPr>
              <w:rPr>
                <w:sz w:val="18"/>
                <w:szCs w:val="18"/>
                <w:lang w:val="en-GB"/>
              </w:rPr>
            </w:pPr>
            <w:r>
              <w:rPr>
                <w:sz w:val="18"/>
                <w:szCs w:val="18"/>
                <w:lang w:val="en-GB"/>
              </w:rPr>
              <w:t>L</w:t>
            </w:r>
          </w:p>
        </w:tc>
        <w:tc>
          <w:tcPr>
            <w:tcW w:w="1134" w:type="dxa"/>
          </w:tcPr>
          <w:p w14:paraId="1FF470F6" w14:textId="77777777" w:rsidR="00435CF2" w:rsidRPr="004F328B" w:rsidRDefault="00435CF2" w:rsidP="00825395">
            <w:pPr>
              <w:rPr>
                <w:sz w:val="18"/>
                <w:szCs w:val="18"/>
                <w:lang w:val="en-GB"/>
              </w:rPr>
            </w:pPr>
            <w:r>
              <w:rPr>
                <w:sz w:val="18"/>
                <w:szCs w:val="18"/>
                <w:lang w:val="en-GB"/>
              </w:rPr>
              <w:t>L</w:t>
            </w:r>
          </w:p>
        </w:tc>
        <w:tc>
          <w:tcPr>
            <w:tcW w:w="1134" w:type="dxa"/>
          </w:tcPr>
          <w:p w14:paraId="7F9E4BC7" w14:textId="77777777" w:rsidR="00435CF2" w:rsidRPr="004F328B" w:rsidRDefault="00435CF2" w:rsidP="00825395">
            <w:pPr>
              <w:rPr>
                <w:sz w:val="18"/>
                <w:szCs w:val="18"/>
                <w:lang w:val="en-GB"/>
              </w:rPr>
            </w:pPr>
            <w:r>
              <w:rPr>
                <w:sz w:val="18"/>
                <w:szCs w:val="18"/>
                <w:lang w:val="en-GB"/>
              </w:rPr>
              <w:t>L</w:t>
            </w:r>
          </w:p>
        </w:tc>
        <w:tc>
          <w:tcPr>
            <w:tcW w:w="1276" w:type="dxa"/>
          </w:tcPr>
          <w:p w14:paraId="76CE1D42" w14:textId="77777777" w:rsidR="00435CF2" w:rsidRPr="004F328B" w:rsidRDefault="00435CF2" w:rsidP="00825395">
            <w:pPr>
              <w:rPr>
                <w:sz w:val="18"/>
                <w:szCs w:val="18"/>
                <w:lang w:val="en-GB"/>
              </w:rPr>
            </w:pPr>
            <w:r>
              <w:rPr>
                <w:sz w:val="18"/>
                <w:szCs w:val="18"/>
                <w:lang w:val="en-GB"/>
              </w:rPr>
              <w:t>L</w:t>
            </w:r>
          </w:p>
        </w:tc>
        <w:tc>
          <w:tcPr>
            <w:tcW w:w="1276" w:type="dxa"/>
          </w:tcPr>
          <w:p w14:paraId="5C455281" w14:textId="77777777" w:rsidR="00435CF2" w:rsidRPr="004F328B" w:rsidRDefault="00435CF2" w:rsidP="00825395">
            <w:pPr>
              <w:rPr>
                <w:sz w:val="18"/>
                <w:szCs w:val="18"/>
                <w:lang w:val="en-GB"/>
              </w:rPr>
            </w:pPr>
            <w:r>
              <w:rPr>
                <w:sz w:val="18"/>
                <w:szCs w:val="18"/>
                <w:lang w:val="en-GB"/>
              </w:rPr>
              <w:t>L</w:t>
            </w:r>
          </w:p>
        </w:tc>
        <w:tc>
          <w:tcPr>
            <w:tcW w:w="1984" w:type="dxa"/>
          </w:tcPr>
          <w:p w14:paraId="6A7AFD7F" w14:textId="77777777" w:rsidR="00435CF2" w:rsidRPr="004F328B" w:rsidRDefault="00435CF2" w:rsidP="00825395">
            <w:pPr>
              <w:rPr>
                <w:sz w:val="18"/>
                <w:szCs w:val="18"/>
                <w:lang w:val="en-GB"/>
              </w:rPr>
            </w:pPr>
            <w:r>
              <w:rPr>
                <w:sz w:val="18"/>
                <w:szCs w:val="18"/>
                <w:lang w:val="en-GB"/>
              </w:rPr>
              <w:t>L</w:t>
            </w:r>
          </w:p>
        </w:tc>
      </w:tr>
      <w:tr w:rsidR="00435CF2" w:rsidRPr="004F328B" w14:paraId="6F9EA895" w14:textId="77777777" w:rsidTr="00951023">
        <w:trPr>
          <w:trHeight w:val="354"/>
        </w:trPr>
        <w:tc>
          <w:tcPr>
            <w:tcW w:w="568" w:type="dxa"/>
          </w:tcPr>
          <w:p w14:paraId="5DE52F34" w14:textId="77777777" w:rsidR="00435CF2" w:rsidRPr="00DB04A3" w:rsidRDefault="00435CF2" w:rsidP="00825395">
            <w:pPr>
              <w:rPr>
                <w:sz w:val="18"/>
                <w:szCs w:val="18"/>
                <w:lang w:val="en-GB"/>
              </w:rPr>
            </w:pPr>
            <w:r w:rsidRPr="00DB04A3">
              <w:rPr>
                <w:sz w:val="18"/>
                <w:szCs w:val="18"/>
                <w:lang w:val="en-GB"/>
              </w:rPr>
              <w:t>1</w:t>
            </w:r>
            <w:r>
              <w:rPr>
                <w:sz w:val="18"/>
                <w:szCs w:val="18"/>
                <w:lang w:val="en-GB"/>
              </w:rPr>
              <w:t>0</w:t>
            </w:r>
            <w:r w:rsidRPr="00DB04A3">
              <w:rPr>
                <w:sz w:val="18"/>
                <w:szCs w:val="18"/>
                <w:lang w:val="en-GB"/>
              </w:rPr>
              <w:t>.</w:t>
            </w:r>
          </w:p>
        </w:tc>
        <w:tc>
          <w:tcPr>
            <w:tcW w:w="1843" w:type="dxa"/>
          </w:tcPr>
          <w:p w14:paraId="3C50C418" w14:textId="40AA293A" w:rsidR="00435CF2" w:rsidRPr="004F328B" w:rsidRDefault="00435CF2" w:rsidP="00825395">
            <w:pPr>
              <w:rPr>
                <w:sz w:val="18"/>
                <w:szCs w:val="18"/>
                <w:lang w:val="en-GB"/>
              </w:rPr>
            </w:pPr>
            <w:proofErr w:type="spellStart"/>
            <w:r w:rsidRPr="004F328B">
              <w:rPr>
                <w:sz w:val="18"/>
                <w:szCs w:val="18"/>
                <w:lang w:val="en-GB"/>
              </w:rPr>
              <w:t>Heráclio</w:t>
            </w:r>
            <w:proofErr w:type="spellEnd"/>
            <w:r w:rsidRPr="004F328B">
              <w:rPr>
                <w:sz w:val="18"/>
                <w:szCs w:val="18"/>
                <w:lang w:val="en-GB"/>
              </w:rPr>
              <w:t xml:space="preserve"> et al. (2018)</w:t>
            </w:r>
            <w:r w:rsidR="00295995">
              <w:rPr>
                <w:sz w:val="18"/>
                <w:szCs w:val="18"/>
                <w:lang w:val="en-GB"/>
              </w:rPr>
              <w:t xml:space="preserve"> </w:t>
            </w:r>
            <w:r w:rsidR="004F1E77">
              <w:rPr>
                <w:sz w:val="18"/>
                <w:szCs w:val="18"/>
                <w:lang w:val="en-GB"/>
              </w:rPr>
              <w:fldChar w:fldCharType="begin"/>
            </w:r>
            <w:r w:rsidR="004F1E77">
              <w:rPr>
                <w:sz w:val="18"/>
                <w:szCs w:val="18"/>
                <w:lang w:val="en-GB"/>
              </w:rPr>
              <w:instrText xml:space="preserve"> ADDIN ZOTERO_ITEM CSL_CITATION {"citationID":"Y91pWJDV","properties":{"formattedCitation":"[10]","plainCitation":"[10]","noteIndex":0},"citationItems":[{"id":60,"uris":["http://zotero.org/users/local/CblV8433/items/BGLMMSD9"],"itemData":{"id":60,"type":"article-journal","abstract":"Objective: To evaluate the prevalence of anal intraepithelial lesions and associated risk factors in women with cervical neoplasia.","container-title":"International Journal of Gynecology &amp; Obstetrics","DOI":"10.1002/ijgo.12367","ISSN":"00207292","issue":"2","journalAbbreviation":"Int J Gynecol Obstet","language":"en","page":"233-240","source":"DOI.org (Crossref)","title":"Cross-sectional study of anal intraepithelial lesions in women with cervical neoplasia without HIV","volume":"140","author":[{"family":"Heráclio","given":"Sandra A."},{"family":"De Souza","given":"Alex S.R."},{"family":"De Souza","given":"Paulo R.E."},{"family":"Katz","given":"Leila"},{"family":"Lima Junior","given":"Sergio F."},{"family":"Amorim","given":"Melania M.R."}],"issued":{"date-parts":[["2018",2]]}}}],"schema":"https://github.com/citation-style-language/schema/raw/master/csl-citation.json"} </w:instrText>
            </w:r>
            <w:r w:rsidR="004F1E77">
              <w:rPr>
                <w:sz w:val="18"/>
                <w:szCs w:val="18"/>
                <w:lang w:val="en-GB"/>
              </w:rPr>
              <w:fldChar w:fldCharType="separate"/>
            </w:r>
            <w:r w:rsidR="004F1E77">
              <w:rPr>
                <w:noProof/>
                <w:sz w:val="18"/>
                <w:szCs w:val="18"/>
                <w:lang w:val="en-GB"/>
              </w:rPr>
              <w:t>[10]</w:t>
            </w:r>
            <w:r w:rsidR="004F1E77">
              <w:rPr>
                <w:sz w:val="18"/>
                <w:szCs w:val="18"/>
                <w:lang w:val="en-GB"/>
              </w:rPr>
              <w:fldChar w:fldCharType="end"/>
            </w:r>
          </w:p>
        </w:tc>
        <w:tc>
          <w:tcPr>
            <w:tcW w:w="1134" w:type="dxa"/>
          </w:tcPr>
          <w:p w14:paraId="017F9D45" w14:textId="77777777" w:rsidR="00435CF2" w:rsidRPr="004F328B" w:rsidRDefault="00435CF2" w:rsidP="00825395">
            <w:pPr>
              <w:rPr>
                <w:sz w:val="18"/>
                <w:szCs w:val="18"/>
                <w:lang w:val="en-GB"/>
              </w:rPr>
            </w:pPr>
            <w:r>
              <w:rPr>
                <w:sz w:val="18"/>
                <w:szCs w:val="18"/>
                <w:lang w:val="en-GB"/>
              </w:rPr>
              <w:t>L</w:t>
            </w:r>
          </w:p>
        </w:tc>
        <w:tc>
          <w:tcPr>
            <w:tcW w:w="1276" w:type="dxa"/>
          </w:tcPr>
          <w:p w14:paraId="17C11DA9" w14:textId="77777777" w:rsidR="00435CF2" w:rsidRPr="004F328B" w:rsidRDefault="00435CF2" w:rsidP="00825395">
            <w:pPr>
              <w:rPr>
                <w:sz w:val="18"/>
                <w:szCs w:val="18"/>
                <w:lang w:val="en-GB"/>
              </w:rPr>
            </w:pPr>
            <w:r>
              <w:rPr>
                <w:sz w:val="18"/>
                <w:szCs w:val="18"/>
                <w:lang w:val="en-GB"/>
              </w:rPr>
              <w:t>L</w:t>
            </w:r>
          </w:p>
        </w:tc>
        <w:tc>
          <w:tcPr>
            <w:tcW w:w="1275" w:type="dxa"/>
          </w:tcPr>
          <w:p w14:paraId="669B9BB5" w14:textId="77777777" w:rsidR="00435CF2" w:rsidRPr="004F328B" w:rsidRDefault="00435CF2" w:rsidP="00825395">
            <w:pPr>
              <w:rPr>
                <w:sz w:val="18"/>
                <w:szCs w:val="18"/>
                <w:lang w:val="en-GB"/>
              </w:rPr>
            </w:pPr>
            <w:r>
              <w:rPr>
                <w:sz w:val="18"/>
                <w:szCs w:val="18"/>
                <w:lang w:val="en-GB"/>
              </w:rPr>
              <w:t>L</w:t>
            </w:r>
          </w:p>
        </w:tc>
        <w:tc>
          <w:tcPr>
            <w:tcW w:w="1134" w:type="dxa"/>
          </w:tcPr>
          <w:p w14:paraId="7AB166C0" w14:textId="77777777" w:rsidR="00435CF2" w:rsidRPr="004F328B" w:rsidRDefault="00435CF2" w:rsidP="00825395">
            <w:pPr>
              <w:rPr>
                <w:sz w:val="18"/>
                <w:szCs w:val="18"/>
                <w:lang w:val="en-GB"/>
              </w:rPr>
            </w:pPr>
            <w:r>
              <w:rPr>
                <w:sz w:val="18"/>
                <w:szCs w:val="18"/>
                <w:lang w:val="en-GB"/>
              </w:rPr>
              <w:t>L</w:t>
            </w:r>
          </w:p>
        </w:tc>
        <w:tc>
          <w:tcPr>
            <w:tcW w:w="1134" w:type="dxa"/>
            <w:shd w:val="clear" w:color="auto" w:fill="auto"/>
          </w:tcPr>
          <w:p w14:paraId="02BFBCCE" w14:textId="672C9E73" w:rsidR="00435CF2" w:rsidRPr="004F328B" w:rsidRDefault="00951023" w:rsidP="00825395">
            <w:pPr>
              <w:rPr>
                <w:sz w:val="18"/>
                <w:szCs w:val="18"/>
                <w:lang w:val="en-GB"/>
              </w:rPr>
            </w:pPr>
            <w:r>
              <w:rPr>
                <w:sz w:val="18"/>
                <w:szCs w:val="18"/>
                <w:lang w:val="en-GB"/>
              </w:rPr>
              <w:t>L</w:t>
            </w:r>
          </w:p>
        </w:tc>
        <w:tc>
          <w:tcPr>
            <w:tcW w:w="1276" w:type="dxa"/>
            <w:shd w:val="clear" w:color="auto" w:fill="auto"/>
          </w:tcPr>
          <w:p w14:paraId="10BAD16D" w14:textId="42177FF9" w:rsidR="00435CF2" w:rsidRPr="004F328B" w:rsidRDefault="00951023" w:rsidP="00825395">
            <w:pPr>
              <w:rPr>
                <w:sz w:val="18"/>
                <w:szCs w:val="18"/>
                <w:lang w:val="en-GB"/>
              </w:rPr>
            </w:pPr>
            <w:r>
              <w:rPr>
                <w:sz w:val="18"/>
                <w:szCs w:val="18"/>
                <w:lang w:val="en-GB"/>
              </w:rPr>
              <w:t>L</w:t>
            </w:r>
          </w:p>
        </w:tc>
        <w:tc>
          <w:tcPr>
            <w:tcW w:w="1276" w:type="dxa"/>
            <w:shd w:val="clear" w:color="auto" w:fill="auto"/>
          </w:tcPr>
          <w:p w14:paraId="6A010AFA" w14:textId="77777777" w:rsidR="00435CF2" w:rsidRPr="004F328B" w:rsidRDefault="00435CF2" w:rsidP="00825395">
            <w:pPr>
              <w:rPr>
                <w:sz w:val="18"/>
                <w:szCs w:val="18"/>
                <w:lang w:val="en-GB"/>
              </w:rPr>
            </w:pPr>
            <w:r>
              <w:rPr>
                <w:sz w:val="18"/>
                <w:szCs w:val="18"/>
                <w:lang w:val="en-GB"/>
              </w:rPr>
              <w:t>L</w:t>
            </w:r>
          </w:p>
        </w:tc>
        <w:tc>
          <w:tcPr>
            <w:tcW w:w="1984" w:type="dxa"/>
            <w:shd w:val="clear" w:color="auto" w:fill="auto"/>
          </w:tcPr>
          <w:p w14:paraId="450F1B7F" w14:textId="6E5E3BC9" w:rsidR="00435CF2" w:rsidRPr="004F328B" w:rsidRDefault="00951023" w:rsidP="00825395">
            <w:pPr>
              <w:rPr>
                <w:sz w:val="18"/>
                <w:szCs w:val="18"/>
                <w:lang w:val="en-GB"/>
              </w:rPr>
            </w:pPr>
            <w:r>
              <w:rPr>
                <w:sz w:val="18"/>
                <w:szCs w:val="18"/>
                <w:lang w:val="en-GB"/>
              </w:rPr>
              <w:t>L</w:t>
            </w:r>
          </w:p>
        </w:tc>
      </w:tr>
      <w:tr w:rsidR="00435CF2" w:rsidRPr="004F328B" w14:paraId="4E195AE6" w14:textId="77777777" w:rsidTr="00951023">
        <w:trPr>
          <w:trHeight w:val="354"/>
        </w:trPr>
        <w:tc>
          <w:tcPr>
            <w:tcW w:w="568" w:type="dxa"/>
          </w:tcPr>
          <w:p w14:paraId="34B646FA" w14:textId="77777777" w:rsidR="00435CF2" w:rsidRPr="00DB04A3" w:rsidRDefault="00435CF2" w:rsidP="00825395">
            <w:pPr>
              <w:rPr>
                <w:sz w:val="18"/>
                <w:szCs w:val="18"/>
                <w:lang w:val="en-GB"/>
              </w:rPr>
            </w:pPr>
            <w:r w:rsidRPr="00DB04A3">
              <w:rPr>
                <w:sz w:val="18"/>
                <w:szCs w:val="18"/>
                <w:lang w:val="en-GB"/>
              </w:rPr>
              <w:t>1</w:t>
            </w:r>
            <w:r>
              <w:rPr>
                <w:sz w:val="18"/>
                <w:szCs w:val="18"/>
                <w:lang w:val="en-GB"/>
              </w:rPr>
              <w:t>1</w:t>
            </w:r>
            <w:r w:rsidRPr="00DB04A3">
              <w:rPr>
                <w:sz w:val="18"/>
                <w:szCs w:val="18"/>
                <w:lang w:val="en-GB"/>
              </w:rPr>
              <w:t>.</w:t>
            </w:r>
          </w:p>
        </w:tc>
        <w:tc>
          <w:tcPr>
            <w:tcW w:w="1843" w:type="dxa"/>
          </w:tcPr>
          <w:p w14:paraId="4FCDBF8F" w14:textId="3AD269A2" w:rsidR="00435CF2" w:rsidRPr="004F328B" w:rsidRDefault="00435CF2" w:rsidP="00825395">
            <w:pPr>
              <w:rPr>
                <w:sz w:val="18"/>
                <w:szCs w:val="18"/>
                <w:lang w:val="en-GB"/>
              </w:rPr>
            </w:pPr>
            <w:r w:rsidRPr="004F328B">
              <w:rPr>
                <w:sz w:val="18"/>
                <w:szCs w:val="18"/>
                <w:lang w:val="en-GB"/>
              </w:rPr>
              <w:t>Jakobsson et al. (2011)</w:t>
            </w:r>
            <w:r w:rsidR="00295995">
              <w:rPr>
                <w:sz w:val="18"/>
                <w:szCs w:val="18"/>
                <w:lang w:val="en-GB"/>
              </w:rPr>
              <w:t xml:space="preserve"> </w:t>
            </w:r>
            <w:r w:rsidR="004F1E77">
              <w:rPr>
                <w:sz w:val="18"/>
                <w:szCs w:val="18"/>
                <w:lang w:val="en-GB"/>
              </w:rPr>
              <w:fldChar w:fldCharType="begin"/>
            </w:r>
            <w:r w:rsidR="004F1E77">
              <w:rPr>
                <w:sz w:val="18"/>
                <w:szCs w:val="18"/>
                <w:lang w:val="en-GB"/>
              </w:rPr>
              <w:instrText xml:space="preserve"> ADDIN ZOTERO_ITEM CSL_CITATION {"citationID":"QD24t4MA","properties":{"formattedCitation":"[11]","plainCitation":"[11]","noteIndex":0},"citationItems":[{"id":65,"uris":["http://zotero.org/users/local/CblV8433/items/TGYFPV4Z"],"itemData":{"id":65,"type":"article-journal","container-title":"International Journal of Cancer","DOI":"10.1002/ijc.25428","ISSN":"0020-7136, 1097-0215","issue":"5","journalAbbreviation":"Int. J. Cancer","language":"en","page":"1187-1191","source":"DOI.org (Crossref)","title":"Cancer incidence among Finnish women with surgical treatment for cervical intraepithelial neoplasia, 1987–2006","volume":"128","author":[{"family":"Jakobsson","given":"Maija"},{"family":"Pukkala","given":"Eero"},{"family":"Paavonen","given":"Jorma"},{"family":"Tapper","given":"Anna‐Maija"},{"family":"Gissler","given":"Mika"}],"issued":{"date-parts":[["2011",3]]}}}],"schema":"https://github.com/citation-style-language/schema/raw/master/csl-citation.json"} </w:instrText>
            </w:r>
            <w:r w:rsidR="004F1E77">
              <w:rPr>
                <w:sz w:val="18"/>
                <w:szCs w:val="18"/>
                <w:lang w:val="en-GB"/>
              </w:rPr>
              <w:fldChar w:fldCharType="separate"/>
            </w:r>
            <w:r w:rsidR="004F1E77">
              <w:rPr>
                <w:noProof/>
                <w:sz w:val="18"/>
                <w:szCs w:val="18"/>
                <w:lang w:val="en-GB"/>
              </w:rPr>
              <w:t>[11]</w:t>
            </w:r>
            <w:r w:rsidR="004F1E77">
              <w:rPr>
                <w:sz w:val="18"/>
                <w:szCs w:val="18"/>
                <w:lang w:val="en-GB"/>
              </w:rPr>
              <w:fldChar w:fldCharType="end"/>
            </w:r>
          </w:p>
        </w:tc>
        <w:tc>
          <w:tcPr>
            <w:tcW w:w="1134" w:type="dxa"/>
          </w:tcPr>
          <w:p w14:paraId="233AA984" w14:textId="77777777" w:rsidR="00435CF2" w:rsidRPr="004F328B" w:rsidRDefault="00435CF2" w:rsidP="00825395">
            <w:pPr>
              <w:rPr>
                <w:sz w:val="18"/>
                <w:szCs w:val="18"/>
                <w:lang w:val="en-GB"/>
              </w:rPr>
            </w:pPr>
            <w:r>
              <w:rPr>
                <w:sz w:val="18"/>
                <w:szCs w:val="18"/>
                <w:lang w:val="en-GB"/>
              </w:rPr>
              <w:t>L</w:t>
            </w:r>
          </w:p>
        </w:tc>
        <w:tc>
          <w:tcPr>
            <w:tcW w:w="1276" w:type="dxa"/>
          </w:tcPr>
          <w:p w14:paraId="1C85FB41" w14:textId="77777777" w:rsidR="00435CF2" w:rsidRPr="004F328B" w:rsidRDefault="00435CF2" w:rsidP="00825395">
            <w:pPr>
              <w:rPr>
                <w:sz w:val="18"/>
                <w:szCs w:val="18"/>
                <w:lang w:val="en-GB"/>
              </w:rPr>
            </w:pPr>
            <w:r>
              <w:rPr>
                <w:sz w:val="18"/>
                <w:szCs w:val="18"/>
                <w:lang w:val="en-GB"/>
              </w:rPr>
              <w:t>L</w:t>
            </w:r>
          </w:p>
        </w:tc>
        <w:tc>
          <w:tcPr>
            <w:tcW w:w="1275" w:type="dxa"/>
          </w:tcPr>
          <w:p w14:paraId="5B04BF55" w14:textId="77777777" w:rsidR="00435CF2" w:rsidRPr="004F328B" w:rsidRDefault="00435CF2" w:rsidP="00825395">
            <w:pPr>
              <w:rPr>
                <w:sz w:val="18"/>
                <w:szCs w:val="18"/>
                <w:lang w:val="en-GB"/>
              </w:rPr>
            </w:pPr>
            <w:r>
              <w:rPr>
                <w:sz w:val="18"/>
                <w:szCs w:val="18"/>
                <w:lang w:val="en-GB"/>
              </w:rPr>
              <w:t>L</w:t>
            </w:r>
          </w:p>
        </w:tc>
        <w:tc>
          <w:tcPr>
            <w:tcW w:w="1134" w:type="dxa"/>
          </w:tcPr>
          <w:p w14:paraId="602D0E19" w14:textId="77777777" w:rsidR="00435CF2" w:rsidRPr="004F328B" w:rsidRDefault="00435CF2" w:rsidP="00825395">
            <w:pPr>
              <w:rPr>
                <w:sz w:val="18"/>
                <w:szCs w:val="18"/>
                <w:lang w:val="en-GB"/>
              </w:rPr>
            </w:pPr>
            <w:r>
              <w:rPr>
                <w:sz w:val="18"/>
                <w:szCs w:val="18"/>
                <w:lang w:val="en-GB"/>
              </w:rPr>
              <w:t>L</w:t>
            </w:r>
          </w:p>
        </w:tc>
        <w:tc>
          <w:tcPr>
            <w:tcW w:w="1134" w:type="dxa"/>
            <w:shd w:val="clear" w:color="auto" w:fill="FF7A57"/>
          </w:tcPr>
          <w:p w14:paraId="3B82B657" w14:textId="77777777" w:rsidR="00435CF2" w:rsidRPr="004F328B" w:rsidRDefault="00435CF2" w:rsidP="00825395">
            <w:pPr>
              <w:rPr>
                <w:sz w:val="18"/>
                <w:szCs w:val="18"/>
                <w:lang w:val="en-GB"/>
              </w:rPr>
            </w:pPr>
            <w:r>
              <w:rPr>
                <w:sz w:val="18"/>
                <w:szCs w:val="18"/>
                <w:lang w:val="en-GB"/>
              </w:rPr>
              <w:t>H</w:t>
            </w:r>
          </w:p>
        </w:tc>
        <w:tc>
          <w:tcPr>
            <w:tcW w:w="1276" w:type="dxa"/>
          </w:tcPr>
          <w:p w14:paraId="2099F89B" w14:textId="77777777" w:rsidR="00435CF2" w:rsidRPr="004F328B" w:rsidRDefault="00435CF2" w:rsidP="00825395">
            <w:pPr>
              <w:rPr>
                <w:sz w:val="18"/>
                <w:szCs w:val="18"/>
                <w:lang w:val="en-GB"/>
              </w:rPr>
            </w:pPr>
            <w:r>
              <w:rPr>
                <w:sz w:val="18"/>
                <w:szCs w:val="18"/>
                <w:lang w:val="en-GB"/>
              </w:rPr>
              <w:t>L</w:t>
            </w:r>
          </w:p>
        </w:tc>
        <w:tc>
          <w:tcPr>
            <w:tcW w:w="1276" w:type="dxa"/>
          </w:tcPr>
          <w:p w14:paraId="4DE31359" w14:textId="77777777" w:rsidR="00435CF2" w:rsidRPr="004F328B" w:rsidRDefault="00435CF2" w:rsidP="00825395">
            <w:pPr>
              <w:rPr>
                <w:sz w:val="18"/>
                <w:szCs w:val="18"/>
                <w:lang w:val="en-GB"/>
              </w:rPr>
            </w:pPr>
            <w:r>
              <w:rPr>
                <w:sz w:val="18"/>
                <w:szCs w:val="18"/>
                <w:lang w:val="en-GB"/>
              </w:rPr>
              <w:t>L</w:t>
            </w:r>
          </w:p>
        </w:tc>
        <w:tc>
          <w:tcPr>
            <w:tcW w:w="1984" w:type="dxa"/>
            <w:shd w:val="clear" w:color="auto" w:fill="EE7754"/>
          </w:tcPr>
          <w:p w14:paraId="1B6A0A49" w14:textId="77777777" w:rsidR="00435CF2" w:rsidRPr="004F328B" w:rsidRDefault="00435CF2" w:rsidP="00825395">
            <w:pPr>
              <w:rPr>
                <w:sz w:val="18"/>
                <w:szCs w:val="18"/>
                <w:lang w:val="en-GB"/>
              </w:rPr>
            </w:pPr>
            <w:r>
              <w:rPr>
                <w:sz w:val="18"/>
                <w:szCs w:val="18"/>
                <w:lang w:val="en-GB"/>
              </w:rPr>
              <w:t>H</w:t>
            </w:r>
          </w:p>
        </w:tc>
      </w:tr>
      <w:tr w:rsidR="00435CF2" w:rsidRPr="004F328B" w14:paraId="5EC267FF" w14:textId="77777777" w:rsidTr="00E5646A">
        <w:trPr>
          <w:trHeight w:val="354"/>
        </w:trPr>
        <w:tc>
          <w:tcPr>
            <w:tcW w:w="568" w:type="dxa"/>
          </w:tcPr>
          <w:p w14:paraId="3DC1153A" w14:textId="77777777" w:rsidR="00435CF2" w:rsidRPr="00DB04A3" w:rsidRDefault="00435CF2" w:rsidP="00825395">
            <w:pPr>
              <w:rPr>
                <w:sz w:val="18"/>
                <w:szCs w:val="18"/>
                <w:lang w:val="en-GB"/>
              </w:rPr>
            </w:pPr>
            <w:r>
              <w:rPr>
                <w:sz w:val="18"/>
                <w:szCs w:val="18"/>
                <w:lang w:val="en-GB"/>
              </w:rPr>
              <w:t>12</w:t>
            </w:r>
            <w:r w:rsidRPr="00DB04A3">
              <w:rPr>
                <w:sz w:val="18"/>
                <w:szCs w:val="18"/>
                <w:lang w:val="en-GB"/>
              </w:rPr>
              <w:t>.</w:t>
            </w:r>
          </w:p>
        </w:tc>
        <w:tc>
          <w:tcPr>
            <w:tcW w:w="1843" w:type="dxa"/>
          </w:tcPr>
          <w:p w14:paraId="33582C96" w14:textId="09705ADB" w:rsidR="00435CF2" w:rsidRPr="004F328B" w:rsidRDefault="00435CF2" w:rsidP="00825395">
            <w:pPr>
              <w:rPr>
                <w:sz w:val="18"/>
                <w:szCs w:val="18"/>
                <w:lang w:val="en-GB"/>
              </w:rPr>
            </w:pPr>
            <w:r w:rsidRPr="004F328B">
              <w:rPr>
                <w:sz w:val="18"/>
                <w:szCs w:val="18"/>
                <w:lang w:val="en-GB"/>
              </w:rPr>
              <w:t>Jiménez et al. (2009)</w:t>
            </w:r>
            <w:r w:rsidR="00295995">
              <w:rPr>
                <w:sz w:val="18"/>
                <w:szCs w:val="18"/>
                <w:lang w:val="en-GB"/>
              </w:rPr>
              <w:t xml:space="preserve"> </w:t>
            </w:r>
            <w:r w:rsidR="004F1E77">
              <w:rPr>
                <w:sz w:val="18"/>
                <w:szCs w:val="18"/>
                <w:lang w:val="en-GB"/>
              </w:rPr>
              <w:fldChar w:fldCharType="begin"/>
            </w:r>
            <w:r w:rsidR="00345EF5">
              <w:rPr>
                <w:sz w:val="18"/>
                <w:szCs w:val="18"/>
                <w:lang w:val="en-GB"/>
              </w:rPr>
              <w:instrText xml:space="preserve"> ADDIN ZOTERO_ITEM CSL_CITATION {"citationID":"heN4FHlO","properties":{"formattedCitation":"[12]","plainCitation":"[12]","noteIndex":0},"citationItems":[{"id":66,"uris":["http://zotero.org/users/local/CblV8433/items/22MIP2JU"],"itemData":{"id":66,"type":"article-journal","abstract":"Objective. The oncogenic HPV subtypes responsible for gynecologic malignancies have also been implicated in the development of squamous cell cancer of the anus (SCAC). SCAC is more common in women, typically presenting at an older age than gynecologic cancers. The aim of this study was determine whether women diagnosed with anal cancer are more likely to have a history of HPV-related gynecological cancer as compared to a matched control group.\nMethods. We performed a population-based, case-control study at the Institute for Clinical Evaluative Sciences (ICES) which houses the administrative databases for all residents of the province of Ontario, Canada. All women diagnosed with SCAC between 1992 and 2005, identiﬁed using ICD-9 codes (154.2, 154.3, 154.8) for anatomic site and ICD-O codes (8070–8075, 8120, 8123, 8124) for histologic subtype, were included as cases. Up to 5 female controls, matched for age, socioeconomic status, health region and number of years enrolled in the provincial health plan, were selected for each case. The exposure of interest was previous HPV-related gynecologic cancer, speciﬁcally cervical cancer, vulvar cancer and vaginal cancer. Conditional logistic regression was performed to assess the relationship between this exposure and SCAC.\nResults. A total of 674 women with SCAC were identiﬁed whose median age was 61. Amongst the cases, there were 7 cervical, 3 vulvar and 1 vaginal cancers compared with 5 cervical, 0 vulvar and vaginal cancers in the 3264 controls. Previous HPV-related gynecological cancer (cervical, vaginal or vulvar cancer) was signiﬁcantly associated with SCAC (OR: 10.5, 95% C.I.: 3.6 to 30.3). The median time between the diagnosis of anal cancer and previous cervical cancer was 20 years.\nConclusions. Previous HPV-related gynecological cancers are strongly associated with anal cancer and may occur decades before the anal cancer.","container-title":"Gynecologic Oncology","DOI":"10.1016/j.ygyno.2009.05.006","ISSN":"00908258","issue":"3","journalAbbreviation":"Gynecologic Oncology","language":"en","page":"395-398","source":"DOI.org (Crossref)","title":"Presumed previous human papillomavirus (HPV) related gynecological cancer in women diagnosed with anal cancer in the province of Ontario","volume":"114","author":[{"family":"Jiménez","given":"Waldo"},{"family":"Paszat","given":"Lawrence"},{"family":"Kupets","given":"Rachel"},{"family":"Wilton","given":"Andrew"},{"family":"Tinmouth","given":"Jill"}],"issued":{"date-parts":[["2009",9]]}}}],"schema":"https://github.com/citation-style-language/schema/raw/master/csl-citation.json"} </w:instrText>
            </w:r>
            <w:r w:rsidR="004F1E77">
              <w:rPr>
                <w:sz w:val="18"/>
                <w:szCs w:val="18"/>
                <w:lang w:val="en-GB"/>
              </w:rPr>
              <w:fldChar w:fldCharType="separate"/>
            </w:r>
            <w:r w:rsidR="00345EF5">
              <w:rPr>
                <w:noProof/>
                <w:sz w:val="18"/>
                <w:szCs w:val="18"/>
                <w:lang w:val="en-GB"/>
              </w:rPr>
              <w:t>[12]</w:t>
            </w:r>
            <w:r w:rsidR="004F1E77">
              <w:rPr>
                <w:sz w:val="18"/>
                <w:szCs w:val="18"/>
                <w:lang w:val="en-GB"/>
              </w:rPr>
              <w:fldChar w:fldCharType="end"/>
            </w:r>
          </w:p>
        </w:tc>
        <w:tc>
          <w:tcPr>
            <w:tcW w:w="1134" w:type="dxa"/>
          </w:tcPr>
          <w:p w14:paraId="58B33A27" w14:textId="77777777" w:rsidR="00435CF2" w:rsidRPr="004F328B" w:rsidRDefault="00435CF2" w:rsidP="00825395">
            <w:pPr>
              <w:rPr>
                <w:sz w:val="18"/>
                <w:szCs w:val="18"/>
                <w:lang w:val="en-GB"/>
              </w:rPr>
            </w:pPr>
            <w:r>
              <w:rPr>
                <w:sz w:val="18"/>
                <w:szCs w:val="18"/>
                <w:lang w:val="en-GB"/>
              </w:rPr>
              <w:t>L</w:t>
            </w:r>
          </w:p>
        </w:tc>
        <w:tc>
          <w:tcPr>
            <w:tcW w:w="1276" w:type="dxa"/>
          </w:tcPr>
          <w:p w14:paraId="6ECAC4D4" w14:textId="77777777" w:rsidR="00435CF2" w:rsidRPr="004F328B" w:rsidRDefault="00435CF2" w:rsidP="00825395">
            <w:pPr>
              <w:rPr>
                <w:sz w:val="18"/>
                <w:szCs w:val="18"/>
                <w:lang w:val="en-GB"/>
              </w:rPr>
            </w:pPr>
            <w:r>
              <w:rPr>
                <w:sz w:val="18"/>
                <w:szCs w:val="18"/>
                <w:lang w:val="en-GB"/>
              </w:rPr>
              <w:t>L</w:t>
            </w:r>
          </w:p>
        </w:tc>
        <w:tc>
          <w:tcPr>
            <w:tcW w:w="1275" w:type="dxa"/>
          </w:tcPr>
          <w:p w14:paraId="73EDF0F9" w14:textId="77777777" w:rsidR="00435CF2" w:rsidRPr="004F328B" w:rsidRDefault="00435CF2" w:rsidP="00825395">
            <w:pPr>
              <w:rPr>
                <w:sz w:val="18"/>
                <w:szCs w:val="18"/>
                <w:lang w:val="en-GB"/>
              </w:rPr>
            </w:pPr>
            <w:r>
              <w:rPr>
                <w:sz w:val="18"/>
                <w:szCs w:val="18"/>
                <w:lang w:val="en-GB"/>
              </w:rPr>
              <w:t>L</w:t>
            </w:r>
          </w:p>
        </w:tc>
        <w:tc>
          <w:tcPr>
            <w:tcW w:w="1134" w:type="dxa"/>
          </w:tcPr>
          <w:p w14:paraId="0A427952" w14:textId="77777777" w:rsidR="00435CF2" w:rsidRPr="004F328B" w:rsidRDefault="00435CF2" w:rsidP="00825395">
            <w:pPr>
              <w:rPr>
                <w:sz w:val="18"/>
                <w:szCs w:val="18"/>
                <w:lang w:val="en-GB"/>
              </w:rPr>
            </w:pPr>
            <w:r>
              <w:rPr>
                <w:sz w:val="18"/>
                <w:szCs w:val="18"/>
                <w:lang w:val="en-GB"/>
              </w:rPr>
              <w:t>L</w:t>
            </w:r>
          </w:p>
        </w:tc>
        <w:tc>
          <w:tcPr>
            <w:tcW w:w="1134" w:type="dxa"/>
          </w:tcPr>
          <w:p w14:paraId="3334F1D1" w14:textId="77777777" w:rsidR="00435CF2" w:rsidRPr="004F328B" w:rsidRDefault="00435CF2" w:rsidP="00825395">
            <w:pPr>
              <w:rPr>
                <w:sz w:val="18"/>
                <w:szCs w:val="18"/>
                <w:lang w:val="en-GB"/>
              </w:rPr>
            </w:pPr>
            <w:r>
              <w:rPr>
                <w:sz w:val="18"/>
                <w:szCs w:val="18"/>
                <w:lang w:val="en-GB"/>
              </w:rPr>
              <w:t>L</w:t>
            </w:r>
          </w:p>
        </w:tc>
        <w:tc>
          <w:tcPr>
            <w:tcW w:w="1276" w:type="dxa"/>
            <w:shd w:val="clear" w:color="auto" w:fill="EE7754"/>
          </w:tcPr>
          <w:p w14:paraId="112DAD27" w14:textId="695D80BE" w:rsidR="00435CF2" w:rsidRPr="004F328B" w:rsidRDefault="00E5646A" w:rsidP="00825395">
            <w:pPr>
              <w:rPr>
                <w:sz w:val="18"/>
                <w:szCs w:val="18"/>
                <w:lang w:val="en-GB"/>
              </w:rPr>
            </w:pPr>
            <w:r>
              <w:rPr>
                <w:sz w:val="18"/>
                <w:szCs w:val="18"/>
                <w:lang w:val="en-GB"/>
              </w:rPr>
              <w:t>H</w:t>
            </w:r>
          </w:p>
        </w:tc>
        <w:tc>
          <w:tcPr>
            <w:tcW w:w="1276" w:type="dxa"/>
          </w:tcPr>
          <w:p w14:paraId="20587CEC" w14:textId="77777777" w:rsidR="00435CF2" w:rsidRPr="004F328B" w:rsidRDefault="00435CF2" w:rsidP="00825395">
            <w:pPr>
              <w:rPr>
                <w:sz w:val="18"/>
                <w:szCs w:val="18"/>
                <w:lang w:val="en-GB"/>
              </w:rPr>
            </w:pPr>
            <w:r>
              <w:rPr>
                <w:sz w:val="18"/>
                <w:szCs w:val="18"/>
                <w:lang w:val="en-GB"/>
              </w:rPr>
              <w:t>L</w:t>
            </w:r>
          </w:p>
        </w:tc>
        <w:tc>
          <w:tcPr>
            <w:tcW w:w="1984" w:type="dxa"/>
            <w:shd w:val="clear" w:color="auto" w:fill="EE7754"/>
          </w:tcPr>
          <w:p w14:paraId="7DBD35B5" w14:textId="4781B7F8" w:rsidR="00435CF2" w:rsidRPr="004F328B" w:rsidRDefault="00951023" w:rsidP="00825395">
            <w:pPr>
              <w:rPr>
                <w:sz w:val="18"/>
                <w:szCs w:val="18"/>
                <w:lang w:val="en-GB"/>
              </w:rPr>
            </w:pPr>
            <w:r>
              <w:rPr>
                <w:sz w:val="18"/>
                <w:szCs w:val="18"/>
                <w:lang w:val="en-GB"/>
              </w:rPr>
              <w:t>H</w:t>
            </w:r>
          </w:p>
        </w:tc>
      </w:tr>
      <w:tr w:rsidR="00435CF2" w:rsidRPr="004F328B" w14:paraId="44EABACB" w14:textId="77777777" w:rsidTr="004F7BE5">
        <w:trPr>
          <w:trHeight w:val="354"/>
        </w:trPr>
        <w:tc>
          <w:tcPr>
            <w:tcW w:w="568" w:type="dxa"/>
          </w:tcPr>
          <w:p w14:paraId="631C9C98" w14:textId="77777777" w:rsidR="00435CF2" w:rsidRPr="00DB04A3" w:rsidRDefault="00435CF2" w:rsidP="00825395">
            <w:pPr>
              <w:rPr>
                <w:sz w:val="18"/>
                <w:szCs w:val="18"/>
                <w:lang w:val="en-GB"/>
              </w:rPr>
            </w:pPr>
            <w:r>
              <w:rPr>
                <w:sz w:val="18"/>
                <w:szCs w:val="18"/>
                <w:lang w:val="en-GB"/>
              </w:rPr>
              <w:t>13</w:t>
            </w:r>
            <w:r w:rsidRPr="00DB04A3">
              <w:rPr>
                <w:sz w:val="18"/>
                <w:szCs w:val="18"/>
                <w:lang w:val="en-GB"/>
              </w:rPr>
              <w:t>.</w:t>
            </w:r>
          </w:p>
        </w:tc>
        <w:tc>
          <w:tcPr>
            <w:tcW w:w="1843" w:type="dxa"/>
          </w:tcPr>
          <w:p w14:paraId="5BB04FD4" w14:textId="68CFE9A9" w:rsidR="00435CF2" w:rsidRPr="004F328B" w:rsidRDefault="00435CF2" w:rsidP="00825395">
            <w:pPr>
              <w:rPr>
                <w:sz w:val="18"/>
                <w:szCs w:val="18"/>
                <w:lang w:val="en-GB"/>
              </w:rPr>
            </w:pPr>
            <w:proofErr w:type="spellStart"/>
            <w:r w:rsidRPr="004F328B">
              <w:rPr>
                <w:sz w:val="18"/>
                <w:szCs w:val="18"/>
                <w:lang w:val="en-GB"/>
              </w:rPr>
              <w:t>Kalliala</w:t>
            </w:r>
            <w:proofErr w:type="spellEnd"/>
            <w:r w:rsidRPr="004F328B">
              <w:rPr>
                <w:sz w:val="18"/>
                <w:szCs w:val="18"/>
                <w:lang w:val="en-GB"/>
              </w:rPr>
              <w:t xml:space="preserve"> et al. (2005)</w:t>
            </w:r>
            <w:r w:rsidR="009D2D38">
              <w:rPr>
                <w:sz w:val="18"/>
                <w:szCs w:val="18"/>
                <w:lang w:val="en-GB"/>
              </w:rPr>
              <w:t xml:space="preserve"> </w:t>
            </w:r>
            <w:r w:rsidR="00345EF5">
              <w:rPr>
                <w:sz w:val="18"/>
                <w:szCs w:val="18"/>
                <w:lang w:val="en-GB"/>
              </w:rPr>
              <w:fldChar w:fldCharType="begin"/>
            </w:r>
            <w:r w:rsidR="00345EF5">
              <w:rPr>
                <w:sz w:val="18"/>
                <w:szCs w:val="18"/>
                <w:lang w:val="en-GB"/>
              </w:rPr>
              <w:instrText xml:space="preserve"> ADDIN ZOTERO_ITEM CSL_CITATION {"citationID":"X9HOMC9m","properties":{"formattedCitation":"[13]","plainCitation":"[13]","noteIndex":0},"citationItems":[{"id":91,"uris":["http://zotero.org/users/local/CblV8433/items/LZ99P6ET"],"itemData":{"id":91,"type":"article-journal","abstract":"OBJECTIVE: To study the long term risk of cervical and other cancers after treatment for cervical intraepithelial neoplasia.\nDESIGN: Retrospective cohort study.\nSETTING: University Hospital, Helsinki, Finland.\nPARTICIPANTS: 7564 women treated for cervical intraepithelial neoplasia during 1974 and 2001 and followed up through the Finnish cancer registry until 2003.\nMAIN OUTCOME MEASURES: Standardised incidence ratio for cervical cancer and other cancers.\nRESULTS: During follow-up 22 cases of invasive cervical cancer occurred in women treated for cervical intraepithelial neoplasia (standardised incidence ratio 2.8, 95% confidence interval 1.7 to 4.2). The highest risk was during the second decade (10 cases observed: 3.1, 1.5 to 5.7). The standardised incidence ratio for cervical intraepithelial cancer type 1 was 3.1 (1.4 to 6.2) and for type 2 was 3.7 (0.9 to 10.7).\nCONCLUSIONS: The risk of cervical cancer in the first 20 years after treatment for cervical intraepithelial neoplasia is higher than in the average population. The risk of smoking related cancers is also increased.","container-title":"BMJ (Clinical research ed.)","DOI":"10.1136/bmj.38663.459039.7C","ISSN":"1756-1833","issue":"7526","journalAbbreviation":"BMJ","language":"eng","note":"PMID: 16293840\nPMCID: PMC1285099","page":"1183-1185","source":"PubMed","title":"Risk of cervical and other cancers after treatment of cervical intraepithelial neoplasia: retrospective cohort study","title-short":"Risk of cervical and other cancers after treatment of cervical intraepithelial neoplasia","volume":"331","author":[{"family":"Kalliala","given":"Ilkka"},{"family":"Anttila","given":"Ahti"},{"family":"Pukkala","given":"Eero"},{"family":"Nieminen","given":"Pekka"}],"issued":{"date-parts":[["2005",11,19]]}}}],"schema":"https://github.com/citation-style-language/schema/raw/master/csl-citation.json"} </w:instrText>
            </w:r>
            <w:r w:rsidR="00345EF5">
              <w:rPr>
                <w:sz w:val="18"/>
                <w:szCs w:val="18"/>
                <w:lang w:val="en-GB"/>
              </w:rPr>
              <w:fldChar w:fldCharType="separate"/>
            </w:r>
            <w:r w:rsidR="00345EF5">
              <w:rPr>
                <w:noProof/>
                <w:sz w:val="18"/>
                <w:szCs w:val="18"/>
                <w:lang w:val="en-GB"/>
              </w:rPr>
              <w:t>[13]</w:t>
            </w:r>
            <w:r w:rsidR="00345EF5">
              <w:rPr>
                <w:sz w:val="18"/>
                <w:szCs w:val="18"/>
                <w:lang w:val="en-GB"/>
              </w:rPr>
              <w:fldChar w:fldCharType="end"/>
            </w:r>
          </w:p>
        </w:tc>
        <w:tc>
          <w:tcPr>
            <w:tcW w:w="1134" w:type="dxa"/>
          </w:tcPr>
          <w:p w14:paraId="15F36557" w14:textId="77777777" w:rsidR="00435CF2" w:rsidRPr="004F328B" w:rsidRDefault="00435CF2" w:rsidP="00825395">
            <w:pPr>
              <w:rPr>
                <w:sz w:val="18"/>
                <w:szCs w:val="18"/>
                <w:lang w:val="en-GB"/>
              </w:rPr>
            </w:pPr>
            <w:r>
              <w:rPr>
                <w:sz w:val="18"/>
                <w:szCs w:val="18"/>
                <w:lang w:val="en-GB"/>
              </w:rPr>
              <w:t>L</w:t>
            </w:r>
          </w:p>
        </w:tc>
        <w:tc>
          <w:tcPr>
            <w:tcW w:w="1276" w:type="dxa"/>
          </w:tcPr>
          <w:p w14:paraId="35836E9B" w14:textId="77777777" w:rsidR="00435CF2" w:rsidRPr="004F328B" w:rsidRDefault="00435CF2" w:rsidP="00825395">
            <w:pPr>
              <w:rPr>
                <w:sz w:val="18"/>
                <w:szCs w:val="18"/>
                <w:lang w:val="en-GB"/>
              </w:rPr>
            </w:pPr>
            <w:r>
              <w:rPr>
                <w:sz w:val="18"/>
                <w:szCs w:val="18"/>
                <w:lang w:val="en-GB"/>
              </w:rPr>
              <w:t>L</w:t>
            </w:r>
          </w:p>
        </w:tc>
        <w:tc>
          <w:tcPr>
            <w:tcW w:w="1275" w:type="dxa"/>
          </w:tcPr>
          <w:p w14:paraId="0E370C66" w14:textId="77777777" w:rsidR="00435CF2" w:rsidRPr="004F328B" w:rsidRDefault="00435CF2" w:rsidP="00825395">
            <w:pPr>
              <w:rPr>
                <w:sz w:val="18"/>
                <w:szCs w:val="18"/>
                <w:lang w:val="en-GB"/>
              </w:rPr>
            </w:pPr>
            <w:r>
              <w:rPr>
                <w:sz w:val="18"/>
                <w:szCs w:val="18"/>
                <w:lang w:val="en-GB"/>
              </w:rPr>
              <w:t>L</w:t>
            </w:r>
          </w:p>
        </w:tc>
        <w:tc>
          <w:tcPr>
            <w:tcW w:w="1134" w:type="dxa"/>
          </w:tcPr>
          <w:p w14:paraId="70E36198" w14:textId="77777777" w:rsidR="00435CF2" w:rsidRPr="004F328B" w:rsidRDefault="00435CF2" w:rsidP="00825395">
            <w:pPr>
              <w:rPr>
                <w:sz w:val="18"/>
                <w:szCs w:val="18"/>
                <w:lang w:val="en-GB"/>
              </w:rPr>
            </w:pPr>
            <w:r>
              <w:rPr>
                <w:sz w:val="18"/>
                <w:szCs w:val="18"/>
                <w:lang w:val="en-GB"/>
              </w:rPr>
              <w:t>L</w:t>
            </w:r>
          </w:p>
        </w:tc>
        <w:tc>
          <w:tcPr>
            <w:tcW w:w="1134" w:type="dxa"/>
            <w:shd w:val="clear" w:color="auto" w:fill="auto"/>
          </w:tcPr>
          <w:p w14:paraId="5E23FB6E" w14:textId="3FEC163B" w:rsidR="00435CF2" w:rsidRPr="004F328B" w:rsidRDefault="004F7BE5" w:rsidP="00825395">
            <w:pPr>
              <w:rPr>
                <w:sz w:val="18"/>
                <w:szCs w:val="18"/>
                <w:lang w:val="en-GB"/>
              </w:rPr>
            </w:pPr>
            <w:r>
              <w:rPr>
                <w:sz w:val="18"/>
                <w:szCs w:val="18"/>
                <w:lang w:val="en-GB"/>
              </w:rPr>
              <w:t>L</w:t>
            </w:r>
          </w:p>
        </w:tc>
        <w:tc>
          <w:tcPr>
            <w:tcW w:w="1276" w:type="dxa"/>
          </w:tcPr>
          <w:p w14:paraId="25718481" w14:textId="77777777" w:rsidR="00435CF2" w:rsidRPr="004F328B" w:rsidRDefault="00435CF2" w:rsidP="00825395">
            <w:pPr>
              <w:rPr>
                <w:sz w:val="18"/>
                <w:szCs w:val="18"/>
                <w:lang w:val="en-GB"/>
              </w:rPr>
            </w:pPr>
            <w:r>
              <w:rPr>
                <w:sz w:val="18"/>
                <w:szCs w:val="18"/>
                <w:lang w:val="en-GB"/>
              </w:rPr>
              <w:t>L</w:t>
            </w:r>
          </w:p>
        </w:tc>
        <w:tc>
          <w:tcPr>
            <w:tcW w:w="1276" w:type="dxa"/>
          </w:tcPr>
          <w:p w14:paraId="0EF4FEAA" w14:textId="77777777" w:rsidR="00435CF2" w:rsidRPr="004F328B" w:rsidRDefault="00435CF2" w:rsidP="00825395">
            <w:pPr>
              <w:rPr>
                <w:sz w:val="18"/>
                <w:szCs w:val="18"/>
                <w:lang w:val="en-GB"/>
              </w:rPr>
            </w:pPr>
            <w:r>
              <w:rPr>
                <w:sz w:val="18"/>
                <w:szCs w:val="18"/>
                <w:lang w:val="en-GB"/>
              </w:rPr>
              <w:t>L</w:t>
            </w:r>
          </w:p>
        </w:tc>
        <w:tc>
          <w:tcPr>
            <w:tcW w:w="1984" w:type="dxa"/>
            <w:shd w:val="clear" w:color="auto" w:fill="auto"/>
          </w:tcPr>
          <w:p w14:paraId="67DA8344" w14:textId="0DB6D74F" w:rsidR="00435CF2" w:rsidRPr="004F328B" w:rsidRDefault="004F7BE5" w:rsidP="00825395">
            <w:pPr>
              <w:rPr>
                <w:sz w:val="18"/>
                <w:szCs w:val="18"/>
                <w:lang w:val="en-GB"/>
              </w:rPr>
            </w:pPr>
            <w:r>
              <w:rPr>
                <w:sz w:val="18"/>
                <w:szCs w:val="18"/>
                <w:lang w:val="en-GB"/>
              </w:rPr>
              <w:t>L</w:t>
            </w:r>
          </w:p>
        </w:tc>
      </w:tr>
      <w:tr w:rsidR="00435CF2" w:rsidRPr="001E4708" w14:paraId="507E6544" w14:textId="77777777" w:rsidTr="00167BA3">
        <w:trPr>
          <w:trHeight w:val="354"/>
        </w:trPr>
        <w:tc>
          <w:tcPr>
            <w:tcW w:w="568" w:type="dxa"/>
          </w:tcPr>
          <w:p w14:paraId="7C0CD795" w14:textId="77777777" w:rsidR="00435CF2" w:rsidRPr="00DB04A3" w:rsidRDefault="00435CF2" w:rsidP="00825395">
            <w:pPr>
              <w:rPr>
                <w:sz w:val="18"/>
                <w:szCs w:val="18"/>
                <w:lang w:val="en-GB"/>
              </w:rPr>
            </w:pPr>
            <w:r>
              <w:rPr>
                <w:sz w:val="18"/>
                <w:szCs w:val="18"/>
                <w:lang w:val="en-GB"/>
              </w:rPr>
              <w:t>14</w:t>
            </w:r>
            <w:r w:rsidRPr="00DB04A3">
              <w:rPr>
                <w:sz w:val="18"/>
                <w:szCs w:val="18"/>
                <w:lang w:val="en-GB"/>
              </w:rPr>
              <w:t>.</w:t>
            </w:r>
          </w:p>
        </w:tc>
        <w:tc>
          <w:tcPr>
            <w:tcW w:w="1843" w:type="dxa"/>
          </w:tcPr>
          <w:p w14:paraId="13B7672B" w14:textId="0453F146" w:rsidR="00435CF2" w:rsidRPr="001E4708" w:rsidRDefault="00435CF2" w:rsidP="00825395">
            <w:pPr>
              <w:rPr>
                <w:color w:val="000000" w:themeColor="text1"/>
                <w:sz w:val="18"/>
                <w:szCs w:val="18"/>
                <w:lang w:val="en-GB"/>
              </w:rPr>
            </w:pPr>
            <w:r w:rsidRPr="001E4708">
              <w:rPr>
                <w:color w:val="000000" w:themeColor="text1"/>
                <w:sz w:val="18"/>
                <w:szCs w:val="18"/>
                <w:lang w:val="en-GB"/>
              </w:rPr>
              <w:t>Matsuo et al. (2018)</w:t>
            </w:r>
            <w:r w:rsidR="009D2D38">
              <w:rPr>
                <w:color w:val="000000" w:themeColor="text1"/>
                <w:sz w:val="18"/>
                <w:szCs w:val="18"/>
                <w:lang w:val="en-GB"/>
              </w:rPr>
              <w:t xml:space="preserve"> </w:t>
            </w:r>
            <w:r w:rsidR="002C5177">
              <w:rPr>
                <w:color w:val="000000" w:themeColor="text1"/>
                <w:sz w:val="18"/>
                <w:szCs w:val="18"/>
                <w:lang w:val="en-GB"/>
              </w:rPr>
              <w:fldChar w:fldCharType="begin"/>
            </w:r>
            <w:r w:rsidR="002C5177">
              <w:rPr>
                <w:color w:val="000000" w:themeColor="text1"/>
                <w:sz w:val="18"/>
                <w:szCs w:val="18"/>
                <w:lang w:val="en-GB"/>
              </w:rPr>
              <w:instrText xml:space="preserve"> ADDIN ZOTERO_ITEM CSL_CITATION {"citationID":"kYFAaULT","properties":{"formattedCitation":"[14]","plainCitation":"[14]","noteIndex":0},"citationItems":[{"id":111,"uris":["http://zotero.org/users/local/CblV8433/items/Y4G7ZFYB"],"itemData":{"id":111,"type":"article-journal","abstract":"OBJECTIVE: To examine incidences and risk factors for metachronous vulvar, vaginal, and anal malignancies after a cervical cancer diagnosis.\nMETHODS: This is a retrospective study examining data from the Surveillance, Epidemiology, and End Result Program between 1973 and 2013. Cumulative incidences of vulvar, vaginal, and anal cancers after the diagnosis of cervical cancer were assessed (n = 79,050). Multivariable analysis was performed to determine independent risk factors for these metachronous cancers.\nRESULTS: Vaginal cancer (20-year cumulative incidence, 0.57%) was the most common type of metachronous malignancy, followed by vulvar cancer (0.33%), and anal cancer (0.16%, P &lt; 0.001). Median time to diagnosis was 5.4 years for vaginal cancer, 6.5 years for vulvar cancer, and 13.5 years for anal cancer. On multivariable analysis, metachronous vulvar cancer was associated with older age (hazard ratio [HR] per year 1.04, 95% confidence interval [CI] 1.02-1.05, P &lt; 0.001), squamous histology (HR 2.64, 95%CI 1.38-5.05, P = 0.003), and radiotherapy use (HR 2.52, 95%CI 1.66-3.84, P &lt; 0.001); metachronous vaginal cancer was associated with older age (HR per year 1.03, 95%CI 1.02-1.04, P &lt; 0.001) and Black race (HR 1.73, 95%CI 1.20-2.48, P = 0.003); and metachronous anal cancer was associated with older age (HR 1.03, 95%CI 1.01-1.05, P = 0.017). Overall survival of metachronous cancer was poor (5-year rates: 46.3% for vulvar, 43.0% for vaginal, and 47.5% for anal cancer, respectively).\nCONCLUSION: Although rare, the rate of ano-genital cancers continues to increase over time after a cervical cancer diagnosis. Long-term follow-up and surveillance after cervical cancer treatment is therefore reasonable to detect these metachronous malignancies, particularly in those with risk factors.","container-title":"Gynecologic Oncology","DOI":"10.1016/j.ygyno.2018.07.016","ISSN":"1095-6859","issue":"3","journalAbbreviation":"Gynecol Oncol","language":"eng","note":"PMID: 30054103\nPMCID: PMC7521078","page":"501-508","source":"PubMed","title":"Incidences and risk factors of metachronous vulvar, vaginal, and anal cancers after cervical cancer diagnosis","volume":"150","author":[{"family":"Matsuo","given":"Koji"},{"family":"Blake","given":"Erin A."},{"family":"Machida","given":"Hiroko"},{"family":"Mandelbaum","given":"Rachel S."},{"family":"Roman","given":"Lynda D."},{"family":"Wright","given":"Jason D."}],"issued":{"date-parts":[["2018",9]]}}}],"schema":"https://github.com/citation-style-language/schema/raw/master/csl-citation.json"} </w:instrText>
            </w:r>
            <w:r w:rsidR="002C5177">
              <w:rPr>
                <w:color w:val="000000" w:themeColor="text1"/>
                <w:sz w:val="18"/>
                <w:szCs w:val="18"/>
                <w:lang w:val="en-GB"/>
              </w:rPr>
              <w:fldChar w:fldCharType="separate"/>
            </w:r>
            <w:r w:rsidR="002C5177">
              <w:rPr>
                <w:noProof/>
                <w:color w:val="000000" w:themeColor="text1"/>
                <w:sz w:val="18"/>
                <w:szCs w:val="18"/>
                <w:lang w:val="en-GB"/>
              </w:rPr>
              <w:t>[14]</w:t>
            </w:r>
            <w:r w:rsidR="002C5177">
              <w:rPr>
                <w:color w:val="000000" w:themeColor="text1"/>
                <w:sz w:val="18"/>
                <w:szCs w:val="18"/>
                <w:lang w:val="en-GB"/>
              </w:rPr>
              <w:fldChar w:fldCharType="end"/>
            </w:r>
          </w:p>
        </w:tc>
        <w:tc>
          <w:tcPr>
            <w:tcW w:w="1134" w:type="dxa"/>
          </w:tcPr>
          <w:p w14:paraId="7DFD8FCB" w14:textId="77777777" w:rsidR="00435CF2" w:rsidRPr="001E4708" w:rsidRDefault="00435CF2" w:rsidP="00825395">
            <w:pPr>
              <w:rPr>
                <w:color w:val="000000" w:themeColor="text1"/>
                <w:sz w:val="18"/>
                <w:szCs w:val="18"/>
                <w:lang w:val="en-GB"/>
              </w:rPr>
            </w:pPr>
            <w:r>
              <w:rPr>
                <w:sz w:val="18"/>
                <w:szCs w:val="18"/>
                <w:lang w:val="en-GB"/>
              </w:rPr>
              <w:t>L</w:t>
            </w:r>
          </w:p>
        </w:tc>
        <w:tc>
          <w:tcPr>
            <w:tcW w:w="1276" w:type="dxa"/>
            <w:shd w:val="clear" w:color="auto" w:fill="auto"/>
          </w:tcPr>
          <w:p w14:paraId="03826146" w14:textId="7CA4020D" w:rsidR="00435CF2" w:rsidRPr="001E4708" w:rsidRDefault="00167BA3" w:rsidP="00825395">
            <w:pPr>
              <w:rPr>
                <w:color w:val="000000" w:themeColor="text1"/>
                <w:sz w:val="18"/>
                <w:szCs w:val="18"/>
                <w:lang w:val="en-GB"/>
              </w:rPr>
            </w:pPr>
            <w:r>
              <w:rPr>
                <w:color w:val="000000" w:themeColor="text1"/>
                <w:sz w:val="18"/>
                <w:szCs w:val="18"/>
                <w:lang w:val="en-GB"/>
              </w:rPr>
              <w:t>L</w:t>
            </w:r>
          </w:p>
        </w:tc>
        <w:tc>
          <w:tcPr>
            <w:tcW w:w="1275" w:type="dxa"/>
          </w:tcPr>
          <w:p w14:paraId="3BDA7E17" w14:textId="77777777" w:rsidR="00435CF2" w:rsidRPr="001E4708" w:rsidRDefault="00435CF2" w:rsidP="00825395">
            <w:pPr>
              <w:rPr>
                <w:color w:val="000000" w:themeColor="text1"/>
                <w:sz w:val="18"/>
                <w:szCs w:val="18"/>
                <w:lang w:val="en-GB"/>
              </w:rPr>
            </w:pPr>
            <w:r>
              <w:rPr>
                <w:sz w:val="18"/>
                <w:szCs w:val="18"/>
                <w:lang w:val="en-GB"/>
              </w:rPr>
              <w:t>L</w:t>
            </w:r>
          </w:p>
        </w:tc>
        <w:tc>
          <w:tcPr>
            <w:tcW w:w="1134" w:type="dxa"/>
          </w:tcPr>
          <w:p w14:paraId="48241305" w14:textId="77777777" w:rsidR="00435CF2" w:rsidRPr="001E4708" w:rsidRDefault="00435CF2" w:rsidP="00825395">
            <w:pPr>
              <w:rPr>
                <w:color w:val="000000" w:themeColor="text1"/>
                <w:sz w:val="18"/>
                <w:szCs w:val="18"/>
                <w:lang w:val="en-GB"/>
              </w:rPr>
            </w:pPr>
            <w:r>
              <w:rPr>
                <w:sz w:val="18"/>
                <w:szCs w:val="18"/>
                <w:lang w:val="en-GB"/>
              </w:rPr>
              <w:t>L</w:t>
            </w:r>
          </w:p>
        </w:tc>
        <w:tc>
          <w:tcPr>
            <w:tcW w:w="1134" w:type="dxa"/>
          </w:tcPr>
          <w:p w14:paraId="2AFA786A" w14:textId="77777777" w:rsidR="00435CF2" w:rsidRPr="001E4708" w:rsidRDefault="00435CF2" w:rsidP="00825395">
            <w:pPr>
              <w:rPr>
                <w:color w:val="000000" w:themeColor="text1"/>
                <w:sz w:val="18"/>
                <w:szCs w:val="18"/>
                <w:lang w:val="en-GB"/>
              </w:rPr>
            </w:pPr>
            <w:r>
              <w:rPr>
                <w:sz w:val="18"/>
                <w:szCs w:val="18"/>
                <w:lang w:val="en-GB"/>
              </w:rPr>
              <w:t>L</w:t>
            </w:r>
          </w:p>
        </w:tc>
        <w:tc>
          <w:tcPr>
            <w:tcW w:w="1276" w:type="dxa"/>
            <w:shd w:val="clear" w:color="auto" w:fill="EE7754"/>
          </w:tcPr>
          <w:p w14:paraId="65EA4CED" w14:textId="16D29CF8" w:rsidR="00435CF2" w:rsidRPr="001E4708" w:rsidRDefault="00167BA3" w:rsidP="00825395">
            <w:pPr>
              <w:rPr>
                <w:color w:val="000000" w:themeColor="text1"/>
                <w:sz w:val="18"/>
                <w:szCs w:val="18"/>
                <w:lang w:val="en-GB"/>
              </w:rPr>
            </w:pPr>
            <w:r>
              <w:rPr>
                <w:sz w:val="18"/>
                <w:szCs w:val="18"/>
                <w:lang w:val="en-GB"/>
              </w:rPr>
              <w:t>H</w:t>
            </w:r>
          </w:p>
        </w:tc>
        <w:tc>
          <w:tcPr>
            <w:tcW w:w="1276" w:type="dxa"/>
          </w:tcPr>
          <w:p w14:paraId="689618CE" w14:textId="77777777" w:rsidR="00435CF2" w:rsidRPr="001E4708" w:rsidRDefault="00435CF2" w:rsidP="00825395">
            <w:pPr>
              <w:rPr>
                <w:color w:val="000000" w:themeColor="text1"/>
                <w:sz w:val="18"/>
                <w:szCs w:val="18"/>
                <w:lang w:val="en-GB"/>
              </w:rPr>
            </w:pPr>
            <w:r>
              <w:rPr>
                <w:sz w:val="18"/>
                <w:szCs w:val="18"/>
                <w:lang w:val="en-GB"/>
              </w:rPr>
              <w:t>L</w:t>
            </w:r>
          </w:p>
        </w:tc>
        <w:tc>
          <w:tcPr>
            <w:tcW w:w="1984" w:type="dxa"/>
            <w:shd w:val="clear" w:color="auto" w:fill="FF7A57"/>
          </w:tcPr>
          <w:p w14:paraId="61428893" w14:textId="77777777" w:rsidR="00435CF2" w:rsidRPr="001E4708" w:rsidRDefault="00435CF2" w:rsidP="00825395">
            <w:pPr>
              <w:rPr>
                <w:color w:val="000000" w:themeColor="text1"/>
                <w:sz w:val="18"/>
                <w:szCs w:val="18"/>
                <w:lang w:val="en-GB"/>
              </w:rPr>
            </w:pPr>
            <w:r>
              <w:rPr>
                <w:color w:val="000000" w:themeColor="text1"/>
                <w:sz w:val="18"/>
                <w:szCs w:val="18"/>
                <w:lang w:val="en-GB"/>
              </w:rPr>
              <w:t>H</w:t>
            </w:r>
          </w:p>
        </w:tc>
      </w:tr>
      <w:tr w:rsidR="00435CF2" w:rsidRPr="004F328B" w14:paraId="70064756" w14:textId="77777777" w:rsidTr="00825395">
        <w:trPr>
          <w:trHeight w:val="354"/>
        </w:trPr>
        <w:tc>
          <w:tcPr>
            <w:tcW w:w="568" w:type="dxa"/>
          </w:tcPr>
          <w:p w14:paraId="1BFFB0D4" w14:textId="77777777" w:rsidR="00435CF2" w:rsidRPr="00DB04A3" w:rsidRDefault="00435CF2" w:rsidP="00825395">
            <w:pPr>
              <w:rPr>
                <w:sz w:val="18"/>
                <w:szCs w:val="18"/>
                <w:lang w:val="en-GB"/>
              </w:rPr>
            </w:pPr>
            <w:r>
              <w:rPr>
                <w:sz w:val="18"/>
                <w:szCs w:val="18"/>
                <w:lang w:val="en-GB"/>
              </w:rPr>
              <w:t>15</w:t>
            </w:r>
            <w:r w:rsidRPr="00DB04A3">
              <w:rPr>
                <w:sz w:val="18"/>
                <w:szCs w:val="18"/>
                <w:lang w:val="en-GB"/>
              </w:rPr>
              <w:t>.</w:t>
            </w:r>
          </w:p>
        </w:tc>
        <w:tc>
          <w:tcPr>
            <w:tcW w:w="1843" w:type="dxa"/>
          </w:tcPr>
          <w:p w14:paraId="3B2F87AA" w14:textId="76C8913F" w:rsidR="00435CF2" w:rsidRPr="004F328B" w:rsidRDefault="00435CF2" w:rsidP="00825395">
            <w:pPr>
              <w:rPr>
                <w:sz w:val="18"/>
                <w:szCs w:val="18"/>
                <w:lang w:val="en-GB"/>
              </w:rPr>
            </w:pPr>
            <w:r w:rsidRPr="004F328B">
              <w:rPr>
                <w:sz w:val="18"/>
                <w:szCs w:val="18"/>
                <w:lang w:val="en-GB"/>
              </w:rPr>
              <w:t>Neumann et al. (2016)</w:t>
            </w:r>
            <w:r w:rsidR="009D2D38">
              <w:rPr>
                <w:sz w:val="18"/>
                <w:szCs w:val="18"/>
                <w:lang w:val="en-GB"/>
              </w:rPr>
              <w:t xml:space="preserve"> </w:t>
            </w:r>
            <w:r w:rsidR="002C5177">
              <w:rPr>
                <w:sz w:val="18"/>
                <w:szCs w:val="18"/>
                <w:lang w:val="en-GB"/>
              </w:rPr>
              <w:fldChar w:fldCharType="begin"/>
            </w:r>
            <w:r w:rsidR="002C5177">
              <w:rPr>
                <w:sz w:val="18"/>
                <w:szCs w:val="18"/>
                <w:lang w:val="en-GB"/>
              </w:rPr>
              <w:instrText xml:space="preserve"> ADDIN ZOTERO_ITEM CSL_CITATION {"citationID":"hfjf1njZ","properties":{"formattedCitation":"[15]","plainCitation":"[15]","noteIndex":0},"citationItems":[{"id":68,"uris":["http://zotero.org/users/local/CblV8433/items/XAIR5487"],"itemData":{"id":68,"type":"article-journal","abstract":"Human papillomaviruses (HPV) are involved in the development of anogenital and head and neck cancers. The purpose of this study was to assess the risk of developing a second primary cancer (SPC) after a ﬁrst potentially-HPV-related cancer, and to analyze the sites where SPCs most frequently occurred in these patients. All patients with a ﬁrst cancer diagnosed between 1989 and 2004, as recorded by 10 French cancer registries, were followed up until December 31, 2007. Only invasive potentially-HPV-related cancers (namely, cervical, vagina, vulva, anal canal, penile, oropharynx, tongue and tonsil) were included. Standardized Incidence Ratios (SIRs) were calculated to assess the risk of SPC. A multivariate Poisson regression model was used to model SIRs separately by gender, adjusted for the characteristics of the ﬁrst cancer. 10,127 patients presented a ﬁrst potentiallyHPV-related cancer. The overall SIR was 2.48 (95% CI, 2.34–2.63). The SIR was 3.59 (95% CI, 3.33–3.86) and 1.61 (95% CI, 1.46–1.78) in men and women respectively. The relative risk of potentially-HPV-related SPC was high among these patients (SIR = 13.74; 95% CI, 8.80–20.45 and 6.78; 95% CI, 4.61–9.63 for men and women, respectively). Women diagnosed in the most recent period (2000–2004) showed a 40% increase of their relative risk of SPC as compared with women diagnosed between 1989 and 1994 (ratio of SIRs = 1.40; 95% CI, 1.06–1.85). HPV cancer survivors face an increased risk of SPC, especially second cancer. Clinicians may consider this increased risk of developing HPV-related SPC during follow-up to improve subsequent cancer prevention in these patients. © 2016 Published by Elsevier Inc.","container-title":"Preventive Medicine","DOI":"10.1016/j.ypmed.2016.06.041","ISSN":"00917435","journalAbbreviation":"Preventive Medicine","language":"en","page":"52-58","source":"DOI.org (Crossref)","title":"Risk of second primary cancer after a first potentially-human papillomavirus-related cancer: A population-based study","title-short":"Risk of second primary cancer after a first potentially-human papillomavirus-related cancer","volume":"90","author":[{"family":"Neumann","given":"Florent"},{"family":"Jégu","given":"Jérémie"},{"family":"Mougin","given":"Christiane"},{"family":"Prétet","given":"Jean-Luc"},{"family":"Guizard","given":"Anne-Valérie"},{"family":"Lapôtre-Ledoux","given":"Bénédicte"},{"family":"Bara","given":"Simona"},{"family":"Bouvier","given":"Véronique"},{"family":"Colonna","given":"Marc"},{"family":"Troussard","given":"Xavier"},{"family":"Trétarre","given":"Brigitte"},{"family":"Grosclaude","given":"Pascale"},{"family":"Velten","given":"Michel"},{"family":"Woronoff","given":"Anne-Sophie"}],"issued":{"date-parts":[["2016",9]]}}}],"schema":"https://github.com/citation-style-language/schema/raw/master/csl-citation.json"} </w:instrText>
            </w:r>
            <w:r w:rsidR="002C5177">
              <w:rPr>
                <w:sz w:val="18"/>
                <w:szCs w:val="18"/>
                <w:lang w:val="en-GB"/>
              </w:rPr>
              <w:fldChar w:fldCharType="separate"/>
            </w:r>
            <w:r w:rsidR="002C5177">
              <w:rPr>
                <w:noProof/>
                <w:sz w:val="18"/>
                <w:szCs w:val="18"/>
                <w:lang w:val="en-GB"/>
              </w:rPr>
              <w:t>[15]</w:t>
            </w:r>
            <w:r w:rsidR="002C5177">
              <w:rPr>
                <w:sz w:val="18"/>
                <w:szCs w:val="18"/>
                <w:lang w:val="en-GB"/>
              </w:rPr>
              <w:fldChar w:fldCharType="end"/>
            </w:r>
          </w:p>
        </w:tc>
        <w:tc>
          <w:tcPr>
            <w:tcW w:w="1134" w:type="dxa"/>
          </w:tcPr>
          <w:p w14:paraId="297445A6" w14:textId="77777777" w:rsidR="00435CF2" w:rsidRPr="004F328B" w:rsidRDefault="00435CF2" w:rsidP="00825395">
            <w:pPr>
              <w:rPr>
                <w:sz w:val="18"/>
                <w:szCs w:val="18"/>
                <w:lang w:val="en-GB"/>
              </w:rPr>
            </w:pPr>
            <w:r>
              <w:rPr>
                <w:sz w:val="18"/>
                <w:szCs w:val="18"/>
                <w:lang w:val="en-GB"/>
              </w:rPr>
              <w:t>L</w:t>
            </w:r>
          </w:p>
        </w:tc>
        <w:tc>
          <w:tcPr>
            <w:tcW w:w="1276" w:type="dxa"/>
          </w:tcPr>
          <w:p w14:paraId="6CA0B051" w14:textId="77777777" w:rsidR="00435CF2" w:rsidRPr="004F328B" w:rsidRDefault="00435CF2" w:rsidP="00825395">
            <w:pPr>
              <w:rPr>
                <w:sz w:val="18"/>
                <w:szCs w:val="18"/>
                <w:lang w:val="en-GB"/>
              </w:rPr>
            </w:pPr>
            <w:r>
              <w:rPr>
                <w:sz w:val="18"/>
                <w:szCs w:val="18"/>
                <w:lang w:val="en-GB"/>
              </w:rPr>
              <w:t>L</w:t>
            </w:r>
          </w:p>
        </w:tc>
        <w:tc>
          <w:tcPr>
            <w:tcW w:w="1275" w:type="dxa"/>
          </w:tcPr>
          <w:p w14:paraId="6B990A69" w14:textId="77777777" w:rsidR="00435CF2" w:rsidRPr="004F328B" w:rsidRDefault="00435CF2" w:rsidP="00825395">
            <w:pPr>
              <w:rPr>
                <w:sz w:val="18"/>
                <w:szCs w:val="18"/>
                <w:lang w:val="en-GB"/>
              </w:rPr>
            </w:pPr>
            <w:r>
              <w:rPr>
                <w:sz w:val="18"/>
                <w:szCs w:val="18"/>
                <w:lang w:val="en-GB"/>
              </w:rPr>
              <w:t>L</w:t>
            </w:r>
          </w:p>
        </w:tc>
        <w:tc>
          <w:tcPr>
            <w:tcW w:w="1134" w:type="dxa"/>
          </w:tcPr>
          <w:p w14:paraId="69314911" w14:textId="77777777" w:rsidR="00435CF2" w:rsidRPr="004F328B" w:rsidRDefault="00435CF2" w:rsidP="00825395">
            <w:pPr>
              <w:rPr>
                <w:sz w:val="18"/>
                <w:szCs w:val="18"/>
                <w:lang w:val="en-GB"/>
              </w:rPr>
            </w:pPr>
            <w:r>
              <w:rPr>
                <w:sz w:val="18"/>
                <w:szCs w:val="18"/>
                <w:lang w:val="en-GB"/>
              </w:rPr>
              <w:t>L</w:t>
            </w:r>
          </w:p>
        </w:tc>
        <w:tc>
          <w:tcPr>
            <w:tcW w:w="1134" w:type="dxa"/>
          </w:tcPr>
          <w:p w14:paraId="22CCF2CF" w14:textId="77777777" w:rsidR="00435CF2" w:rsidRPr="004F328B" w:rsidRDefault="00435CF2" w:rsidP="00825395">
            <w:pPr>
              <w:rPr>
                <w:sz w:val="18"/>
                <w:szCs w:val="18"/>
                <w:lang w:val="en-GB"/>
              </w:rPr>
            </w:pPr>
            <w:r>
              <w:rPr>
                <w:sz w:val="18"/>
                <w:szCs w:val="18"/>
                <w:lang w:val="en-GB"/>
              </w:rPr>
              <w:t>L</w:t>
            </w:r>
          </w:p>
        </w:tc>
        <w:tc>
          <w:tcPr>
            <w:tcW w:w="1276" w:type="dxa"/>
          </w:tcPr>
          <w:p w14:paraId="2B8BBCAD" w14:textId="77777777" w:rsidR="00435CF2" w:rsidRPr="004F328B" w:rsidRDefault="00435CF2" w:rsidP="00825395">
            <w:pPr>
              <w:rPr>
                <w:sz w:val="18"/>
                <w:szCs w:val="18"/>
                <w:lang w:val="en-GB"/>
              </w:rPr>
            </w:pPr>
            <w:r>
              <w:rPr>
                <w:sz w:val="18"/>
                <w:szCs w:val="18"/>
                <w:lang w:val="en-GB"/>
              </w:rPr>
              <w:t>L</w:t>
            </w:r>
          </w:p>
        </w:tc>
        <w:tc>
          <w:tcPr>
            <w:tcW w:w="1276" w:type="dxa"/>
          </w:tcPr>
          <w:p w14:paraId="2AD20BA5" w14:textId="77777777" w:rsidR="00435CF2" w:rsidRPr="004F328B" w:rsidRDefault="00435CF2" w:rsidP="00825395">
            <w:pPr>
              <w:rPr>
                <w:sz w:val="18"/>
                <w:szCs w:val="18"/>
                <w:lang w:val="en-GB"/>
              </w:rPr>
            </w:pPr>
            <w:r>
              <w:rPr>
                <w:sz w:val="18"/>
                <w:szCs w:val="18"/>
                <w:lang w:val="en-GB"/>
              </w:rPr>
              <w:t>L</w:t>
            </w:r>
          </w:p>
        </w:tc>
        <w:tc>
          <w:tcPr>
            <w:tcW w:w="1984" w:type="dxa"/>
          </w:tcPr>
          <w:p w14:paraId="571587C4" w14:textId="77777777" w:rsidR="00435CF2" w:rsidRPr="004F328B" w:rsidRDefault="00435CF2" w:rsidP="00825395">
            <w:pPr>
              <w:rPr>
                <w:sz w:val="18"/>
                <w:szCs w:val="18"/>
                <w:lang w:val="en-GB"/>
              </w:rPr>
            </w:pPr>
            <w:r>
              <w:rPr>
                <w:sz w:val="18"/>
                <w:szCs w:val="18"/>
                <w:lang w:val="en-GB"/>
              </w:rPr>
              <w:t>L</w:t>
            </w:r>
          </w:p>
        </w:tc>
      </w:tr>
      <w:tr w:rsidR="00435CF2" w:rsidRPr="001E4708" w14:paraId="32A15CDA" w14:textId="77777777" w:rsidTr="00825395">
        <w:trPr>
          <w:trHeight w:val="354"/>
        </w:trPr>
        <w:tc>
          <w:tcPr>
            <w:tcW w:w="568" w:type="dxa"/>
          </w:tcPr>
          <w:p w14:paraId="3BEBA5FA" w14:textId="77777777" w:rsidR="00435CF2" w:rsidRPr="00DB04A3" w:rsidRDefault="00435CF2" w:rsidP="00825395">
            <w:pPr>
              <w:rPr>
                <w:sz w:val="18"/>
                <w:szCs w:val="18"/>
                <w:lang w:val="en-GB"/>
              </w:rPr>
            </w:pPr>
            <w:r>
              <w:rPr>
                <w:sz w:val="18"/>
                <w:szCs w:val="18"/>
                <w:lang w:val="en-GB"/>
              </w:rPr>
              <w:t>16</w:t>
            </w:r>
            <w:r w:rsidRPr="00DB04A3">
              <w:rPr>
                <w:sz w:val="18"/>
                <w:szCs w:val="18"/>
                <w:lang w:val="en-GB"/>
              </w:rPr>
              <w:t>.</w:t>
            </w:r>
          </w:p>
        </w:tc>
        <w:tc>
          <w:tcPr>
            <w:tcW w:w="1843" w:type="dxa"/>
          </w:tcPr>
          <w:p w14:paraId="5A4B4BD9" w14:textId="101DEC10" w:rsidR="00435CF2" w:rsidRPr="001E4708" w:rsidRDefault="00435CF2" w:rsidP="00825395">
            <w:pPr>
              <w:rPr>
                <w:color w:val="000000" w:themeColor="text1"/>
                <w:sz w:val="18"/>
                <w:szCs w:val="18"/>
                <w:lang w:val="en-GB"/>
              </w:rPr>
            </w:pPr>
            <w:r w:rsidRPr="001E4708">
              <w:rPr>
                <w:color w:val="000000" w:themeColor="text1"/>
                <w:sz w:val="18"/>
                <w:szCs w:val="18"/>
                <w:lang w:val="en-GB"/>
              </w:rPr>
              <w:t>Pan et al. (2019)</w:t>
            </w:r>
            <w:r w:rsidR="009D2D38">
              <w:rPr>
                <w:color w:val="000000" w:themeColor="text1"/>
                <w:sz w:val="18"/>
                <w:szCs w:val="18"/>
                <w:lang w:val="en-GB"/>
              </w:rPr>
              <w:t xml:space="preserve"> </w:t>
            </w:r>
            <w:r w:rsidR="002C5177">
              <w:rPr>
                <w:color w:val="000000" w:themeColor="text1"/>
                <w:sz w:val="18"/>
                <w:szCs w:val="18"/>
                <w:lang w:val="en-GB"/>
              </w:rPr>
              <w:fldChar w:fldCharType="begin"/>
            </w:r>
            <w:r w:rsidR="002C5177">
              <w:rPr>
                <w:color w:val="000000" w:themeColor="text1"/>
                <w:sz w:val="18"/>
                <w:szCs w:val="18"/>
                <w:lang w:val="en-GB"/>
              </w:rPr>
              <w:instrText xml:space="preserve"> ADDIN ZOTERO_ITEM CSL_CITATION {"citationID":"48xksNOI","properties":{"formattedCitation":"[16]","plainCitation":"[16]","noteIndex":0},"citationItems":[{"id":114,"uris":["http://zotero.org/users/local/CblV8433/items/UTE995Y4"],"itemData":{"id":114,"type":"article-journal","abstract":"To assess the excess risk of HPV-associated cancer (HPVaC) in two at-risk groups-women with a previous diagnosis of high grade cervical intraepithelial neoplasia (CIN3) and both men and women treated for non-cervical pre-invasive anogenital disease. All CIN3 cases diagnosed in 1989-2015 in Scotland were extracted from the Scottish cancer registry (SMR06). All cases of pre-invasive penile, anal, vulval, and vaginal disease diagnosed in 1990-2015 were identified within the NHS pathology databases in the two largest NHS health boards in Scotland. Both were linked to SMR06 to extract subsequent incidence of HPVaC following the diagnosis of CIN3 or pre-invasive disease. Standardised incidence ratios were calculated for the risk of acquiring HPVaC for the two at-risk groups compared to the general Scottish population. Among 69,714 females in Scotland diagnosed with CIN3 (890,360.9 person-years), 179 developed non-cervical HPVaC. CIN3 cases were at 3.2-fold (95% CI: 2.7 to 3.7) increased risk of developing non-cervical HPVaC, compared to the general female population. Among 1,235 patients diagnosed with non-cervical pre-invasive disease (9,667.4 person-years), 47 developed HPVaC. Individuals with non-cervical pre-invasive disease had a substantially increased risk of developing HPVaC - 15.5-fold (95% CI: 11.1 to 21.1) increased risk for females and 28-fold (11.3 to 57.7) increased risk for males. We report a significant additional risk of HPV-associated cancer in those have been diagnosed with pre-invasive HPV-associated lesions including but not confined to the cervix. Uncovering the natural history of pre-invasive disease has potential for determining screening, prevention and treatment.","container-title":"International Journal of Cancer","DOI":"10.1002/ijc.32126","ISSN":"1097-0215","issue":"2","journalAbbreviation":"Int J Cancer","language":"eng","note":"PMID: 30650180","page":"427-434","source":"PubMed","title":"Increased risk of HPV-associated genital cancers in men and women as a consequence of pre-invasive disease","volume":"145","author":[{"family":"Pan","given":"Jiafeng"},{"family":"Kavanagh","given":"Kimberley"},{"family":"Cuschieri","given":"Kate"},{"family":"Pollock","given":"Kevin G."},{"family":"Gilbert","given":"Duncan C."},{"family":"Millan","given":"David"},{"family":"Bell","given":"Sarah"},{"family":"Graham","given":"Sheila V."},{"family":"Williams","given":"Alistair R. W."},{"family":"Cruickshank","given":"Margaret E."},{"family":"Palmer","given":"Tim"},{"family":"Wakeham","given":"Katie"}],"issued":{"date-parts":[["2019",7,15]]}}}],"schema":"https://github.com/citation-style-language/schema/raw/master/csl-citation.json"} </w:instrText>
            </w:r>
            <w:r w:rsidR="002C5177">
              <w:rPr>
                <w:color w:val="000000" w:themeColor="text1"/>
                <w:sz w:val="18"/>
                <w:szCs w:val="18"/>
                <w:lang w:val="en-GB"/>
              </w:rPr>
              <w:fldChar w:fldCharType="separate"/>
            </w:r>
            <w:r w:rsidR="002C5177">
              <w:rPr>
                <w:noProof/>
                <w:color w:val="000000" w:themeColor="text1"/>
                <w:sz w:val="18"/>
                <w:szCs w:val="18"/>
                <w:lang w:val="en-GB"/>
              </w:rPr>
              <w:t>[16]</w:t>
            </w:r>
            <w:r w:rsidR="002C5177">
              <w:rPr>
                <w:color w:val="000000" w:themeColor="text1"/>
                <w:sz w:val="18"/>
                <w:szCs w:val="18"/>
                <w:lang w:val="en-GB"/>
              </w:rPr>
              <w:fldChar w:fldCharType="end"/>
            </w:r>
          </w:p>
        </w:tc>
        <w:tc>
          <w:tcPr>
            <w:tcW w:w="1134" w:type="dxa"/>
          </w:tcPr>
          <w:p w14:paraId="15A9B07B" w14:textId="77777777" w:rsidR="00435CF2" w:rsidRPr="001E4708" w:rsidRDefault="00435CF2" w:rsidP="00825395">
            <w:pPr>
              <w:rPr>
                <w:color w:val="000000" w:themeColor="text1"/>
                <w:sz w:val="18"/>
                <w:szCs w:val="18"/>
                <w:lang w:val="en-GB"/>
              </w:rPr>
            </w:pPr>
            <w:r>
              <w:rPr>
                <w:sz w:val="18"/>
                <w:szCs w:val="18"/>
                <w:lang w:val="en-GB"/>
              </w:rPr>
              <w:t>L</w:t>
            </w:r>
          </w:p>
        </w:tc>
        <w:tc>
          <w:tcPr>
            <w:tcW w:w="1276" w:type="dxa"/>
          </w:tcPr>
          <w:p w14:paraId="29E420B2" w14:textId="77777777" w:rsidR="00435CF2" w:rsidRPr="001E4708" w:rsidRDefault="00435CF2" w:rsidP="00825395">
            <w:pPr>
              <w:rPr>
                <w:color w:val="000000" w:themeColor="text1"/>
                <w:sz w:val="18"/>
                <w:szCs w:val="18"/>
                <w:lang w:val="en-GB"/>
              </w:rPr>
            </w:pPr>
            <w:r>
              <w:rPr>
                <w:sz w:val="18"/>
                <w:szCs w:val="18"/>
                <w:lang w:val="en-GB"/>
              </w:rPr>
              <w:t>L</w:t>
            </w:r>
          </w:p>
        </w:tc>
        <w:tc>
          <w:tcPr>
            <w:tcW w:w="1275" w:type="dxa"/>
          </w:tcPr>
          <w:p w14:paraId="2FC7277A" w14:textId="77777777" w:rsidR="00435CF2" w:rsidRPr="001E4708" w:rsidRDefault="00435CF2" w:rsidP="00825395">
            <w:pPr>
              <w:rPr>
                <w:color w:val="000000" w:themeColor="text1"/>
                <w:sz w:val="18"/>
                <w:szCs w:val="18"/>
                <w:lang w:val="en-GB"/>
              </w:rPr>
            </w:pPr>
            <w:r>
              <w:rPr>
                <w:sz w:val="18"/>
                <w:szCs w:val="18"/>
                <w:lang w:val="en-GB"/>
              </w:rPr>
              <w:t>L</w:t>
            </w:r>
          </w:p>
        </w:tc>
        <w:tc>
          <w:tcPr>
            <w:tcW w:w="1134" w:type="dxa"/>
          </w:tcPr>
          <w:p w14:paraId="064252DC" w14:textId="77777777" w:rsidR="00435CF2" w:rsidRPr="001E4708" w:rsidRDefault="00435CF2" w:rsidP="00825395">
            <w:pPr>
              <w:rPr>
                <w:color w:val="000000" w:themeColor="text1"/>
                <w:sz w:val="18"/>
                <w:szCs w:val="18"/>
                <w:lang w:val="en-GB"/>
              </w:rPr>
            </w:pPr>
            <w:r>
              <w:rPr>
                <w:sz w:val="18"/>
                <w:szCs w:val="18"/>
                <w:lang w:val="en-GB"/>
              </w:rPr>
              <w:t>L</w:t>
            </w:r>
          </w:p>
        </w:tc>
        <w:tc>
          <w:tcPr>
            <w:tcW w:w="1134" w:type="dxa"/>
          </w:tcPr>
          <w:p w14:paraId="397165BD" w14:textId="77777777" w:rsidR="00435CF2" w:rsidRPr="001E4708" w:rsidRDefault="00435CF2" w:rsidP="00825395">
            <w:pPr>
              <w:rPr>
                <w:color w:val="000000" w:themeColor="text1"/>
                <w:sz w:val="18"/>
                <w:szCs w:val="18"/>
                <w:lang w:val="en-GB"/>
              </w:rPr>
            </w:pPr>
            <w:r>
              <w:rPr>
                <w:sz w:val="18"/>
                <w:szCs w:val="18"/>
                <w:lang w:val="en-GB"/>
              </w:rPr>
              <w:t>L</w:t>
            </w:r>
          </w:p>
        </w:tc>
        <w:tc>
          <w:tcPr>
            <w:tcW w:w="1276" w:type="dxa"/>
          </w:tcPr>
          <w:p w14:paraId="4E58D6C1" w14:textId="77777777" w:rsidR="00435CF2" w:rsidRPr="001E4708" w:rsidRDefault="00435CF2" w:rsidP="00825395">
            <w:pPr>
              <w:rPr>
                <w:color w:val="000000" w:themeColor="text1"/>
                <w:sz w:val="18"/>
                <w:szCs w:val="18"/>
                <w:lang w:val="en-GB"/>
              </w:rPr>
            </w:pPr>
            <w:r>
              <w:rPr>
                <w:sz w:val="18"/>
                <w:szCs w:val="18"/>
                <w:lang w:val="en-GB"/>
              </w:rPr>
              <w:t>L</w:t>
            </w:r>
          </w:p>
        </w:tc>
        <w:tc>
          <w:tcPr>
            <w:tcW w:w="1276" w:type="dxa"/>
          </w:tcPr>
          <w:p w14:paraId="413394D0" w14:textId="77777777" w:rsidR="00435CF2" w:rsidRPr="001E4708" w:rsidRDefault="00435CF2" w:rsidP="00825395">
            <w:pPr>
              <w:rPr>
                <w:color w:val="000000" w:themeColor="text1"/>
                <w:sz w:val="18"/>
                <w:szCs w:val="18"/>
                <w:lang w:val="en-GB"/>
              </w:rPr>
            </w:pPr>
            <w:r>
              <w:rPr>
                <w:sz w:val="18"/>
                <w:szCs w:val="18"/>
                <w:lang w:val="en-GB"/>
              </w:rPr>
              <w:t>L</w:t>
            </w:r>
          </w:p>
        </w:tc>
        <w:tc>
          <w:tcPr>
            <w:tcW w:w="1984" w:type="dxa"/>
          </w:tcPr>
          <w:p w14:paraId="72E0BC36" w14:textId="77777777" w:rsidR="00435CF2" w:rsidRPr="001E4708" w:rsidRDefault="00435CF2" w:rsidP="00825395">
            <w:pPr>
              <w:rPr>
                <w:color w:val="000000" w:themeColor="text1"/>
                <w:sz w:val="18"/>
                <w:szCs w:val="18"/>
                <w:lang w:val="en-GB"/>
              </w:rPr>
            </w:pPr>
            <w:r>
              <w:rPr>
                <w:color w:val="000000" w:themeColor="text1"/>
                <w:sz w:val="18"/>
                <w:szCs w:val="18"/>
                <w:lang w:val="en-GB"/>
              </w:rPr>
              <w:t>L</w:t>
            </w:r>
          </w:p>
        </w:tc>
      </w:tr>
      <w:tr w:rsidR="00435CF2" w:rsidRPr="004F328B" w14:paraId="0BA069CF" w14:textId="77777777" w:rsidTr="00CE3F54">
        <w:trPr>
          <w:trHeight w:val="354"/>
        </w:trPr>
        <w:tc>
          <w:tcPr>
            <w:tcW w:w="568" w:type="dxa"/>
          </w:tcPr>
          <w:p w14:paraId="7373ED23" w14:textId="77777777" w:rsidR="00435CF2" w:rsidRPr="00DB04A3" w:rsidRDefault="00435CF2" w:rsidP="00825395">
            <w:pPr>
              <w:rPr>
                <w:sz w:val="18"/>
                <w:szCs w:val="18"/>
                <w:lang w:val="en-GB"/>
              </w:rPr>
            </w:pPr>
            <w:r>
              <w:rPr>
                <w:sz w:val="18"/>
                <w:szCs w:val="18"/>
                <w:lang w:val="en-GB"/>
              </w:rPr>
              <w:t>17</w:t>
            </w:r>
            <w:r w:rsidRPr="00DB04A3">
              <w:rPr>
                <w:sz w:val="18"/>
                <w:szCs w:val="18"/>
                <w:lang w:val="en-GB"/>
              </w:rPr>
              <w:t>.</w:t>
            </w:r>
          </w:p>
        </w:tc>
        <w:tc>
          <w:tcPr>
            <w:tcW w:w="1843" w:type="dxa"/>
          </w:tcPr>
          <w:p w14:paraId="415D3EAB" w14:textId="1C475706" w:rsidR="00435CF2" w:rsidRPr="004F328B" w:rsidRDefault="00435CF2" w:rsidP="00825395">
            <w:pPr>
              <w:rPr>
                <w:sz w:val="18"/>
                <w:szCs w:val="18"/>
                <w:lang w:val="en-GB"/>
              </w:rPr>
            </w:pPr>
            <w:proofErr w:type="spellStart"/>
            <w:r w:rsidRPr="004F328B">
              <w:rPr>
                <w:sz w:val="18"/>
                <w:szCs w:val="18"/>
                <w:lang w:val="en-GB"/>
              </w:rPr>
              <w:t>Papatla</w:t>
            </w:r>
            <w:proofErr w:type="spellEnd"/>
            <w:r w:rsidRPr="004F328B">
              <w:rPr>
                <w:sz w:val="18"/>
                <w:szCs w:val="18"/>
                <w:lang w:val="en-GB"/>
              </w:rPr>
              <w:t xml:space="preserve"> et al. (2019)</w:t>
            </w:r>
            <w:r w:rsidR="009D2D38">
              <w:rPr>
                <w:sz w:val="18"/>
                <w:szCs w:val="18"/>
                <w:lang w:val="en-GB"/>
              </w:rPr>
              <w:t xml:space="preserve"> </w:t>
            </w:r>
            <w:r w:rsidR="002C5177">
              <w:rPr>
                <w:sz w:val="18"/>
                <w:szCs w:val="18"/>
                <w:lang w:val="en-GB"/>
              </w:rPr>
              <w:fldChar w:fldCharType="begin"/>
            </w:r>
            <w:r w:rsidR="002C5177">
              <w:rPr>
                <w:sz w:val="18"/>
                <w:szCs w:val="18"/>
                <w:lang w:val="en-GB"/>
              </w:rPr>
              <w:instrText xml:space="preserve"> ADDIN ZOTERO_ITEM CSL_CITATION {"citationID":"QMaGivBO","properties":{"formattedCitation":"[17]","plainCitation":"[17]","noteIndex":0},"citationItems":[{"id":69,"uris":["http://zotero.org/users/local/CblV8433/items/3EUSBYBQ"],"itemData":{"id":69,"type":"article-journal","container-title":"American Journal of Obstetrics and Gynecology","DOI":"10.1016/j.ajog.2019.05.025","ISSN":"00029378","issue":"5","journalAbbreviation":"American Journal of Obstetrics and Gynecology","language":"en","page":"478.e1-478.e6","source":"DOI.org (Crossref)","title":"Second primary anal and oropharyngeal cancers in cervical cancer survivors","volume":"221","author":[{"family":"Papatla","given":"Katyayani"},{"family":"Halpern","given":"Michael T."},{"family":"Hernandez","given":"Enrique"},{"family":"Brown","given":"Jennifer"},{"family":"Benrubi","given":"Daniel"},{"family":"Houck","given":"Karen"},{"family":"Chu","given":"Christina"},{"family":"Rubin","given":"Stephen"}],"issued":{"date-parts":[["2019",11]]}}}],"schema":"https://github.com/citation-style-language/schema/raw/master/csl-citation.json"} </w:instrText>
            </w:r>
            <w:r w:rsidR="002C5177">
              <w:rPr>
                <w:sz w:val="18"/>
                <w:szCs w:val="18"/>
                <w:lang w:val="en-GB"/>
              </w:rPr>
              <w:fldChar w:fldCharType="separate"/>
            </w:r>
            <w:r w:rsidR="002C5177">
              <w:rPr>
                <w:noProof/>
                <w:sz w:val="18"/>
                <w:szCs w:val="18"/>
                <w:lang w:val="en-GB"/>
              </w:rPr>
              <w:t>[17]</w:t>
            </w:r>
            <w:r w:rsidR="002C5177">
              <w:rPr>
                <w:sz w:val="18"/>
                <w:szCs w:val="18"/>
                <w:lang w:val="en-GB"/>
              </w:rPr>
              <w:fldChar w:fldCharType="end"/>
            </w:r>
          </w:p>
        </w:tc>
        <w:tc>
          <w:tcPr>
            <w:tcW w:w="1134" w:type="dxa"/>
            <w:shd w:val="clear" w:color="auto" w:fill="auto"/>
          </w:tcPr>
          <w:p w14:paraId="3139EFC7" w14:textId="3EDD4334" w:rsidR="00435CF2" w:rsidRPr="004F328B" w:rsidRDefault="00CE3F54" w:rsidP="00825395">
            <w:pPr>
              <w:rPr>
                <w:sz w:val="18"/>
                <w:szCs w:val="18"/>
                <w:lang w:val="en-GB"/>
              </w:rPr>
            </w:pPr>
            <w:r>
              <w:rPr>
                <w:sz w:val="18"/>
                <w:szCs w:val="18"/>
                <w:lang w:val="en-GB"/>
              </w:rPr>
              <w:t>L</w:t>
            </w:r>
          </w:p>
        </w:tc>
        <w:tc>
          <w:tcPr>
            <w:tcW w:w="1276" w:type="dxa"/>
          </w:tcPr>
          <w:p w14:paraId="16B06DFA" w14:textId="77777777" w:rsidR="00435CF2" w:rsidRPr="004F328B" w:rsidRDefault="00435CF2" w:rsidP="00825395">
            <w:pPr>
              <w:rPr>
                <w:sz w:val="18"/>
                <w:szCs w:val="18"/>
                <w:lang w:val="en-GB"/>
              </w:rPr>
            </w:pPr>
            <w:r>
              <w:rPr>
                <w:sz w:val="18"/>
                <w:szCs w:val="18"/>
                <w:lang w:val="en-GB"/>
              </w:rPr>
              <w:t>L</w:t>
            </w:r>
          </w:p>
        </w:tc>
        <w:tc>
          <w:tcPr>
            <w:tcW w:w="1275" w:type="dxa"/>
          </w:tcPr>
          <w:p w14:paraId="0977CAA5" w14:textId="77777777" w:rsidR="00435CF2" w:rsidRPr="004F328B" w:rsidRDefault="00435CF2" w:rsidP="00825395">
            <w:pPr>
              <w:rPr>
                <w:sz w:val="18"/>
                <w:szCs w:val="18"/>
                <w:lang w:val="en-GB"/>
              </w:rPr>
            </w:pPr>
            <w:r>
              <w:rPr>
                <w:sz w:val="18"/>
                <w:szCs w:val="18"/>
                <w:lang w:val="en-GB"/>
              </w:rPr>
              <w:t>L</w:t>
            </w:r>
          </w:p>
        </w:tc>
        <w:tc>
          <w:tcPr>
            <w:tcW w:w="1134" w:type="dxa"/>
          </w:tcPr>
          <w:p w14:paraId="53A5BF9B" w14:textId="77777777" w:rsidR="00435CF2" w:rsidRPr="004F328B" w:rsidRDefault="00435CF2" w:rsidP="00825395">
            <w:pPr>
              <w:rPr>
                <w:sz w:val="18"/>
                <w:szCs w:val="18"/>
                <w:lang w:val="en-GB"/>
              </w:rPr>
            </w:pPr>
            <w:r>
              <w:rPr>
                <w:sz w:val="18"/>
                <w:szCs w:val="18"/>
                <w:lang w:val="en-GB"/>
              </w:rPr>
              <w:t>L</w:t>
            </w:r>
          </w:p>
        </w:tc>
        <w:tc>
          <w:tcPr>
            <w:tcW w:w="1134" w:type="dxa"/>
          </w:tcPr>
          <w:p w14:paraId="18B488D5" w14:textId="77777777" w:rsidR="00435CF2" w:rsidRPr="004F328B" w:rsidRDefault="00435CF2" w:rsidP="00825395">
            <w:pPr>
              <w:rPr>
                <w:sz w:val="18"/>
                <w:szCs w:val="18"/>
                <w:lang w:val="en-GB"/>
              </w:rPr>
            </w:pPr>
            <w:r>
              <w:rPr>
                <w:sz w:val="18"/>
                <w:szCs w:val="18"/>
                <w:lang w:val="en-GB"/>
              </w:rPr>
              <w:t>L</w:t>
            </w:r>
          </w:p>
        </w:tc>
        <w:tc>
          <w:tcPr>
            <w:tcW w:w="1276" w:type="dxa"/>
          </w:tcPr>
          <w:p w14:paraId="60F21FF4" w14:textId="77777777" w:rsidR="00435CF2" w:rsidRPr="004F328B" w:rsidRDefault="00435CF2" w:rsidP="00825395">
            <w:pPr>
              <w:rPr>
                <w:sz w:val="18"/>
                <w:szCs w:val="18"/>
                <w:lang w:val="en-GB"/>
              </w:rPr>
            </w:pPr>
            <w:r>
              <w:rPr>
                <w:sz w:val="18"/>
                <w:szCs w:val="18"/>
                <w:lang w:val="en-GB"/>
              </w:rPr>
              <w:t>L</w:t>
            </w:r>
          </w:p>
        </w:tc>
        <w:tc>
          <w:tcPr>
            <w:tcW w:w="1276" w:type="dxa"/>
          </w:tcPr>
          <w:p w14:paraId="43C0C5E8" w14:textId="77777777" w:rsidR="00435CF2" w:rsidRPr="004F328B" w:rsidRDefault="00435CF2" w:rsidP="00825395">
            <w:pPr>
              <w:rPr>
                <w:sz w:val="18"/>
                <w:szCs w:val="18"/>
                <w:lang w:val="en-GB"/>
              </w:rPr>
            </w:pPr>
            <w:r>
              <w:rPr>
                <w:sz w:val="18"/>
                <w:szCs w:val="18"/>
                <w:lang w:val="en-GB"/>
              </w:rPr>
              <w:t>L</w:t>
            </w:r>
          </w:p>
        </w:tc>
        <w:tc>
          <w:tcPr>
            <w:tcW w:w="1984" w:type="dxa"/>
            <w:shd w:val="clear" w:color="auto" w:fill="auto"/>
          </w:tcPr>
          <w:p w14:paraId="55752F32" w14:textId="33E9555A" w:rsidR="00435CF2" w:rsidRPr="004F328B" w:rsidRDefault="00CE3F54" w:rsidP="00825395">
            <w:pPr>
              <w:rPr>
                <w:sz w:val="18"/>
                <w:szCs w:val="18"/>
                <w:lang w:val="en-GB"/>
              </w:rPr>
            </w:pPr>
            <w:r>
              <w:rPr>
                <w:sz w:val="18"/>
                <w:szCs w:val="18"/>
                <w:lang w:val="en-GB"/>
              </w:rPr>
              <w:t>L</w:t>
            </w:r>
          </w:p>
        </w:tc>
      </w:tr>
      <w:tr w:rsidR="00435CF2" w:rsidRPr="004F328B" w14:paraId="08D8F8BA" w14:textId="77777777" w:rsidTr="00471A69">
        <w:trPr>
          <w:trHeight w:val="354"/>
        </w:trPr>
        <w:tc>
          <w:tcPr>
            <w:tcW w:w="568" w:type="dxa"/>
          </w:tcPr>
          <w:p w14:paraId="2407D91B" w14:textId="77777777" w:rsidR="00435CF2" w:rsidRPr="00DB04A3" w:rsidRDefault="00435CF2" w:rsidP="00825395">
            <w:pPr>
              <w:rPr>
                <w:sz w:val="18"/>
                <w:szCs w:val="18"/>
                <w:lang w:val="en-GB"/>
              </w:rPr>
            </w:pPr>
            <w:r>
              <w:rPr>
                <w:sz w:val="18"/>
                <w:szCs w:val="18"/>
                <w:lang w:val="en-GB"/>
              </w:rPr>
              <w:t>18</w:t>
            </w:r>
            <w:r w:rsidRPr="00DB04A3">
              <w:rPr>
                <w:sz w:val="18"/>
                <w:szCs w:val="18"/>
                <w:lang w:val="en-GB"/>
              </w:rPr>
              <w:t>.</w:t>
            </w:r>
          </w:p>
        </w:tc>
        <w:tc>
          <w:tcPr>
            <w:tcW w:w="1843" w:type="dxa"/>
          </w:tcPr>
          <w:p w14:paraId="5C20AF68" w14:textId="76C21E1F" w:rsidR="00435CF2" w:rsidRPr="004F328B" w:rsidRDefault="00435CF2" w:rsidP="00825395">
            <w:pPr>
              <w:rPr>
                <w:sz w:val="18"/>
                <w:szCs w:val="18"/>
                <w:lang w:val="en-GB"/>
              </w:rPr>
            </w:pPr>
            <w:proofErr w:type="spellStart"/>
            <w:r w:rsidRPr="004F328B">
              <w:rPr>
                <w:sz w:val="18"/>
                <w:szCs w:val="18"/>
                <w:lang w:val="en-GB"/>
              </w:rPr>
              <w:t>Preti</w:t>
            </w:r>
            <w:proofErr w:type="spellEnd"/>
            <w:r w:rsidRPr="004F328B">
              <w:rPr>
                <w:sz w:val="18"/>
                <w:szCs w:val="18"/>
                <w:lang w:val="en-GB"/>
              </w:rPr>
              <w:t xml:space="preserve"> et al. (2020)</w:t>
            </w:r>
            <w:r w:rsidR="009D2D38">
              <w:rPr>
                <w:sz w:val="18"/>
                <w:szCs w:val="18"/>
                <w:lang w:val="en-GB"/>
              </w:rPr>
              <w:t xml:space="preserve"> </w:t>
            </w:r>
            <w:r w:rsidR="002C5177">
              <w:rPr>
                <w:sz w:val="18"/>
                <w:szCs w:val="18"/>
                <w:lang w:val="en-GB"/>
              </w:rPr>
              <w:fldChar w:fldCharType="begin"/>
            </w:r>
            <w:r w:rsidR="002C5177">
              <w:rPr>
                <w:sz w:val="18"/>
                <w:szCs w:val="18"/>
                <w:lang w:val="en-GB"/>
              </w:rPr>
              <w:instrText xml:space="preserve"> ADDIN ZOTERO_ITEM CSL_CITATION {"citationID":"FjALJCZ1","properties":{"formattedCitation":"[18]","plainCitation":"[18]","noteIndex":0},"citationItems":[{"id":119,"uris":["http://zotero.org/users/local/CblV8433/items/YHUWWATZ"],"itemData":{"id":119,"type":"article-journal","abstract":"BACKGROUND: The aim was to estimate the risk of subsequent extra-cervical Human Papillomavirus (HPV) related cancer in patients surgically treated for high grade cervical intraepithelial neoplasia (CIN 2-3). This is the first study in Italy investigating the occurrence of extra-cervical tumors in this cohort of patients.\nMETHODS: 3184 patients surgically treated for CIN2-3 since 1992 at the Department of Surgical Sciences of University of Torino were considered. The risk of HPV-related cancer was calculated as Standardized Incidence Ratio (SIR), using as expected values tumour age specific incidence of resident population.\nRESULTS: 173 second primary cancer (SCPs) were identified. SIR to develop cancer after treatment for CIN2-3 was 2.2 (CI 95% 1.89-2.50). Among these occurrences, 10 are in HPV related sites: 1 anus (SIR = 1.8; 0.04-10.0), 3 vagina (SIR = 12.4; 2.56-36.3), 1 vulva (SIR = 1.7; 0.04-9.59), 5 oropharynx (SIR = 8.5; 2.76-19.8). Significant risk has been also recorded for pulmonary (SIR = 3.1; 0.70-5.27) and bladder (SIR = 4.05; 1.10-10.56), with smoking as possible cofactor. We also found increased risk for breast (SIR = 2.4; 2.07-2.84) and ovarian cancers (SIR = 2.1; 1.13-3.49), probably due to an higher adherence to spontaneous and programmed screening programs.\nCONCLUSIONS: Our study supports the hypothesis of an increased risk of HPV-related tumours for CIN treated patients, mostly for CIN3. It is conceivable the need of early diagnosis for these cancers in this higher-risk populations.","container-title":"BMC cancer","DOI":"10.1186/s12885-020-07452-6","ISSN":"1471-2407","issue":"1","journalAbbreviation":"BMC Cancer","language":"eng","note":"PMID: 33028248\nPMCID: PMC7542855","page":"972","source":"PubMed","title":"Risk of HPV-related extra-cervical cancers in women treated for cervical intraepithelial neoplasia","volume":"20","author":[{"family":"Preti","given":"Mario"},{"family":"Rosso","given":"Stefano"},{"family":"Micheletti","given":"Leonardo"},{"family":"Libero","given":"Carola"},{"family":"Sobrato","given":"Irene"},{"family":"Giordano","given":"Livia"},{"family":"Busso","given":"Paola"},{"family":"Gallio","given":"Niccolò"},{"family":"Cosma","given":"Stefano"},{"family":"Bevilacqua","given":"Federica"},{"family":"Benedetto","given":"Chiara"}],"issued":{"date-parts":[["2020",10,7]]}}}],"schema":"https://github.com/citation-style-language/schema/raw/master/csl-citation.json"} </w:instrText>
            </w:r>
            <w:r w:rsidR="002C5177">
              <w:rPr>
                <w:sz w:val="18"/>
                <w:szCs w:val="18"/>
                <w:lang w:val="en-GB"/>
              </w:rPr>
              <w:fldChar w:fldCharType="separate"/>
            </w:r>
            <w:r w:rsidR="002C5177">
              <w:rPr>
                <w:noProof/>
                <w:sz w:val="18"/>
                <w:szCs w:val="18"/>
                <w:lang w:val="en-GB"/>
              </w:rPr>
              <w:t>[18]</w:t>
            </w:r>
            <w:r w:rsidR="002C5177">
              <w:rPr>
                <w:sz w:val="18"/>
                <w:szCs w:val="18"/>
                <w:lang w:val="en-GB"/>
              </w:rPr>
              <w:fldChar w:fldCharType="end"/>
            </w:r>
          </w:p>
        </w:tc>
        <w:tc>
          <w:tcPr>
            <w:tcW w:w="1134" w:type="dxa"/>
            <w:shd w:val="clear" w:color="auto" w:fill="FF7A57"/>
          </w:tcPr>
          <w:p w14:paraId="6CF6175F" w14:textId="77777777" w:rsidR="00435CF2" w:rsidRPr="004F328B" w:rsidRDefault="00435CF2" w:rsidP="00825395">
            <w:pPr>
              <w:rPr>
                <w:sz w:val="18"/>
                <w:szCs w:val="18"/>
                <w:lang w:val="en-GB"/>
              </w:rPr>
            </w:pPr>
            <w:r>
              <w:rPr>
                <w:sz w:val="18"/>
                <w:szCs w:val="18"/>
                <w:lang w:val="en-GB"/>
              </w:rPr>
              <w:t>H</w:t>
            </w:r>
          </w:p>
        </w:tc>
        <w:tc>
          <w:tcPr>
            <w:tcW w:w="1276" w:type="dxa"/>
          </w:tcPr>
          <w:p w14:paraId="37EB9B9C" w14:textId="77777777" w:rsidR="00435CF2" w:rsidRPr="004F328B" w:rsidRDefault="00435CF2" w:rsidP="00825395">
            <w:pPr>
              <w:rPr>
                <w:sz w:val="18"/>
                <w:szCs w:val="18"/>
                <w:lang w:val="en-GB"/>
              </w:rPr>
            </w:pPr>
            <w:r>
              <w:rPr>
                <w:sz w:val="18"/>
                <w:szCs w:val="18"/>
                <w:lang w:val="en-GB"/>
              </w:rPr>
              <w:t>L</w:t>
            </w:r>
          </w:p>
        </w:tc>
        <w:tc>
          <w:tcPr>
            <w:tcW w:w="1275" w:type="dxa"/>
            <w:shd w:val="clear" w:color="auto" w:fill="auto"/>
          </w:tcPr>
          <w:p w14:paraId="64BD9280" w14:textId="77777777" w:rsidR="00435CF2" w:rsidRPr="004F328B" w:rsidRDefault="00435CF2" w:rsidP="00825395">
            <w:pPr>
              <w:rPr>
                <w:sz w:val="18"/>
                <w:szCs w:val="18"/>
                <w:lang w:val="en-GB"/>
              </w:rPr>
            </w:pPr>
            <w:r>
              <w:rPr>
                <w:sz w:val="18"/>
                <w:szCs w:val="18"/>
                <w:lang w:val="en-GB"/>
              </w:rPr>
              <w:t>L</w:t>
            </w:r>
          </w:p>
        </w:tc>
        <w:tc>
          <w:tcPr>
            <w:tcW w:w="1134" w:type="dxa"/>
            <w:shd w:val="clear" w:color="auto" w:fill="auto"/>
          </w:tcPr>
          <w:p w14:paraId="57AA28BE" w14:textId="0348F802" w:rsidR="00435CF2" w:rsidRPr="004F328B" w:rsidRDefault="00471A69" w:rsidP="00825395">
            <w:pPr>
              <w:rPr>
                <w:sz w:val="18"/>
                <w:szCs w:val="18"/>
                <w:lang w:val="en-GB"/>
              </w:rPr>
            </w:pPr>
            <w:r>
              <w:rPr>
                <w:sz w:val="18"/>
                <w:szCs w:val="18"/>
                <w:lang w:val="en-GB"/>
              </w:rPr>
              <w:t>L</w:t>
            </w:r>
          </w:p>
        </w:tc>
        <w:tc>
          <w:tcPr>
            <w:tcW w:w="1134" w:type="dxa"/>
            <w:shd w:val="clear" w:color="auto" w:fill="FF7A57"/>
          </w:tcPr>
          <w:p w14:paraId="35E9DE9C" w14:textId="77777777" w:rsidR="00435CF2" w:rsidRPr="004F328B" w:rsidRDefault="00435CF2" w:rsidP="00825395">
            <w:pPr>
              <w:rPr>
                <w:sz w:val="18"/>
                <w:szCs w:val="18"/>
                <w:lang w:val="en-GB"/>
              </w:rPr>
            </w:pPr>
            <w:r>
              <w:rPr>
                <w:sz w:val="18"/>
                <w:szCs w:val="18"/>
                <w:lang w:val="en-GB"/>
              </w:rPr>
              <w:t>H</w:t>
            </w:r>
          </w:p>
        </w:tc>
        <w:tc>
          <w:tcPr>
            <w:tcW w:w="1276" w:type="dxa"/>
          </w:tcPr>
          <w:p w14:paraId="680DDB7D" w14:textId="77777777" w:rsidR="00435CF2" w:rsidRPr="004F328B" w:rsidRDefault="00435CF2" w:rsidP="00825395">
            <w:pPr>
              <w:rPr>
                <w:sz w:val="18"/>
                <w:szCs w:val="18"/>
                <w:lang w:val="en-GB"/>
              </w:rPr>
            </w:pPr>
            <w:r>
              <w:rPr>
                <w:sz w:val="18"/>
                <w:szCs w:val="18"/>
                <w:lang w:val="en-GB"/>
              </w:rPr>
              <w:t>L</w:t>
            </w:r>
          </w:p>
        </w:tc>
        <w:tc>
          <w:tcPr>
            <w:tcW w:w="1276" w:type="dxa"/>
          </w:tcPr>
          <w:p w14:paraId="76AA3BEC" w14:textId="77777777" w:rsidR="00435CF2" w:rsidRPr="004F328B" w:rsidRDefault="00435CF2" w:rsidP="00825395">
            <w:pPr>
              <w:rPr>
                <w:sz w:val="18"/>
                <w:szCs w:val="18"/>
                <w:lang w:val="en-GB"/>
              </w:rPr>
            </w:pPr>
            <w:r>
              <w:rPr>
                <w:sz w:val="18"/>
                <w:szCs w:val="18"/>
                <w:lang w:val="en-GB"/>
              </w:rPr>
              <w:t>L</w:t>
            </w:r>
          </w:p>
        </w:tc>
        <w:tc>
          <w:tcPr>
            <w:tcW w:w="1984" w:type="dxa"/>
            <w:shd w:val="clear" w:color="auto" w:fill="FF7A57"/>
          </w:tcPr>
          <w:p w14:paraId="7BC9D40D" w14:textId="77777777" w:rsidR="00435CF2" w:rsidRPr="004F328B" w:rsidRDefault="00435CF2" w:rsidP="00825395">
            <w:pPr>
              <w:rPr>
                <w:sz w:val="18"/>
                <w:szCs w:val="18"/>
                <w:lang w:val="en-GB"/>
              </w:rPr>
            </w:pPr>
            <w:r>
              <w:rPr>
                <w:sz w:val="18"/>
                <w:szCs w:val="18"/>
                <w:lang w:val="en-GB"/>
              </w:rPr>
              <w:t>H</w:t>
            </w:r>
          </w:p>
        </w:tc>
      </w:tr>
      <w:tr w:rsidR="00435CF2" w:rsidRPr="004F328B" w14:paraId="4C7E433A" w14:textId="77777777" w:rsidTr="003F2A3B">
        <w:trPr>
          <w:trHeight w:val="354"/>
        </w:trPr>
        <w:tc>
          <w:tcPr>
            <w:tcW w:w="568" w:type="dxa"/>
          </w:tcPr>
          <w:p w14:paraId="06CAB0BF" w14:textId="77777777" w:rsidR="00435CF2" w:rsidRPr="00DB04A3" w:rsidRDefault="00435CF2" w:rsidP="00825395">
            <w:pPr>
              <w:rPr>
                <w:sz w:val="18"/>
                <w:szCs w:val="18"/>
                <w:lang w:val="en-GB"/>
              </w:rPr>
            </w:pPr>
            <w:r>
              <w:rPr>
                <w:sz w:val="18"/>
                <w:szCs w:val="18"/>
                <w:lang w:val="en-GB"/>
              </w:rPr>
              <w:t>19</w:t>
            </w:r>
            <w:r w:rsidRPr="00DB04A3">
              <w:rPr>
                <w:sz w:val="18"/>
                <w:szCs w:val="18"/>
                <w:lang w:val="en-GB"/>
              </w:rPr>
              <w:t>.</w:t>
            </w:r>
          </w:p>
        </w:tc>
        <w:tc>
          <w:tcPr>
            <w:tcW w:w="1843" w:type="dxa"/>
          </w:tcPr>
          <w:p w14:paraId="28EB3334" w14:textId="7FD81C36" w:rsidR="00435CF2" w:rsidRPr="004F328B" w:rsidRDefault="00435CF2" w:rsidP="00825395">
            <w:pPr>
              <w:rPr>
                <w:sz w:val="18"/>
                <w:szCs w:val="18"/>
                <w:lang w:val="en-GB"/>
              </w:rPr>
            </w:pPr>
            <w:proofErr w:type="spellStart"/>
            <w:r w:rsidRPr="004F328B">
              <w:rPr>
                <w:sz w:val="18"/>
                <w:szCs w:val="18"/>
                <w:lang w:val="en-GB"/>
              </w:rPr>
              <w:t>Rabkin</w:t>
            </w:r>
            <w:proofErr w:type="spellEnd"/>
            <w:r w:rsidRPr="004F328B">
              <w:rPr>
                <w:sz w:val="18"/>
                <w:szCs w:val="18"/>
                <w:lang w:val="en-GB"/>
              </w:rPr>
              <w:t xml:space="preserve"> et al. (1992)</w:t>
            </w:r>
            <w:r w:rsidR="009D2D38">
              <w:rPr>
                <w:sz w:val="18"/>
                <w:szCs w:val="18"/>
                <w:lang w:val="en-GB"/>
              </w:rPr>
              <w:t xml:space="preserve"> </w:t>
            </w:r>
            <w:r w:rsidR="002C5177">
              <w:rPr>
                <w:sz w:val="18"/>
                <w:szCs w:val="18"/>
                <w:lang w:val="en-GB"/>
              </w:rPr>
              <w:fldChar w:fldCharType="begin"/>
            </w:r>
            <w:r w:rsidR="002C5177">
              <w:rPr>
                <w:sz w:val="18"/>
                <w:szCs w:val="18"/>
                <w:lang w:val="en-GB"/>
              </w:rPr>
              <w:instrText xml:space="preserve"> ADDIN ZOTERO_ITEM CSL_CITATION {"citationID":"HUIO08Pz","properties":{"formattedCitation":"[19]","plainCitation":"[19]","noteIndex":0},"citationItems":[{"id":70,"uris":["http://zotero.org/users/local/CblV8433/items/TJM5D94A"],"itemData":{"id":70,"type":"article-journal","container-title":"American Journal of Epidemiology","DOI":"10.1093/oxfordjournals.aje.a116420","ISSN":"1476-6256, 0002-9262","issue":"1","language":"en","page":"54-58","source":"DOI.org (Crossref)","title":"Second Primary Cancers following Anal and Cervical Carcinoma: Evidence of Shared Etiologic Factors","title-short":"Second Primary Cancers following Anal and Cervical Carcinoma","volume":"136","author":[{"family":"Rabkin","given":"Charles S."},{"family":"Biggar","given":"Robert J."},{"family":"Melbye","given":"Mads"},{"family":"Curtis","given":"Rochelle E."}],"issued":{"date-parts":[["1992",7,1]]}}}],"schema":"https://github.com/citation-style-language/schema/raw/master/csl-citation.json"} </w:instrText>
            </w:r>
            <w:r w:rsidR="002C5177">
              <w:rPr>
                <w:sz w:val="18"/>
                <w:szCs w:val="18"/>
                <w:lang w:val="en-GB"/>
              </w:rPr>
              <w:fldChar w:fldCharType="separate"/>
            </w:r>
            <w:r w:rsidR="002C5177">
              <w:rPr>
                <w:noProof/>
                <w:sz w:val="18"/>
                <w:szCs w:val="18"/>
                <w:lang w:val="en-GB"/>
              </w:rPr>
              <w:t>[19]</w:t>
            </w:r>
            <w:r w:rsidR="002C5177">
              <w:rPr>
                <w:sz w:val="18"/>
                <w:szCs w:val="18"/>
                <w:lang w:val="en-GB"/>
              </w:rPr>
              <w:fldChar w:fldCharType="end"/>
            </w:r>
          </w:p>
        </w:tc>
        <w:tc>
          <w:tcPr>
            <w:tcW w:w="1134" w:type="dxa"/>
          </w:tcPr>
          <w:p w14:paraId="621824FC" w14:textId="77777777" w:rsidR="00435CF2" w:rsidRPr="004F328B" w:rsidRDefault="00435CF2" w:rsidP="00825395">
            <w:pPr>
              <w:rPr>
                <w:sz w:val="18"/>
                <w:szCs w:val="18"/>
                <w:lang w:val="en-GB"/>
              </w:rPr>
            </w:pPr>
            <w:r>
              <w:rPr>
                <w:sz w:val="18"/>
                <w:szCs w:val="18"/>
                <w:lang w:val="en-GB"/>
              </w:rPr>
              <w:t>L</w:t>
            </w:r>
          </w:p>
        </w:tc>
        <w:tc>
          <w:tcPr>
            <w:tcW w:w="1276" w:type="dxa"/>
          </w:tcPr>
          <w:p w14:paraId="534FC23E" w14:textId="77777777" w:rsidR="00435CF2" w:rsidRPr="004F328B" w:rsidRDefault="00435CF2" w:rsidP="00825395">
            <w:pPr>
              <w:rPr>
                <w:sz w:val="18"/>
                <w:szCs w:val="18"/>
                <w:lang w:val="en-GB"/>
              </w:rPr>
            </w:pPr>
            <w:r>
              <w:rPr>
                <w:sz w:val="18"/>
                <w:szCs w:val="18"/>
                <w:lang w:val="en-GB"/>
              </w:rPr>
              <w:t>L</w:t>
            </w:r>
          </w:p>
        </w:tc>
        <w:tc>
          <w:tcPr>
            <w:tcW w:w="1275" w:type="dxa"/>
          </w:tcPr>
          <w:p w14:paraId="35DBB78A" w14:textId="77777777" w:rsidR="00435CF2" w:rsidRPr="004F328B" w:rsidRDefault="00435CF2" w:rsidP="00825395">
            <w:pPr>
              <w:rPr>
                <w:sz w:val="18"/>
                <w:szCs w:val="18"/>
                <w:lang w:val="en-GB"/>
              </w:rPr>
            </w:pPr>
            <w:r>
              <w:rPr>
                <w:sz w:val="18"/>
                <w:szCs w:val="18"/>
                <w:lang w:val="en-GB"/>
              </w:rPr>
              <w:t>L</w:t>
            </w:r>
          </w:p>
        </w:tc>
        <w:tc>
          <w:tcPr>
            <w:tcW w:w="1134" w:type="dxa"/>
            <w:shd w:val="clear" w:color="auto" w:fill="EE7754"/>
          </w:tcPr>
          <w:p w14:paraId="491CFC01" w14:textId="532A635B" w:rsidR="00435CF2" w:rsidRPr="004F328B" w:rsidRDefault="003F2A3B" w:rsidP="00825395">
            <w:pPr>
              <w:rPr>
                <w:sz w:val="18"/>
                <w:szCs w:val="18"/>
                <w:lang w:val="en-GB"/>
              </w:rPr>
            </w:pPr>
            <w:r>
              <w:rPr>
                <w:sz w:val="18"/>
                <w:szCs w:val="18"/>
                <w:lang w:val="en-GB"/>
              </w:rPr>
              <w:t>H</w:t>
            </w:r>
          </w:p>
        </w:tc>
        <w:tc>
          <w:tcPr>
            <w:tcW w:w="1134" w:type="dxa"/>
          </w:tcPr>
          <w:p w14:paraId="77FC8827" w14:textId="77777777" w:rsidR="00435CF2" w:rsidRPr="004F328B" w:rsidRDefault="00435CF2" w:rsidP="00825395">
            <w:pPr>
              <w:rPr>
                <w:sz w:val="18"/>
                <w:szCs w:val="18"/>
                <w:lang w:val="en-GB"/>
              </w:rPr>
            </w:pPr>
            <w:r>
              <w:rPr>
                <w:sz w:val="18"/>
                <w:szCs w:val="18"/>
                <w:lang w:val="en-GB"/>
              </w:rPr>
              <w:t>L</w:t>
            </w:r>
          </w:p>
        </w:tc>
        <w:tc>
          <w:tcPr>
            <w:tcW w:w="1276" w:type="dxa"/>
          </w:tcPr>
          <w:p w14:paraId="2E003F8C" w14:textId="77777777" w:rsidR="00435CF2" w:rsidRPr="004F328B" w:rsidRDefault="00435CF2" w:rsidP="00825395">
            <w:pPr>
              <w:rPr>
                <w:sz w:val="18"/>
                <w:szCs w:val="18"/>
                <w:lang w:val="en-GB"/>
              </w:rPr>
            </w:pPr>
            <w:r>
              <w:rPr>
                <w:sz w:val="18"/>
                <w:szCs w:val="18"/>
                <w:lang w:val="en-GB"/>
              </w:rPr>
              <w:t>L</w:t>
            </w:r>
          </w:p>
        </w:tc>
        <w:tc>
          <w:tcPr>
            <w:tcW w:w="1276" w:type="dxa"/>
            <w:shd w:val="clear" w:color="auto" w:fill="auto"/>
          </w:tcPr>
          <w:p w14:paraId="5A92AF9B" w14:textId="19617601" w:rsidR="00435CF2" w:rsidRPr="004F328B" w:rsidRDefault="003F2A3B" w:rsidP="00825395">
            <w:pPr>
              <w:rPr>
                <w:sz w:val="18"/>
                <w:szCs w:val="18"/>
                <w:lang w:val="en-GB"/>
              </w:rPr>
            </w:pPr>
            <w:r>
              <w:rPr>
                <w:sz w:val="18"/>
                <w:szCs w:val="18"/>
                <w:lang w:val="en-GB"/>
              </w:rPr>
              <w:t>L</w:t>
            </w:r>
          </w:p>
        </w:tc>
        <w:tc>
          <w:tcPr>
            <w:tcW w:w="1984" w:type="dxa"/>
            <w:shd w:val="clear" w:color="auto" w:fill="EE7754"/>
          </w:tcPr>
          <w:p w14:paraId="4867ADAB" w14:textId="13EDC3E1" w:rsidR="00435CF2" w:rsidRPr="004F328B" w:rsidRDefault="00CE3F54" w:rsidP="00825395">
            <w:pPr>
              <w:rPr>
                <w:sz w:val="18"/>
                <w:szCs w:val="18"/>
                <w:lang w:val="en-GB"/>
              </w:rPr>
            </w:pPr>
            <w:r>
              <w:rPr>
                <w:sz w:val="18"/>
                <w:szCs w:val="18"/>
                <w:lang w:val="en-GB"/>
              </w:rPr>
              <w:t>H</w:t>
            </w:r>
          </w:p>
        </w:tc>
      </w:tr>
      <w:tr w:rsidR="00435CF2" w:rsidRPr="004F328B" w14:paraId="14991EB0" w14:textId="77777777" w:rsidTr="00825395">
        <w:trPr>
          <w:trHeight w:val="354"/>
        </w:trPr>
        <w:tc>
          <w:tcPr>
            <w:tcW w:w="568" w:type="dxa"/>
          </w:tcPr>
          <w:p w14:paraId="22E5D433" w14:textId="77777777" w:rsidR="00435CF2" w:rsidRPr="00DB04A3" w:rsidRDefault="00435CF2" w:rsidP="00825395">
            <w:pPr>
              <w:rPr>
                <w:sz w:val="18"/>
                <w:szCs w:val="18"/>
                <w:lang w:val="en-GB"/>
              </w:rPr>
            </w:pPr>
            <w:r w:rsidRPr="00DB04A3">
              <w:rPr>
                <w:sz w:val="18"/>
                <w:szCs w:val="18"/>
                <w:lang w:val="en-GB"/>
              </w:rPr>
              <w:t>2</w:t>
            </w:r>
            <w:r>
              <w:rPr>
                <w:sz w:val="18"/>
                <w:szCs w:val="18"/>
                <w:lang w:val="en-GB"/>
              </w:rPr>
              <w:t>0</w:t>
            </w:r>
            <w:r w:rsidRPr="00DB04A3">
              <w:rPr>
                <w:sz w:val="18"/>
                <w:szCs w:val="18"/>
                <w:lang w:val="en-GB"/>
              </w:rPr>
              <w:t>.</w:t>
            </w:r>
          </w:p>
        </w:tc>
        <w:tc>
          <w:tcPr>
            <w:tcW w:w="1843" w:type="dxa"/>
          </w:tcPr>
          <w:p w14:paraId="660A70FB" w14:textId="782E2F41" w:rsidR="00435CF2" w:rsidRPr="004F328B" w:rsidRDefault="00435CF2" w:rsidP="00825395">
            <w:pPr>
              <w:rPr>
                <w:sz w:val="18"/>
                <w:szCs w:val="18"/>
                <w:lang w:val="en-GB"/>
              </w:rPr>
            </w:pPr>
            <w:r w:rsidRPr="004F328B">
              <w:rPr>
                <w:sz w:val="18"/>
                <w:szCs w:val="18"/>
                <w:lang w:val="en-GB"/>
              </w:rPr>
              <w:t>Saleem et al. (2011)</w:t>
            </w:r>
            <w:r w:rsidR="002C5177">
              <w:rPr>
                <w:sz w:val="18"/>
                <w:szCs w:val="18"/>
                <w:lang w:val="en-GB"/>
              </w:rPr>
              <w:fldChar w:fldCharType="begin"/>
            </w:r>
            <w:r w:rsidR="002C5177">
              <w:rPr>
                <w:sz w:val="18"/>
                <w:szCs w:val="18"/>
                <w:lang w:val="en-GB"/>
              </w:rPr>
              <w:instrText xml:space="preserve"> ADDIN ZOTERO_ITEM CSL_CITATION {"citationID":"ASgxYyMo","properties":{"formattedCitation":"[20]","plainCitation":"[20]","noteIndex":0},"citationItems":[{"id":71,"uris":["http://zotero.org/users/local/CblV8433/items/4W6BF6KE"],"itemData":{"id":71,"type":"article-journal","container-title":"Obstetrics &amp; Gynecology","DOI":"10.1097/AOG.0b013e31820bfb16","ISSN":"0029-7844","issue":"3","language":"en","page":"643-649","source":"DOI.org (Crossref)","title":"Risk of Anal Cancer in a Cohort With Human Papillomavirus–Related Gynecologic Neoplasm","volume":"117","author":[{"family":"Saleem","given":"Abdulaziz M."},{"family":"Paulus","given":"Jessica K."},{"family":"Shapter","given":"Anne P."},{"family":"Baxter","given":"Nancy N."},{"family":"Roberts","given":"Patricia L."},{"family":"Ricciardi","given":"Rocco"}],"issued":{"date-parts":[["2011",3]]}}}],"schema":"https://github.com/citation-style-language/schema/raw/master/csl-citation.json"} </w:instrText>
            </w:r>
            <w:r w:rsidR="002C5177">
              <w:rPr>
                <w:sz w:val="18"/>
                <w:szCs w:val="18"/>
                <w:lang w:val="en-GB"/>
              </w:rPr>
              <w:fldChar w:fldCharType="separate"/>
            </w:r>
            <w:r w:rsidR="002C5177">
              <w:rPr>
                <w:noProof/>
                <w:sz w:val="18"/>
                <w:szCs w:val="18"/>
                <w:lang w:val="en-GB"/>
              </w:rPr>
              <w:t>[20]</w:t>
            </w:r>
            <w:r w:rsidR="002C5177">
              <w:rPr>
                <w:sz w:val="18"/>
                <w:szCs w:val="18"/>
                <w:lang w:val="en-GB"/>
              </w:rPr>
              <w:fldChar w:fldCharType="end"/>
            </w:r>
            <w:r w:rsidR="002C5177" w:rsidRPr="004F328B">
              <w:rPr>
                <w:sz w:val="18"/>
                <w:szCs w:val="18"/>
                <w:lang w:val="en-GB"/>
              </w:rPr>
              <w:t xml:space="preserve"> </w:t>
            </w:r>
          </w:p>
        </w:tc>
        <w:tc>
          <w:tcPr>
            <w:tcW w:w="1134" w:type="dxa"/>
          </w:tcPr>
          <w:p w14:paraId="399D3FD3" w14:textId="77777777" w:rsidR="00435CF2" w:rsidRPr="004F328B" w:rsidRDefault="00435CF2" w:rsidP="00825395">
            <w:pPr>
              <w:rPr>
                <w:sz w:val="18"/>
                <w:szCs w:val="18"/>
                <w:lang w:val="en-GB"/>
              </w:rPr>
            </w:pPr>
            <w:r>
              <w:rPr>
                <w:sz w:val="18"/>
                <w:szCs w:val="18"/>
                <w:lang w:val="en-GB"/>
              </w:rPr>
              <w:t>L</w:t>
            </w:r>
          </w:p>
        </w:tc>
        <w:tc>
          <w:tcPr>
            <w:tcW w:w="1276" w:type="dxa"/>
          </w:tcPr>
          <w:p w14:paraId="60A6580B" w14:textId="77777777" w:rsidR="00435CF2" w:rsidRPr="004F328B" w:rsidRDefault="00435CF2" w:rsidP="00825395">
            <w:pPr>
              <w:rPr>
                <w:sz w:val="18"/>
                <w:szCs w:val="18"/>
                <w:lang w:val="en-GB"/>
              </w:rPr>
            </w:pPr>
            <w:r>
              <w:rPr>
                <w:sz w:val="18"/>
                <w:szCs w:val="18"/>
                <w:lang w:val="en-GB"/>
              </w:rPr>
              <w:t>L</w:t>
            </w:r>
          </w:p>
        </w:tc>
        <w:tc>
          <w:tcPr>
            <w:tcW w:w="1275" w:type="dxa"/>
          </w:tcPr>
          <w:p w14:paraId="688C8864" w14:textId="77777777" w:rsidR="00435CF2" w:rsidRPr="004F328B" w:rsidRDefault="00435CF2" w:rsidP="00825395">
            <w:pPr>
              <w:rPr>
                <w:sz w:val="18"/>
                <w:szCs w:val="18"/>
                <w:lang w:val="en-GB"/>
              </w:rPr>
            </w:pPr>
            <w:r>
              <w:rPr>
                <w:sz w:val="18"/>
                <w:szCs w:val="18"/>
                <w:lang w:val="en-GB"/>
              </w:rPr>
              <w:t>L</w:t>
            </w:r>
          </w:p>
        </w:tc>
        <w:tc>
          <w:tcPr>
            <w:tcW w:w="1134" w:type="dxa"/>
          </w:tcPr>
          <w:p w14:paraId="725961D5" w14:textId="77777777" w:rsidR="00435CF2" w:rsidRPr="004F328B" w:rsidRDefault="00435CF2" w:rsidP="00825395">
            <w:pPr>
              <w:rPr>
                <w:sz w:val="18"/>
                <w:szCs w:val="18"/>
                <w:lang w:val="en-GB"/>
              </w:rPr>
            </w:pPr>
            <w:r>
              <w:rPr>
                <w:sz w:val="18"/>
                <w:szCs w:val="18"/>
                <w:lang w:val="en-GB"/>
              </w:rPr>
              <w:t>L</w:t>
            </w:r>
          </w:p>
        </w:tc>
        <w:tc>
          <w:tcPr>
            <w:tcW w:w="1134" w:type="dxa"/>
          </w:tcPr>
          <w:p w14:paraId="6A0B0BBB" w14:textId="77777777" w:rsidR="00435CF2" w:rsidRPr="004F328B" w:rsidRDefault="00435CF2" w:rsidP="00825395">
            <w:pPr>
              <w:rPr>
                <w:sz w:val="18"/>
                <w:szCs w:val="18"/>
                <w:lang w:val="en-GB"/>
              </w:rPr>
            </w:pPr>
            <w:r>
              <w:rPr>
                <w:sz w:val="18"/>
                <w:szCs w:val="18"/>
                <w:lang w:val="en-GB"/>
              </w:rPr>
              <w:t>L</w:t>
            </w:r>
          </w:p>
        </w:tc>
        <w:tc>
          <w:tcPr>
            <w:tcW w:w="1276" w:type="dxa"/>
          </w:tcPr>
          <w:p w14:paraId="44CDFFBE" w14:textId="77777777" w:rsidR="00435CF2" w:rsidRPr="004F328B" w:rsidRDefault="00435CF2" w:rsidP="00825395">
            <w:pPr>
              <w:rPr>
                <w:sz w:val="18"/>
                <w:szCs w:val="18"/>
                <w:lang w:val="en-GB"/>
              </w:rPr>
            </w:pPr>
            <w:r>
              <w:rPr>
                <w:sz w:val="18"/>
                <w:szCs w:val="18"/>
                <w:lang w:val="en-GB"/>
              </w:rPr>
              <w:t>L</w:t>
            </w:r>
          </w:p>
        </w:tc>
        <w:tc>
          <w:tcPr>
            <w:tcW w:w="1276" w:type="dxa"/>
          </w:tcPr>
          <w:p w14:paraId="2DD8EAB3" w14:textId="77777777" w:rsidR="00435CF2" w:rsidRPr="004F328B" w:rsidRDefault="00435CF2" w:rsidP="00825395">
            <w:pPr>
              <w:rPr>
                <w:sz w:val="18"/>
                <w:szCs w:val="18"/>
                <w:lang w:val="en-GB"/>
              </w:rPr>
            </w:pPr>
            <w:r>
              <w:rPr>
                <w:sz w:val="18"/>
                <w:szCs w:val="18"/>
                <w:lang w:val="en-GB"/>
              </w:rPr>
              <w:t>L</w:t>
            </w:r>
          </w:p>
        </w:tc>
        <w:tc>
          <w:tcPr>
            <w:tcW w:w="1984" w:type="dxa"/>
          </w:tcPr>
          <w:p w14:paraId="75B0A439" w14:textId="77777777" w:rsidR="00435CF2" w:rsidRPr="004F328B" w:rsidRDefault="00435CF2" w:rsidP="00825395">
            <w:pPr>
              <w:rPr>
                <w:sz w:val="18"/>
                <w:szCs w:val="18"/>
                <w:lang w:val="en-GB"/>
              </w:rPr>
            </w:pPr>
            <w:r>
              <w:rPr>
                <w:sz w:val="18"/>
                <w:szCs w:val="18"/>
                <w:lang w:val="en-GB"/>
              </w:rPr>
              <w:t>L</w:t>
            </w:r>
          </w:p>
        </w:tc>
      </w:tr>
      <w:tr w:rsidR="00435CF2" w:rsidRPr="004F328B" w14:paraId="02625214" w14:textId="77777777" w:rsidTr="00825395">
        <w:trPr>
          <w:trHeight w:val="354"/>
        </w:trPr>
        <w:tc>
          <w:tcPr>
            <w:tcW w:w="568" w:type="dxa"/>
          </w:tcPr>
          <w:p w14:paraId="513B02B4" w14:textId="77777777" w:rsidR="00435CF2" w:rsidRPr="00DB04A3" w:rsidRDefault="00435CF2" w:rsidP="00825395">
            <w:pPr>
              <w:rPr>
                <w:sz w:val="18"/>
                <w:szCs w:val="18"/>
                <w:lang w:val="en-GB"/>
              </w:rPr>
            </w:pPr>
            <w:r w:rsidRPr="00DB04A3">
              <w:rPr>
                <w:sz w:val="18"/>
                <w:szCs w:val="18"/>
                <w:lang w:val="en-GB"/>
              </w:rPr>
              <w:t>2</w:t>
            </w:r>
            <w:r>
              <w:rPr>
                <w:sz w:val="18"/>
                <w:szCs w:val="18"/>
                <w:lang w:val="en-GB"/>
              </w:rPr>
              <w:t>1</w:t>
            </w:r>
            <w:r w:rsidRPr="00DB04A3">
              <w:rPr>
                <w:sz w:val="18"/>
                <w:szCs w:val="18"/>
                <w:lang w:val="en-GB"/>
              </w:rPr>
              <w:t>.</w:t>
            </w:r>
          </w:p>
        </w:tc>
        <w:tc>
          <w:tcPr>
            <w:tcW w:w="1843" w:type="dxa"/>
          </w:tcPr>
          <w:p w14:paraId="5FE39924" w14:textId="2D1E5DE5" w:rsidR="00435CF2" w:rsidRPr="004F328B" w:rsidRDefault="00435CF2" w:rsidP="00825395">
            <w:pPr>
              <w:rPr>
                <w:sz w:val="18"/>
                <w:szCs w:val="18"/>
                <w:lang w:val="en-GB"/>
              </w:rPr>
            </w:pPr>
            <w:r w:rsidRPr="004F328B">
              <w:rPr>
                <w:sz w:val="18"/>
                <w:szCs w:val="18"/>
                <w:lang w:val="en-GB"/>
              </w:rPr>
              <w:t>Sand et al. (2016)</w:t>
            </w:r>
            <w:r w:rsidR="009D2D38">
              <w:rPr>
                <w:sz w:val="18"/>
                <w:szCs w:val="18"/>
                <w:lang w:val="en-GB"/>
              </w:rPr>
              <w:t xml:space="preserve"> </w:t>
            </w:r>
            <w:r w:rsidR="002C5177">
              <w:rPr>
                <w:sz w:val="18"/>
                <w:szCs w:val="18"/>
                <w:lang w:val="en-GB"/>
              </w:rPr>
              <w:fldChar w:fldCharType="begin"/>
            </w:r>
            <w:r w:rsidR="002C5177">
              <w:rPr>
                <w:sz w:val="18"/>
                <w:szCs w:val="18"/>
                <w:lang w:val="en-GB"/>
              </w:rPr>
              <w:instrText xml:space="preserve"> ADDIN ZOTERO_ITEM CSL_CITATION {"citationID":"f5eMrhL8","properties":{"formattedCitation":"[21]","plainCitation":"[21]","noteIndex":0},"citationItems":[{"id":72,"uris":["http://zotero.org/users/local/CblV8433/items/R34338EW"],"itemData":{"id":72,"type":"article-journal","abstract":"Background: High-risk human papillomavirus (HPV) is essential for developing high-grade cervical intraepithelial neoplasia (CIN2 and CIN3) and has also been associated with noncervical anogenital cancers. However, limited knowledge exists about the long-term risk for anal, vulvar, and vaginal cancer following CIN2 or CIN3 diagnosis.","container-title":"Cancer Epidemiology, Biomarkers &amp; Prevention","DOI":"10.1158/1055-9965.EPI-15-1291","ISSN":"1055-9965, 1538-7755","issue":"7","language":"en","page":"1090-1097","source":"DOI.org (Crossref)","title":"Long-Term Risk for Noncervical Anogenital Cancer in Women with Previously Diagnosed High-Grade Cervical Intraepithelial Neoplasia: A Danish Nationwide Cohort Study","title-short":"Long-Term Risk for Noncervical Anogenital Cancer in Women with Previously Diagnosed High-Grade Cervical Intraepithelial Neoplasia","volume":"25","author":[{"family":"Sand","given":"Freja Lærke"},{"family":"Munk","given":"Christian"},{"family":"Jensen","given":"Signe Marie"},{"family":"Svahn","given":"Malene Frøsig"},{"family":"Frederiksen","given":"Kirsten"},{"family":"Kjær","given":"Susanne K."}],"issued":{"date-parts":[["2016",7,1]]}}}],"schema":"https://github.com/citation-style-language/schema/raw/master/csl-citation.json"} </w:instrText>
            </w:r>
            <w:r w:rsidR="002C5177">
              <w:rPr>
                <w:sz w:val="18"/>
                <w:szCs w:val="18"/>
                <w:lang w:val="en-GB"/>
              </w:rPr>
              <w:fldChar w:fldCharType="separate"/>
            </w:r>
            <w:r w:rsidR="002C5177">
              <w:rPr>
                <w:noProof/>
                <w:sz w:val="18"/>
                <w:szCs w:val="18"/>
                <w:lang w:val="en-GB"/>
              </w:rPr>
              <w:t>[21]</w:t>
            </w:r>
            <w:r w:rsidR="002C5177">
              <w:rPr>
                <w:sz w:val="18"/>
                <w:szCs w:val="18"/>
                <w:lang w:val="en-GB"/>
              </w:rPr>
              <w:fldChar w:fldCharType="end"/>
            </w:r>
          </w:p>
        </w:tc>
        <w:tc>
          <w:tcPr>
            <w:tcW w:w="1134" w:type="dxa"/>
          </w:tcPr>
          <w:p w14:paraId="3976ED8B" w14:textId="77777777" w:rsidR="00435CF2" w:rsidRPr="004F328B" w:rsidRDefault="00435CF2" w:rsidP="00825395">
            <w:pPr>
              <w:rPr>
                <w:sz w:val="18"/>
                <w:szCs w:val="18"/>
                <w:lang w:val="en-GB"/>
              </w:rPr>
            </w:pPr>
            <w:r>
              <w:rPr>
                <w:sz w:val="18"/>
                <w:szCs w:val="18"/>
                <w:lang w:val="en-GB"/>
              </w:rPr>
              <w:t>L</w:t>
            </w:r>
          </w:p>
        </w:tc>
        <w:tc>
          <w:tcPr>
            <w:tcW w:w="1276" w:type="dxa"/>
          </w:tcPr>
          <w:p w14:paraId="2283C3D1" w14:textId="77777777" w:rsidR="00435CF2" w:rsidRPr="004F328B" w:rsidRDefault="00435CF2" w:rsidP="00825395">
            <w:pPr>
              <w:rPr>
                <w:sz w:val="18"/>
                <w:szCs w:val="18"/>
                <w:lang w:val="en-GB"/>
              </w:rPr>
            </w:pPr>
            <w:r>
              <w:rPr>
                <w:sz w:val="18"/>
                <w:szCs w:val="18"/>
                <w:lang w:val="en-GB"/>
              </w:rPr>
              <w:t>L</w:t>
            </w:r>
          </w:p>
        </w:tc>
        <w:tc>
          <w:tcPr>
            <w:tcW w:w="1275" w:type="dxa"/>
          </w:tcPr>
          <w:p w14:paraId="33FBE5FE" w14:textId="77777777" w:rsidR="00435CF2" w:rsidRPr="004F328B" w:rsidRDefault="00435CF2" w:rsidP="00825395">
            <w:pPr>
              <w:rPr>
                <w:sz w:val="18"/>
                <w:szCs w:val="18"/>
                <w:lang w:val="en-GB"/>
              </w:rPr>
            </w:pPr>
            <w:r>
              <w:rPr>
                <w:sz w:val="18"/>
                <w:szCs w:val="18"/>
                <w:lang w:val="en-GB"/>
              </w:rPr>
              <w:t>L</w:t>
            </w:r>
          </w:p>
        </w:tc>
        <w:tc>
          <w:tcPr>
            <w:tcW w:w="1134" w:type="dxa"/>
          </w:tcPr>
          <w:p w14:paraId="61B31C89" w14:textId="77777777" w:rsidR="00435CF2" w:rsidRPr="004F328B" w:rsidRDefault="00435CF2" w:rsidP="00825395">
            <w:pPr>
              <w:rPr>
                <w:sz w:val="18"/>
                <w:szCs w:val="18"/>
                <w:lang w:val="en-GB"/>
              </w:rPr>
            </w:pPr>
            <w:r>
              <w:rPr>
                <w:sz w:val="18"/>
                <w:szCs w:val="18"/>
                <w:lang w:val="en-GB"/>
              </w:rPr>
              <w:t>L</w:t>
            </w:r>
          </w:p>
        </w:tc>
        <w:tc>
          <w:tcPr>
            <w:tcW w:w="1134" w:type="dxa"/>
          </w:tcPr>
          <w:p w14:paraId="2F5A96C0" w14:textId="77777777" w:rsidR="00435CF2" w:rsidRPr="004F328B" w:rsidRDefault="00435CF2" w:rsidP="00825395">
            <w:pPr>
              <w:rPr>
                <w:sz w:val="18"/>
                <w:szCs w:val="18"/>
                <w:lang w:val="en-GB"/>
              </w:rPr>
            </w:pPr>
            <w:r>
              <w:rPr>
                <w:sz w:val="18"/>
                <w:szCs w:val="18"/>
                <w:lang w:val="en-GB"/>
              </w:rPr>
              <w:t>L</w:t>
            </w:r>
          </w:p>
        </w:tc>
        <w:tc>
          <w:tcPr>
            <w:tcW w:w="1276" w:type="dxa"/>
          </w:tcPr>
          <w:p w14:paraId="41561B91" w14:textId="77777777" w:rsidR="00435CF2" w:rsidRPr="004F328B" w:rsidRDefault="00435CF2" w:rsidP="00825395">
            <w:pPr>
              <w:rPr>
                <w:sz w:val="18"/>
                <w:szCs w:val="18"/>
                <w:lang w:val="en-GB"/>
              </w:rPr>
            </w:pPr>
            <w:r>
              <w:rPr>
                <w:sz w:val="18"/>
                <w:szCs w:val="18"/>
                <w:lang w:val="en-GB"/>
              </w:rPr>
              <w:t>L</w:t>
            </w:r>
          </w:p>
        </w:tc>
        <w:tc>
          <w:tcPr>
            <w:tcW w:w="1276" w:type="dxa"/>
          </w:tcPr>
          <w:p w14:paraId="1F6C5F05" w14:textId="77777777" w:rsidR="00435CF2" w:rsidRPr="004F328B" w:rsidRDefault="00435CF2" w:rsidP="00825395">
            <w:pPr>
              <w:rPr>
                <w:sz w:val="18"/>
                <w:szCs w:val="18"/>
                <w:lang w:val="en-GB"/>
              </w:rPr>
            </w:pPr>
            <w:r>
              <w:rPr>
                <w:sz w:val="18"/>
                <w:szCs w:val="18"/>
                <w:lang w:val="en-GB"/>
              </w:rPr>
              <w:t>L</w:t>
            </w:r>
          </w:p>
        </w:tc>
        <w:tc>
          <w:tcPr>
            <w:tcW w:w="1984" w:type="dxa"/>
          </w:tcPr>
          <w:p w14:paraId="1B861863" w14:textId="77777777" w:rsidR="00435CF2" w:rsidRPr="004F328B" w:rsidRDefault="00435CF2" w:rsidP="00825395">
            <w:pPr>
              <w:rPr>
                <w:sz w:val="18"/>
                <w:szCs w:val="18"/>
                <w:lang w:val="en-GB"/>
              </w:rPr>
            </w:pPr>
            <w:r>
              <w:rPr>
                <w:sz w:val="18"/>
                <w:szCs w:val="18"/>
                <w:lang w:val="en-GB"/>
              </w:rPr>
              <w:t>L</w:t>
            </w:r>
          </w:p>
        </w:tc>
      </w:tr>
      <w:tr w:rsidR="00435CF2" w:rsidRPr="004F328B" w14:paraId="551E32FD" w14:textId="77777777" w:rsidTr="00825395">
        <w:trPr>
          <w:trHeight w:val="354"/>
        </w:trPr>
        <w:tc>
          <w:tcPr>
            <w:tcW w:w="568" w:type="dxa"/>
          </w:tcPr>
          <w:p w14:paraId="10F38104" w14:textId="77777777" w:rsidR="00435CF2" w:rsidRPr="00DB04A3" w:rsidRDefault="00435CF2" w:rsidP="00825395">
            <w:pPr>
              <w:rPr>
                <w:sz w:val="18"/>
                <w:szCs w:val="18"/>
                <w:lang w:val="en-GB"/>
              </w:rPr>
            </w:pPr>
            <w:r>
              <w:rPr>
                <w:sz w:val="18"/>
                <w:szCs w:val="18"/>
                <w:lang w:val="en-GB"/>
              </w:rPr>
              <w:t>22</w:t>
            </w:r>
            <w:r w:rsidRPr="00DB04A3">
              <w:rPr>
                <w:sz w:val="18"/>
                <w:szCs w:val="18"/>
                <w:lang w:val="en-GB"/>
              </w:rPr>
              <w:t>.</w:t>
            </w:r>
          </w:p>
        </w:tc>
        <w:tc>
          <w:tcPr>
            <w:tcW w:w="1843" w:type="dxa"/>
          </w:tcPr>
          <w:p w14:paraId="68A92F53" w14:textId="3CCA2D2B" w:rsidR="00435CF2" w:rsidRPr="004F328B" w:rsidRDefault="00435CF2" w:rsidP="00825395">
            <w:pPr>
              <w:rPr>
                <w:sz w:val="18"/>
                <w:szCs w:val="18"/>
                <w:lang w:val="en-GB"/>
              </w:rPr>
            </w:pPr>
            <w:r w:rsidRPr="004F328B">
              <w:rPr>
                <w:sz w:val="18"/>
                <w:szCs w:val="18"/>
                <w:lang w:val="en-GB"/>
              </w:rPr>
              <w:t>Suk et al. (2018)</w:t>
            </w:r>
            <w:r w:rsidR="009D2D38">
              <w:rPr>
                <w:sz w:val="18"/>
                <w:szCs w:val="18"/>
                <w:lang w:val="en-GB"/>
              </w:rPr>
              <w:t xml:space="preserve"> </w:t>
            </w:r>
            <w:r w:rsidR="002C5177">
              <w:rPr>
                <w:sz w:val="18"/>
                <w:szCs w:val="18"/>
                <w:lang w:val="en-GB"/>
              </w:rPr>
              <w:fldChar w:fldCharType="begin"/>
            </w:r>
            <w:r w:rsidR="002C5177">
              <w:rPr>
                <w:sz w:val="18"/>
                <w:szCs w:val="18"/>
                <w:lang w:val="en-GB"/>
              </w:rPr>
              <w:instrText xml:space="preserve"> ADDIN ZOTERO_ITEM CSL_CITATION {"citationID":"i4M3Hc0l","properties":{"formattedCitation":"[22]","plainCitation":"[22]","noteIndex":0},"citationItems":[{"id":77,"uris":["http://zotero.org/users/local/CblV8433/items/27FEZIM9"],"itemData":{"id":77,"type":"article-journal","abstract":"OBJECTIVES To investigate the risk of HPV-SPCs among survivors of HPV-associated index cancers and to test the hypothesis that the HPV-SPC risk among these persons has increased over the last 4 decades. DESIGN, SETTING, AND PARTICIPANTS A retrospective cohort study of 9 cancer registries of the Surveillance, Epidemiology, and End Results (SEER) database was conducted to identify patients with HPV-associated (cervical, vaginal, vulvar, oropharyngeal, anal, and penile) cancers diagnosed from January 1, 1973, through December 31, 2014. The dates of analysis were July 1, 2017, to January 31, 2018. MAIN OUTCOMES AND MEASURES The HPV-SPC risk was quantified by calculating standard incidence ratios (SIRs) and excess absolute risks (EARs) per 10 000 person-years at risk (PYR). The HPV-SPC risk by time was estimated using Poisson regression.\nRESULTS From 113 272 (73 085 female and 40 187 male) survivors of HPV-associated cancers, 1397 women and 1098 men developed HPV-SPCs. The SIRs for HPV-SPCs were 6.2 (95% CI, 5.9-6.6) among women and 15.8 (95% CI, 14.9-16.8) among men. The EARs were 18.2 per 10 000 PYR for women and 53.5 per 10 000 PYR for men. Among both women and men, those who had index oropharyngeal cancers had the highest HPV-SPC risk (SIR, 19.8 [95% CI, 18.4-21.4] and EAR, 80.6 per 10 000 PYR among women; SIR, 18.0 [95% CI, 16.9-19.1] and EAR, 61.5 per 10 000 PYR among men). Women who had index cervical cancers and men who had index anal cancers had the lowest HPV-SPC risk (SIR, 2.4 [95% CI, 2.2-2.7] and EAR, 4.5 per 10 000 PYR among women; SIR, 6.5 [95% CI, 4.7-8.8] and EAR, 18.5 per 10 000 PYR among men). Both women and men who had index HPV-associated cancers of any kind had a significantly higher risk of oropharyngeal HPV-SPCs. Over the last 4 decades, the risk of developing most types of HPV-SPCs after index cervical, vaginal, and vulvar cancers increased.\nCONCLUSIONS AND RELEVANCE According to this study, the HPV-SPC risk among survivors of HPV-associated cancers is significant, implying that persistent HPV infection at multiple sites may be associated with HPV-SPCs. These findings have the potential to inform surveillance recommendations for survivors of HPV-associated cancers.","container-title":"JAMA Network Open","DOI":"10.1001/jamanetworkopen.2018.1999","ISSN":"2574-3805","issue":"5","journalAbbreviation":"JAMA Netw Open","language":"en","page":"e181999","source":"DOI.org (Crossref)","title":"Trends in Risks for Second Primary Cancers Associated With Index Human Papillomavirus–Associated Cancers","volume":"1","author":[{"family":"Suk","given":"Ryan"},{"family":"Mahale","given":"Parag"},{"family":"Sonawane","given":"Kalyani"},{"family":"Sikora","given":"Andrew G."},{"family":"Chhatwal","given":"Jagpreet"},{"family":"Schmeler","given":"Kathleen M."},{"family":"Sigel","given":"Keith"},{"family":"Cantor","given":"Scott B."},{"family":"Chiao","given":"Elizabeth Y."},{"family":"Deshmukh","given":"Ashish A."}],"issued":{"date-parts":[["2018",9,7]]}}}],"schema":"https://github.com/citation-style-language/schema/raw/master/csl-citation.json"} </w:instrText>
            </w:r>
            <w:r w:rsidR="002C5177">
              <w:rPr>
                <w:sz w:val="18"/>
                <w:szCs w:val="18"/>
                <w:lang w:val="en-GB"/>
              </w:rPr>
              <w:fldChar w:fldCharType="separate"/>
            </w:r>
            <w:r w:rsidR="002C5177">
              <w:rPr>
                <w:noProof/>
                <w:sz w:val="18"/>
                <w:szCs w:val="18"/>
                <w:lang w:val="en-GB"/>
              </w:rPr>
              <w:t>[22]</w:t>
            </w:r>
            <w:r w:rsidR="002C5177">
              <w:rPr>
                <w:sz w:val="18"/>
                <w:szCs w:val="18"/>
                <w:lang w:val="en-GB"/>
              </w:rPr>
              <w:fldChar w:fldCharType="end"/>
            </w:r>
          </w:p>
        </w:tc>
        <w:tc>
          <w:tcPr>
            <w:tcW w:w="1134" w:type="dxa"/>
          </w:tcPr>
          <w:p w14:paraId="3D896ED3" w14:textId="77777777" w:rsidR="00435CF2" w:rsidRPr="004F328B" w:rsidRDefault="00435CF2" w:rsidP="00825395">
            <w:pPr>
              <w:rPr>
                <w:sz w:val="18"/>
                <w:szCs w:val="18"/>
                <w:lang w:val="en-GB"/>
              </w:rPr>
            </w:pPr>
            <w:r>
              <w:rPr>
                <w:sz w:val="18"/>
                <w:szCs w:val="18"/>
                <w:lang w:val="en-GB"/>
              </w:rPr>
              <w:t>L</w:t>
            </w:r>
          </w:p>
        </w:tc>
        <w:tc>
          <w:tcPr>
            <w:tcW w:w="1276" w:type="dxa"/>
          </w:tcPr>
          <w:p w14:paraId="5C6D6F2A" w14:textId="77777777" w:rsidR="00435CF2" w:rsidRPr="004F328B" w:rsidRDefault="00435CF2" w:rsidP="00825395">
            <w:pPr>
              <w:rPr>
                <w:sz w:val="18"/>
                <w:szCs w:val="18"/>
                <w:lang w:val="en-GB"/>
              </w:rPr>
            </w:pPr>
            <w:r>
              <w:rPr>
                <w:sz w:val="18"/>
                <w:szCs w:val="18"/>
                <w:lang w:val="en-GB"/>
              </w:rPr>
              <w:t>L</w:t>
            </w:r>
          </w:p>
        </w:tc>
        <w:tc>
          <w:tcPr>
            <w:tcW w:w="1275" w:type="dxa"/>
          </w:tcPr>
          <w:p w14:paraId="6D4E8847" w14:textId="77777777" w:rsidR="00435CF2" w:rsidRPr="004F328B" w:rsidRDefault="00435CF2" w:rsidP="00825395">
            <w:pPr>
              <w:rPr>
                <w:sz w:val="18"/>
                <w:szCs w:val="18"/>
                <w:lang w:val="en-GB"/>
              </w:rPr>
            </w:pPr>
            <w:r>
              <w:rPr>
                <w:sz w:val="18"/>
                <w:szCs w:val="18"/>
                <w:lang w:val="en-GB"/>
              </w:rPr>
              <w:t>L</w:t>
            </w:r>
          </w:p>
        </w:tc>
        <w:tc>
          <w:tcPr>
            <w:tcW w:w="1134" w:type="dxa"/>
          </w:tcPr>
          <w:p w14:paraId="78CF0CD1" w14:textId="77777777" w:rsidR="00435CF2" w:rsidRPr="004F328B" w:rsidRDefault="00435CF2" w:rsidP="00825395">
            <w:pPr>
              <w:rPr>
                <w:sz w:val="18"/>
                <w:szCs w:val="18"/>
                <w:lang w:val="en-GB"/>
              </w:rPr>
            </w:pPr>
            <w:r>
              <w:rPr>
                <w:sz w:val="18"/>
                <w:szCs w:val="18"/>
                <w:lang w:val="en-GB"/>
              </w:rPr>
              <w:t>L</w:t>
            </w:r>
          </w:p>
        </w:tc>
        <w:tc>
          <w:tcPr>
            <w:tcW w:w="1134" w:type="dxa"/>
          </w:tcPr>
          <w:p w14:paraId="3A2BA609" w14:textId="77777777" w:rsidR="00435CF2" w:rsidRPr="004F328B" w:rsidRDefault="00435CF2" w:rsidP="00825395">
            <w:pPr>
              <w:rPr>
                <w:sz w:val="18"/>
                <w:szCs w:val="18"/>
                <w:lang w:val="en-GB"/>
              </w:rPr>
            </w:pPr>
            <w:r>
              <w:rPr>
                <w:sz w:val="18"/>
                <w:szCs w:val="18"/>
                <w:lang w:val="en-GB"/>
              </w:rPr>
              <w:t>L</w:t>
            </w:r>
          </w:p>
        </w:tc>
        <w:tc>
          <w:tcPr>
            <w:tcW w:w="1276" w:type="dxa"/>
          </w:tcPr>
          <w:p w14:paraId="378D87B4" w14:textId="77777777" w:rsidR="00435CF2" w:rsidRPr="004F328B" w:rsidRDefault="00435CF2" w:rsidP="00825395">
            <w:pPr>
              <w:rPr>
                <w:sz w:val="18"/>
                <w:szCs w:val="18"/>
                <w:lang w:val="en-GB"/>
              </w:rPr>
            </w:pPr>
            <w:r>
              <w:rPr>
                <w:sz w:val="18"/>
                <w:szCs w:val="18"/>
                <w:lang w:val="en-GB"/>
              </w:rPr>
              <w:t>L</w:t>
            </w:r>
          </w:p>
        </w:tc>
        <w:tc>
          <w:tcPr>
            <w:tcW w:w="1276" w:type="dxa"/>
          </w:tcPr>
          <w:p w14:paraId="4B9BD576" w14:textId="77777777" w:rsidR="00435CF2" w:rsidRPr="004F328B" w:rsidRDefault="00435CF2" w:rsidP="00825395">
            <w:pPr>
              <w:rPr>
                <w:sz w:val="18"/>
                <w:szCs w:val="18"/>
                <w:lang w:val="en-GB"/>
              </w:rPr>
            </w:pPr>
            <w:r>
              <w:rPr>
                <w:sz w:val="18"/>
                <w:szCs w:val="18"/>
                <w:lang w:val="en-GB"/>
              </w:rPr>
              <w:t>L</w:t>
            </w:r>
          </w:p>
        </w:tc>
        <w:tc>
          <w:tcPr>
            <w:tcW w:w="1984" w:type="dxa"/>
          </w:tcPr>
          <w:p w14:paraId="3458FE3D" w14:textId="77777777" w:rsidR="00435CF2" w:rsidRPr="004F328B" w:rsidRDefault="00435CF2" w:rsidP="00825395">
            <w:pPr>
              <w:rPr>
                <w:sz w:val="18"/>
                <w:szCs w:val="18"/>
                <w:lang w:val="en-GB"/>
              </w:rPr>
            </w:pPr>
            <w:r>
              <w:rPr>
                <w:sz w:val="18"/>
                <w:szCs w:val="18"/>
                <w:lang w:val="en-GB"/>
              </w:rPr>
              <w:t>L</w:t>
            </w:r>
          </w:p>
        </w:tc>
      </w:tr>
      <w:tr w:rsidR="00435CF2" w:rsidRPr="004F328B" w14:paraId="70D98556" w14:textId="77777777" w:rsidTr="00C37B28">
        <w:trPr>
          <w:trHeight w:val="354"/>
        </w:trPr>
        <w:tc>
          <w:tcPr>
            <w:tcW w:w="568" w:type="dxa"/>
          </w:tcPr>
          <w:p w14:paraId="02970308" w14:textId="77777777" w:rsidR="00435CF2" w:rsidRPr="00DB04A3" w:rsidRDefault="00435CF2" w:rsidP="00825395">
            <w:pPr>
              <w:rPr>
                <w:sz w:val="18"/>
                <w:szCs w:val="18"/>
                <w:lang w:val="en-GB"/>
              </w:rPr>
            </w:pPr>
            <w:r>
              <w:rPr>
                <w:sz w:val="18"/>
                <w:szCs w:val="18"/>
                <w:lang w:val="en-GB"/>
              </w:rPr>
              <w:t>23</w:t>
            </w:r>
            <w:r w:rsidRPr="00DB04A3">
              <w:rPr>
                <w:sz w:val="18"/>
                <w:szCs w:val="18"/>
                <w:lang w:val="en-GB"/>
              </w:rPr>
              <w:t>.</w:t>
            </w:r>
          </w:p>
        </w:tc>
        <w:tc>
          <w:tcPr>
            <w:tcW w:w="1843" w:type="dxa"/>
          </w:tcPr>
          <w:p w14:paraId="765C0BB1" w14:textId="3A8772EF" w:rsidR="00435CF2" w:rsidRPr="004F328B" w:rsidRDefault="00435CF2" w:rsidP="00825395">
            <w:pPr>
              <w:rPr>
                <w:sz w:val="18"/>
                <w:szCs w:val="18"/>
                <w:lang w:val="en-GB"/>
              </w:rPr>
            </w:pPr>
            <w:proofErr w:type="spellStart"/>
            <w:r w:rsidRPr="004F328B">
              <w:rPr>
                <w:sz w:val="18"/>
                <w:szCs w:val="18"/>
                <w:lang w:val="en-GB"/>
              </w:rPr>
              <w:t>Tatti</w:t>
            </w:r>
            <w:proofErr w:type="spellEnd"/>
            <w:r w:rsidRPr="004F328B">
              <w:rPr>
                <w:sz w:val="18"/>
                <w:szCs w:val="18"/>
                <w:lang w:val="en-GB"/>
              </w:rPr>
              <w:t xml:space="preserve"> et al. (2012)</w:t>
            </w:r>
            <w:r w:rsidR="009D2D38">
              <w:rPr>
                <w:sz w:val="18"/>
                <w:szCs w:val="18"/>
                <w:lang w:val="en-GB"/>
              </w:rPr>
              <w:t xml:space="preserve"> </w:t>
            </w:r>
            <w:r w:rsidR="002C5177">
              <w:rPr>
                <w:sz w:val="18"/>
                <w:szCs w:val="18"/>
                <w:lang w:val="en-GB"/>
              </w:rPr>
              <w:fldChar w:fldCharType="begin"/>
            </w:r>
            <w:r w:rsidR="002C5177">
              <w:rPr>
                <w:sz w:val="18"/>
                <w:szCs w:val="18"/>
                <w:lang w:val="en-GB"/>
              </w:rPr>
              <w:instrText xml:space="preserve"> ADDIN ZOTERO_ITEM CSL_CITATION {"citationID":"pqYQ5EjE","properties":{"formattedCitation":"[23]","plainCitation":"[23]","noteIndex":0},"citationItems":[{"id":78,"uris":["http://zotero.org/users/local/CblV8433/items/LCP6V9BU"],"itemData":{"id":78,"type":"article-journal","language":"en","source":"Zotero","title":"Anal Intraepithelial Lesions in Women With Human PapillomavirusYRelated Disease","author":[{"family":"Tatti","given":"Silvio"},{"family":"Suzuki","given":"Veronica"},{"family":"Fleider","given":"Laura"},{"family":"Maldonado","given":"Veronica"},{"family":"Caruso","given":"Ricardo"}]}}],"schema":"https://github.com/citation-style-language/schema/raw/master/csl-citation.json"} </w:instrText>
            </w:r>
            <w:r w:rsidR="002C5177">
              <w:rPr>
                <w:sz w:val="18"/>
                <w:szCs w:val="18"/>
                <w:lang w:val="en-GB"/>
              </w:rPr>
              <w:fldChar w:fldCharType="separate"/>
            </w:r>
            <w:r w:rsidR="002C5177">
              <w:rPr>
                <w:noProof/>
                <w:sz w:val="18"/>
                <w:szCs w:val="18"/>
                <w:lang w:val="en-GB"/>
              </w:rPr>
              <w:t>[23]</w:t>
            </w:r>
            <w:r w:rsidR="002C5177">
              <w:rPr>
                <w:sz w:val="18"/>
                <w:szCs w:val="18"/>
                <w:lang w:val="en-GB"/>
              </w:rPr>
              <w:fldChar w:fldCharType="end"/>
            </w:r>
          </w:p>
        </w:tc>
        <w:tc>
          <w:tcPr>
            <w:tcW w:w="1134" w:type="dxa"/>
            <w:shd w:val="clear" w:color="auto" w:fill="EE7754"/>
          </w:tcPr>
          <w:p w14:paraId="44397193" w14:textId="78873CE6" w:rsidR="00435CF2" w:rsidRPr="004F328B" w:rsidRDefault="00C37B28" w:rsidP="00825395">
            <w:pPr>
              <w:rPr>
                <w:sz w:val="18"/>
                <w:szCs w:val="18"/>
                <w:lang w:val="en-GB"/>
              </w:rPr>
            </w:pPr>
            <w:r>
              <w:rPr>
                <w:sz w:val="18"/>
                <w:szCs w:val="18"/>
                <w:lang w:val="en-GB"/>
              </w:rPr>
              <w:t>H</w:t>
            </w:r>
          </w:p>
        </w:tc>
        <w:tc>
          <w:tcPr>
            <w:tcW w:w="1276" w:type="dxa"/>
          </w:tcPr>
          <w:p w14:paraId="6AC6F0F0" w14:textId="77777777" w:rsidR="00435CF2" w:rsidRPr="004F328B" w:rsidRDefault="00435CF2" w:rsidP="00825395">
            <w:pPr>
              <w:rPr>
                <w:sz w:val="18"/>
                <w:szCs w:val="18"/>
                <w:lang w:val="en-GB"/>
              </w:rPr>
            </w:pPr>
            <w:r>
              <w:rPr>
                <w:sz w:val="18"/>
                <w:szCs w:val="18"/>
                <w:lang w:val="en-GB"/>
              </w:rPr>
              <w:t>L</w:t>
            </w:r>
          </w:p>
        </w:tc>
        <w:tc>
          <w:tcPr>
            <w:tcW w:w="1275" w:type="dxa"/>
          </w:tcPr>
          <w:p w14:paraId="6D160D8A" w14:textId="77777777" w:rsidR="00435CF2" w:rsidRPr="004F328B" w:rsidRDefault="00435CF2" w:rsidP="00825395">
            <w:pPr>
              <w:rPr>
                <w:sz w:val="18"/>
                <w:szCs w:val="18"/>
                <w:lang w:val="en-GB"/>
              </w:rPr>
            </w:pPr>
            <w:r>
              <w:rPr>
                <w:sz w:val="18"/>
                <w:szCs w:val="18"/>
                <w:lang w:val="en-GB"/>
              </w:rPr>
              <w:t>L</w:t>
            </w:r>
          </w:p>
        </w:tc>
        <w:tc>
          <w:tcPr>
            <w:tcW w:w="1134" w:type="dxa"/>
          </w:tcPr>
          <w:p w14:paraId="021245C5" w14:textId="77777777" w:rsidR="00435CF2" w:rsidRPr="004F328B" w:rsidRDefault="00435CF2" w:rsidP="00825395">
            <w:pPr>
              <w:rPr>
                <w:sz w:val="18"/>
                <w:szCs w:val="18"/>
                <w:lang w:val="en-GB"/>
              </w:rPr>
            </w:pPr>
            <w:r>
              <w:rPr>
                <w:sz w:val="18"/>
                <w:szCs w:val="18"/>
                <w:lang w:val="en-GB"/>
              </w:rPr>
              <w:t>L</w:t>
            </w:r>
          </w:p>
        </w:tc>
        <w:tc>
          <w:tcPr>
            <w:tcW w:w="1134" w:type="dxa"/>
          </w:tcPr>
          <w:p w14:paraId="120B59EE" w14:textId="77777777" w:rsidR="00435CF2" w:rsidRPr="004F328B" w:rsidRDefault="00435CF2" w:rsidP="00825395">
            <w:pPr>
              <w:rPr>
                <w:sz w:val="18"/>
                <w:szCs w:val="18"/>
                <w:lang w:val="en-GB"/>
              </w:rPr>
            </w:pPr>
            <w:r>
              <w:rPr>
                <w:sz w:val="18"/>
                <w:szCs w:val="18"/>
                <w:lang w:val="en-GB"/>
              </w:rPr>
              <w:t>L</w:t>
            </w:r>
          </w:p>
        </w:tc>
        <w:tc>
          <w:tcPr>
            <w:tcW w:w="1276" w:type="dxa"/>
            <w:shd w:val="clear" w:color="auto" w:fill="EE7754"/>
          </w:tcPr>
          <w:p w14:paraId="5885BE41" w14:textId="4616096E" w:rsidR="00435CF2" w:rsidRPr="004F328B" w:rsidRDefault="00C37B28" w:rsidP="00825395">
            <w:pPr>
              <w:rPr>
                <w:sz w:val="18"/>
                <w:szCs w:val="18"/>
                <w:lang w:val="en-GB"/>
              </w:rPr>
            </w:pPr>
            <w:r>
              <w:rPr>
                <w:sz w:val="18"/>
                <w:szCs w:val="18"/>
                <w:lang w:val="en-GB"/>
              </w:rPr>
              <w:t>H</w:t>
            </w:r>
          </w:p>
        </w:tc>
        <w:tc>
          <w:tcPr>
            <w:tcW w:w="1276" w:type="dxa"/>
          </w:tcPr>
          <w:p w14:paraId="1DE09656" w14:textId="77777777" w:rsidR="00435CF2" w:rsidRPr="004F328B" w:rsidRDefault="00435CF2" w:rsidP="00825395">
            <w:pPr>
              <w:rPr>
                <w:sz w:val="18"/>
                <w:szCs w:val="18"/>
                <w:lang w:val="en-GB"/>
              </w:rPr>
            </w:pPr>
            <w:r>
              <w:rPr>
                <w:sz w:val="18"/>
                <w:szCs w:val="18"/>
                <w:lang w:val="en-GB"/>
              </w:rPr>
              <w:t>L</w:t>
            </w:r>
          </w:p>
        </w:tc>
        <w:tc>
          <w:tcPr>
            <w:tcW w:w="1984" w:type="dxa"/>
            <w:shd w:val="clear" w:color="auto" w:fill="FF7A57"/>
          </w:tcPr>
          <w:p w14:paraId="4BF42919" w14:textId="77777777" w:rsidR="00435CF2" w:rsidRPr="004F328B" w:rsidRDefault="00435CF2" w:rsidP="00825395">
            <w:pPr>
              <w:rPr>
                <w:sz w:val="18"/>
                <w:szCs w:val="18"/>
                <w:lang w:val="en-GB"/>
              </w:rPr>
            </w:pPr>
            <w:r>
              <w:rPr>
                <w:sz w:val="18"/>
                <w:szCs w:val="18"/>
                <w:lang w:val="en-GB"/>
              </w:rPr>
              <w:t>H</w:t>
            </w:r>
          </w:p>
        </w:tc>
      </w:tr>
      <w:tr w:rsidR="00435CF2" w:rsidRPr="004F328B" w14:paraId="3D77C5C7" w14:textId="77777777" w:rsidTr="00516DEF">
        <w:trPr>
          <w:trHeight w:val="354"/>
        </w:trPr>
        <w:tc>
          <w:tcPr>
            <w:tcW w:w="568" w:type="dxa"/>
          </w:tcPr>
          <w:p w14:paraId="63DD2B9A" w14:textId="77777777" w:rsidR="00435CF2" w:rsidRPr="00DB04A3" w:rsidRDefault="00435CF2" w:rsidP="00825395">
            <w:pPr>
              <w:rPr>
                <w:sz w:val="18"/>
                <w:szCs w:val="18"/>
                <w:lang w:val="en-GB"/>
              </w:rPr>
            </w:pPr>
            <w:r>
              <w:rPr>
                <w:sz w:val="18"/>
                <w:szCs w:val="18"/>
                <w:lang w:val="en-GB"/>
              </w:rPr>
              <w:t>24</w:t>
            </w:r>
            <w:r w:rsidRPr="00DB04A3">
              <w:rPr>
                <w:sz w:val="18"/>
                <w:szCs w:val="18"/>
                <w:lang w:val="en-GB"/>
              </w:rPr>
              <w:t>.</w:t>
            </w:r>
          </w:p>
        </w:tc>
        <w:tc>
          <w:tcPr>
            <w:tcW w:w="1843" w:type="dxa"/>
          </w:tcPr>
          <w:p w14:paraId="36DE9A6C" w14:textId="1F097DC3" w:rsidR="00435CF2" w:rsidRPr="004F328B" w:rsidRDefault="00435CF2" w:rsidP="00825395">
            <w:pPr>
              <w:rPr>
                <w:sz w:val="18"/>
                <w:szCs w:val="18"/>
                <w:lang w:val="en-GB"/>
              </w:rPr>
            </w:pPr>
            <w:proofErr w:type="spellStart"/>
            <w:r w:rsidRPr="004F328B">
              <w:rPr>
                <w:sz w:val="18"/>
                <w:szCs w:val="18"/>
                <w:lang w:val="en-GB"/>
              </w:rPr>
              <w:t>Tomassi</w:t>
            </w:r>
            <w:proofErr w:type="spellEnd"/>
            <w:r w:rsidRPr="004F328B">
              <w:rPr>
                <w:sz w:val="18"/>
                <w:szCs w:val="18"/>
                <w:lang w:val="en-GB"/>
              </w:rPr>
              <w:t xml:space="preserve"> et al. (2018)</w:t>
            </w:r>
            <w:r w:rsidR="009D2D38">
              <w:rPr>
                <w:sz w:val="18"/>
                <w:szCs w:val="18"/>
                <w:lang w:val="en-GB"/>
              </w:rPr>
              <w:t xml:space="preserve"> </w:t>
            </w:r>
            <w:r w:rsidR="002C5177">
              <w:rPr>
                <w:sz w:val="18"/>
                <w:szCs w:val="18"/>
                <w:lang w:val="en-GB"/>
              </w:rPr>
              <w:fldChar w:fldCharType="begin"/>
            </w:r>
            <w:r w:rsidR="002C5177">
              <w:rPr>
                <w:sz w:val="18"/>
                <w:szCs w:val="18"/>
                <w:lang w:val="en-GB"/>
              </w:rPr>
              <w:instrText xml:space="preserve"> ADDIN ZOTERO_ITEM CSL_CITATION {"citationID":"Q4BVUDOA","properties":{"formattedCitation":"[24]","plainCitation":"[24]","noteIndex":0},"citationItems":[{"id":79,"uris":["http://zotero.org/users/local/CblV8433/items/URB65KRB"],"itemData":{"id":79,"type":"article-journal","abstract":"Purpose To determine the impact of expectant management surveillance for patients at risk for squamous cell carcinoma of the anus (SCCA).\nMethods Adult patients at risk for anal cancer, specifically those with human immunodeficiency virus (HIV) or known human papilloma virus (HPV) infections (anal dysplasia, anogenital warts, cervical dysplasia, or cervical cancer), underwent expectant management surveillance with targeted therapy of only grossly abnormal or symptomatic anoderm lesions. A retrospective analysis investigated the SCCA incidence in these surveilled populations and in the general population patients without known HIV or HPV infection.\nResults There were 452 incident SCCA in a population of 5,978,510 patients (mean follow-up per patient of 5.4 years). Four hundred ten cancers (90.7%) developed in 5,750,501 HIV-negative patients without documented history of HPV infection (cumulative incidence 0.007%). In at-risk patient populations, the cumulative incidence was 0.69% in patients with anal dysplasia (6 out of 872 patients), 0.14% in HIV+ patients (8 out of 5626 patients), and less than 0.1% in the remaining at-risk groups: cervical cancer (1 out of 1168 patients), cervical dysplasia (14 out of 125,604 patients), and genital warts (14 out of 94,739 patients).\nConclusions Expectant management surveillance, with targeted treatment for symptomatic or abnormal lesions, is an effective strategy for the diagnosis of anal cancer in at-risk patient populations. In this study, most patients who developed anal cancer had no known risk factors. A screening strategy for the general population needs to be further delineated.","container-title":"International Journal of Colorectal Disease","DOI":"10.1007/s00384-018-3167-7","ISSN":"0179-1958, 1432-1262","issue":"1","journalAbbreviation":"Int J Colorectal Dis","language":"en","page":"47-54","source":"DOI.org (Crossref)","title":"Expectant management surveillance for patients at risk for invasive squamous cell carcinoma of the anus: a large US healthcare system experience","title-short":"Expectant management surveillance for patients at risk for invasive squamous cell carcinoma of the anus","volume":"34","author":[{"family":"Tomassi","given":"Marco J."},{"family":"Abbas","given":"Maher A."},{"family":"Klaristenfeld","given":"Daniel D."}],"issued":{"date-parts":[["2019",1]]}}}],"schema":"https://github.com/citation-style-language/schema/raw/master/csl-citation.json"} </w:instrText>
            </w:r>
            <w:r w:rsidR="002C5177">
              <w:rPr>
                <w:sz w:val="18"/>
                <w:szCs w:val="18"/>
                <w:lang w:val="en-GB"/>
              </w:rPr>
              <w:fldChar w:fldCharType="separate"/>
            </w:r>
            <w:r w:rsidR="002C5177">
              <w:rPr>
                <w:noProof/>
                <w:sz w:val="18"/>
                <w:szCs w:val="18"/>
                <w:lang w:val="en-GB"/>
              </w:rPr>
              <w:t>[24]</w:t>
            </w:r>
            <w:r w:rsidR="002C5177">
              <w:rPr>
                <w:sz w:val="18"/>
                <w:szCs w:val="18"/>
                <w:lang w:val="en-GB"/>
              </w:rPr>
              <w:fldChar w:fldCharType="end"/>
            </w:r>
          </w:p>
        </w:tc>
        <w:tc>
          <w:tcPr>
            <w:tcW w:w="1134" w:type="dxa"/>
          </w:tcPr>
          <w:p w14:paraId="14D6F528" w14:textId="77777777" w:rsidR="00435CF2" w:rsidRPr="004F328B" w:rsidRDefault="00435CF2" w:rsidP="00825395">
            <w:pPr>
              <w:rPr>
                <w:sz w:val="18"/>
                <w:szCs w:val="18"/>
                <w:lang w:val="en-GB"/>
              </w:rPr>
            </w:pPr>
            <w:r>
              <w:rPr>
                <w:sz w:val="18"/>
                <w:szCs w:val="18"/>
                <w:lang w:val="en-GB"/>
              </w:rPr>
              <w:t>L</w:t>
            </w:r>
          </w:p>
        </w:tc>
        <w:tc>
          <w:tcPr>
            <w:tcW w:w="1276" w:type="dxa"/>
            <w:shd w:val="clear" w:color="auto" w:fill="FF7A57"/>
          </w:tcPr>
          <w:p w14:paraId="1587C3CB" w14:textId="77777777" w:rsidR="00435CF2" w:rsidRPr="004F328B" w:rsidRDefault="00435CF2" w:rsidP="00825395">
            <w:pPr>
              <w:rPr>
                <w:sz w:val="18"/>
                <w:szCs w:val="18"/>
                <w:lang w:val="en-GB"/>
              </w:rPr>
            </w:pPr>
            <w:r>
              <w:rPr>
                <w:sz w:val="18"/>
                <w:szCs w:val="18"/>
                <w:lang w:val="en-GB"/>
              </w:rPr>
              <w:t>H</w:t>
            </w:r>
          </w:p>
        </w:tc>
        <w:tc>
          <w:tcPr>
            <w:tcW w:w="1275" w:type="dxa"/>
          </w:tcPr>
          <w:p w14:paraId="146F086F" w14:textId="77777777" w:rsidR="00435CF2" w:rsidRPr="004F328B" w:rsidRDefault="00435CF2" w:rsidP="00825395">
            <w:pPr>
              <w:rPr>
                <w:sz w:val="18"/>
                <w:szCs w:val="18"/>
                <w:lang w:val="en-GB"/>
              </w:rPr>
            </w:pPr>
            <w:r>
              <w:rPr>
                <w:sz w:val="18"/>
                <w:szCs w:val="18"/>
                <w:lang w:val="en-GB"/>
              </w:rPr>
              <w:t>L</w:t>
            </w:r>
          </w:p>
        </w:tc>
        <w:tc>
          <w:tcPr>
            <w:tcW w:w="1134" w:type="dxa"/>
          </w:tcPr>
          <w:p w14:paraId="02A33AF5" w14:textId="77777777" w:rsidR="00435CF2" w:rsidRPr="004F328B" w:rsidRDefault="00435CF2" w:rsidP="00825395">
            <w:pPr>
              <w:rPr>
                <w:sz w:val="18"/>
                <w:szCs w:val="18"/>
                <w:lang w:val="en-GB"/>
              </w:rPr>
            </w:pPr>
            <w:r>
              <w:rPr>
                <w:sz w:val="18"/>
                <w:szCs w:val="18"/>
                <w:lang w:val="en-GB"/>
              </w:rPr>
              <w:t>L</w:t>
            </w:r>
          </w:p>
        </w:tc>
        <w:tc>
          <w:tcPr>
            <w:tcW w:w="1134" w:type="dxa"/>
          </w:tcPr>
          <w:p w14:paraId="4B19780F" w14:textId="77777777" w:rsidR="00435CF2" w:rsidRPr="004F328B" w:rsidRDefault="00435CF2" w:rsidP="00825395">
            <w:pPr>
              <w:rPr>
                <w:sz w:val="18"/>
                <w:szCs w:val="18"/>
                <w:lang w:val="en-GB"/>
              </w:rPr>
            </w:pPr>
            <w:r>
              <w:rPr>
                <w:sz w:val="18"/>
                <w:szCs w:val="18"/>
                <w:lang w:val="en-GB"/>
              </w:rPr>
              <w:t>L</w:t>
            </w:r>
          </w:p>
        </w:tc>
        <w:tc>
          <w:tcPr>
            <w:tcW w:w="1276" w:type="dxa"/>
            <w:shd w:val="clear" w:color="auto" w:fill="FF7A57"/>
          </w:tcPr>
          <w:p w14:paraId="2B1FB3FD" w14:textId="77777777" w:rsidR="00435CF2" w:rsidRPr="004F328B" w:rsidRDefault="00435CF2" w:rsidP="00825395">
            <w:pPr>
              <w:rPr>
                <w:sz w:val="18"/>
                <w:szCs w:val="18"/>
                <w:lang w:val="en-GB"/>
              </w:rPr>
            </w:pPr>
            <w:r>
              <w:rPr>
                <w:sz w:val="18"/>
                <w:szCs w:val="18"/>
                <w:lang w:val="en-GB"/>
              </w:rPr>
              <w:t>H</w:t>
            </w:r>
          </w:p>
        </w:tc>
        <w:tc>
          <w:tcPr>
            <w:tcW w:w="1276" w:type="dxa"/>
          </w:tcPr>
          <w:p w14:paraId="7A48C7E6" w14:textId="77777777" w:rsidR="00435CF2" w:rsidRPr="004F328B" w:rsidRDefault="00435CF2" w:rsidP="00825395">
            <w:pPr>
              <w:rPr>
                <w:sz w:val="18"/>
                <w:szCs w:val="18"/>
                <w:lang w:val="en-GB"/>
              </w:rPr>
            </w:pPr>
            <w:r>
              <w:rPr>
                <w:sz w:val="18"/>
                <w:szCs w:val="18"/>
                <w:lang w:val="en-GB"/>
              </w:rPr>
              <w:t>L</w:t>
            </w:r>
          </w:p>
        </w:tc>
        <w:tc>
          <w:tcPr>
            <w:tcW w:w="1984" w:type="dxa"/>
            <w:shd w:val="clear" w:color="auto" w:fill="EE7754"/>
          </w:tcPr>
          <w:p w14:paraId="5529BE56" w14:textId="02BB2ED3" w:rsidR="00435CF2" w:rsidRPr="004F328B" w:rsidRDefault="00516DEF" w:rsidP="00825395">
            <w:pPr>
              <w:rPr>
                <w:sz w:val="18"/>
                <w:szCs w:val="18"/>
                <w:lang w:val="en-GB"/>
              </w:rPr>
            </w:pPr>
            <w:r>
              <w:rPr>
                <w:sz w:val="18"/>
                <w:szCs w:val="18"/>
                <w:lang w:val="en-GB"/>
              </w:rPr>
              <w:t>H</w:t>
            </w:r>
          </w:p>
        </w:tc>
      </w:tr>
      <w:tr w:rsidR="00435CF2" w:rsidRPr="004F328B" w14:paraId="5ADB738C" w14:textId="77777777" w:rsidTr="00825395">
        <w:trPr>
          <w:trHeight w:val="354"/>
        </w:trPr>
        <w:tc>
          <w:tcPr>
            <w:tcW w:w="568" w:type="dxa"/>
          </w:tcPr>
          <w:p w14:paraId="36EB49A5" w14:textId="77777777" w:rsidR="00435CF2" w:rsidRPr="00DB04A3" w:rsidRDefault="00435CF2" w:rsidP="00825395">
            <w:pPr>
              <w:rPr>
                <w:sz w:val="18"/>
                <w:szCs w:val="18"/>
                <w:lang w:val="en-GB"/>
              </w:rPr>
            </w:pPr>
            <w:r>
              <w:rPr>
                <w:sz w:val="18"/>
                <w:szCs w:val="18"/>
                <w:lang w:val="en-GB"/>
              </w:rPr>
              <w:t>25</w:t>
            </w:r>
            <w:r w:rsidRPr="00DB04A3">
              <w:rPr>
                <w:sz w:val="18"/>
                <w:szCs w:val="18"/>
                <w:lang w:val="en-GB"/>
              </w:rPr>
              <w:t>.</w:t>
            </w:r>
          </w:p>
        </w:tc>
        <w:tc>
          <w:tcPr>
            <w:tcW w:w="1843" w:type="dxa"/>
          </w:tcPr>
          <w:p w14:paraId="7B751D6C" w14:textId="770EC178" w:rsidR="00435CF2" w:rsidRPr="004F328B" w:rsidRDefault="00435CF2" w:rsidP="00825395">
            <w:pPr>
              <w:rPr>
                <w:sz w:val="18"/>
                <w:szCs w:val="18"/>
                <w:lang w:val="en-GB"/>
              </w:rPr>
            </w:pPr>
            <w:r w:rsidRPr="004F328B">
              <w:rPr>
                <w:sz w:val="18"/>
                <w:szCs w:val="18"/>
                <w:lang w:val="en-GB"/>
              </w:rPr>
              <w:t>Wang  et al. (2020)</w:t>
            </w:r>
            <w:r w:rsidR="009D2D38">
              <w:rPr>
                <w:sz w:val="18"/>
                <w:szCs w:val="18"/>
                <w:lang w:val="en-GB"/>
              </w:rPr>
              <w:t xml:space="preserve"> </w:t>
            </w:r>
            <w:r w:rsidR="002C5177">
              <w:rPr>
                <w:sz w:val="18"/>
                <w:szCs w:val="18"/>
                <w:lang w:val="en-GB"/>
              </w:rPr>
              <w:fldChar w:fldCharType="begin"/>
            </w:r>
            <w:r w:rsidR="002C5177">
              <w:rPr>
                <w:sz w:val="18"/>
                <w:szCs w:val="18"/>
                <w:lang w:val="en-GB"/>
              </w:rPr>
              <w:instrText xml:space="preserve"> ADDIN ZOTERO_ITEM CSL_CITATION {"citationID":"to3xwQmP","properties":{"formattedCitation":"[25]","plainCitation":"[25]","noteIndex":0},"citationItems":[{"id":81,"uris":["http://zotero.org/users/local/CblV8433/items/296XP2MX"],"itemData":{"id":81,"type":"article-journal","abstract":"Background: Since the number of cancer survivors is increasing, it is imperative that we better understand the long-term consequences of these survivors. We assessed the risk of developing a second primary malignant neoplasm (SPMN) after an index potentially-HPV-associated cancers (P-HPV-AC).\nMethods: We constructed a population-based cohort of patients with P-HPV-AC using Surveillance, Epidemiology, and End Results registry data (2000–2015). We limited patients to those with invasive P-HPV-AC [cervical, vagina, vulva, penile, anal, and oropharynx] based on the International Classification of Diseases for Oncology, 3rd edition. Excess SPMN risks were calculated based on standardized incidence ratios (SIRs) and excess absolute risks (EARs) per 10,000 person-years at risk (PYR).\nResults: A total of 105,644 patients with an index P-HPV-AC were identified, and 7.8 % developed a SPMN. In all P-HPV-AC patients, the overall SIR was 1.73 (95 % CI: 1.69–1.77) and EAR of 70.72 per 10,000 PYR. All index PHPV-AC sites showed statistically significant increases in the risk of SPMN, except for anal cancer among men, compared with the general population. The greatest increase in risk of SPMN was observed among patients diagnosed with an index P-HPV-oropharyngeal cancer (SIR = 1.83; 95 % CI, 1.70–1.82 and SIR = 2.29; 95 % CI, 2.12–2.47 for men and women, respectively). Men developed SPMN mostly in aero-digestive tract whiles women developed SPMN both in aero-digestive tract and other HPV-associated cancer sites.\nConclusions: P-HPV-AC survivors experienced excess risk of SPMN. These findings have the potential to affect future surveillance practices and improve preventive healthcare for survivors of P-HPV-ACs.","container-title":"Cancer Epidemiology","DOI":"10.1016/j.canep.2019.101649","ISSN":"18777821","journalAbbreviation":"Cancer Epidemiology","language":"en","page":"101649","source":"DOI.org (Crossref)","title":"Risk of subsequent malignant neoplasms after an index potentially-human papillomavirus (HPV)-associated cancers","volume":"64","author":[{"family":"Wang","given":"Maggie"},{"family":"Sharma","given":"Arun"},{"family":"Osazuwa-Peters","given":"Nosayaba"},{"family":"Simpson","given":"Matthew C."},{"family":"Schootman","given":"Mario"},{"family":"Piccirillo","given":"Jay F."},{"family":"Huh","given":"Warner K."},{"family":"Adjei Boakye","given":"Eric"}],"issued":{"date-parts":[["2020",2]]}}}],"schema":"https://github.com/citation-style-language/schema/raw/master/csl-citation.json"} </w:instrText>
            </w:r>
            <w:r w:rsidR="002C5177">
              <w:rPr>
                <w:sz w:val="18"/>
                <w:szCs w:val="18"/>
                <w:lang w:val="en-GB"/>
              </w:rPr>
              <w:fldChar w:fldCharType="separate"/>
            </w:r>
            <w:r w:rsidR="002C5177">
              <w:rPr>
                <w:noProof/>
                <w:sz w:val="18"/>
                <w:szCs w:val="18"/>
                <w:lang w:val="en-GB"/>
              </w:rPr>
              <w:t>[25]</w:t>
            </w:r>
            <w:r w:rsidR="002C5177">
              <w:rPr>
                <w:sz w:val="18"/>
                <w:szCs w:val="18"/>
                <w:lang w:val="en-GB"/>
              </w:rPr>
              <w:fldChar w:fldCharType="end"/>
            </w:r>
          </w:p>
        </w:tc>
        <w:tc>
          <w:tcPr>
            <w:tcW w:w="1134" w:type="dxa"/>
          </w:tcPr>
          <w:p w14:paraId="56F6BA4F" w14:textId="77777777" w:rsidR="00435CF2" w:rsidRPr="004F328B" w:rsidRDefault="00435CF2" w:rsidP="00825395">
            <w:pPr>
              <w:rPr>
                <w:sz w:val="18"/>
                <w:szCs w:val="18"/>
                <w:lang w:val="en-GB"/>
              </w:rPr>
            </w:pPr>
            <w:r>
              <w:rPr>
                <w:sz w:val="18"/>
                <w:szCs w:val="18"/>
                <w:lang w:val="en-GB"/>
              </w:rPr>
              <w:t>L</w:t>
            </w:r>
          </w:p>
        </w:tc>
        <w:tc>
          <w:tcPr>
            <w:tcW w:w="1276" w:type="dxa"/>
          </w:tcPr>
          <w:p w14:paraId="52564F20" w14:textId="77777777" w:rsidR="00435CF2" w:rsidRPr="004F328B" w:rsidRDefault="00435CF2" w:rsidP="00825395">
            <w:pPr>
              <w:rPr>
                <w:sz w:val="18"/>
                <w:szCs w:val="18"/>
                <w:lang w:val="en-GB"/>
              </w:rPr>
            </w:pPr>
            <w:r>
              <w:rPr>
                <w:sz w:val="18"/>
                <w:szCs w:val="18"/>
                <w:lang w:val="en-GB"/>
              </w:rPr>
              <w:t>L</w:t>
            </w:r>
          </w:p>
        </w:tc>
        <w:tc>
          <w:tcPr>
            <w:tcW w:w="1275" w:type="dxa"/>
          </w:tcPr>
          <w:p w14:paraId="54266414" w14:textId="77777777" w:rsidR="00435CF2" w:rsidRPr="004F328B" w:rsidRDefault="00435CF2" w:rsidP="00825395">
            <w:pPr>
              <w:rPr>
                <w:sz w:val="18"/>
                <w:szCs w:val="18"/>
                <w:lang w:val="en-GB"/>
              </w:rPr>
            </w:pPr>
            <w:r>
              <w:rPr>
                <w:sz w:val="18"/>
                <w:szCs w:val="18"/>
                <w:lang w:val="en-GB"/>
              </w:rPr>
              <w:t>L</w:t>
            </w:r>
          </w:p>
        </w:tc>
        <w:tc>
          <w:tcPr>
            <w:tcW w:w="1134" w:type="dxa"/>
          </w:tcPr>
          <w:p w14:paraId="5FDA2ADB" w14:textId="77777777" w:rsidR="00435CF2" w:rsidRPr="004F328B" w:rsidRDefault="00435CF2" w:rsidP="00825395">
            <w:pPr>
              <w:rPr>
                <w:sz w:val="18"/>
                <w:szCs w:val="18"/>
                <w:lang w:val="en-GB"/>
              </w:rPr>
            </w:pPr>
            <w:r>
              <w:rPr>
                <w:sz w:val="18"/>
                <w:szCs w:val="18"/>
                <w:lang w:val="en-GB"/>
              </w:rPr>
              <w:t>L</w:t>
            </w:r>
          </w:p>
        </w:tc>
        <w:tc>
          <w:tcPr>
            <w:tcW w:w="1134" w:type="dxa"/>
          </w:tcPr>
          <w:p w14:paraId="4FAAFA5C" w14:textId="77777777" w:rsidR="00435CF2" w:rsidRPr="004F328B" w:rsidRDefault="00435CF2" w:rsidP="00825395">
            <w:pPr>
              <w:rPr>
                <w:sz w:val="18"/>
                <w:szCs w:val="18"/>
                <w:lang w:val="en-GB"/>
              </w:rPr>
            </w:pPr>
            <w:r>
              <w:rPr>
                <w:sz w:val="18"/>
                <w:szCs w:val="18"/>
                <w:lang w:val="en-GB"/>
              </w:rPr>
              <w:t>L</w:t>
            </w:r>
          </w:p>
        </w:tc>
        <w:tc>
          <w:tcPr>
            <w:tcW w:w="1276" w:type="dxa"/>
          </w:tcPr>
          <w:p w14:paraId="6D537D5A" w14:textId="77777777" w:rsidR="00435CF2" w:rsidRPr="004F328B" w:rsidRDefault="00435CF2" w:rsidP="00825395">
            <w:pPr>
              <w:rPr>
                <w:sz w:val="18"/>
                <w:szCs w:val="18"/>
                <w:lang w:val="en-GB"/>
              </w:rPr>
            </w:pPr>
            <w:r>
              <w:rPr>
                <w:sz w:val="18"/>
                <w:szCs w:val="18"/>
                <w:lang w:val="en-GB"/>
              </w:rPr>
              <w:t>L</w:t>
            </w:r>
          </w:p>
        </w:tc>
        <w:tc>
          <w:tcPr>
            <w:tcW w:w="1276" w:type="dxa"/>
          </w:tcPr>
          <w:p w14:paraId="36FCCF0C" w14:textId="77777777" w:rsidR="00435CF2" w:rsidRPr="004F328B" w:rsidRDefault="00435CF2" w:rsidP="00825395">
            <w:pPr>
              <w:rPr>
                <w:sz w:val="18"/>
                <w:szCs w:val="18"/>
                <w:lang w:val="en-GB"/>
              </w:rPr>
            </w:pPr>
            <w:r>
              <w:rPr>
                <w:sz w:val="18"/>
                <w:szCs w:val="18"/>
                <w:lang w:val="en-GB"/>
              </w:rPr>
              <w:t>L</w:t>
            </w:r>
          </w:p>
        </w:tc>
        <w:tc>
          <w:tcPr>
            <w:tcW w:w="1984" w:type="dxa"/>
          </w:tcPr>
          <w:p w14:paraId="1B9FC1D3" w14:textId="77777777" w:rsidR="00435CF2" w:rsidRPr="004F328B" w:rsidRDefault="00435CF2" w:rsidP="00825395">
            <w:pPr>
              <w:rPr>
                <w:sz w:val="18"/>
                <w:szCs w:val="18"/>
                <w:lang w:val="en-GB"/>
              </w:rPr>
            </w:pPr>
            <w:r>
              <w:rPr>
                <w:sz w:val="18"/>
                <w:szCs w:val="18"/>
                <w:lang w:val="en-GB"/>
              </w:rPr>
              <w:t>L</w:t>
            </w:r>
          </w:p>
        </w:tc>
      </w:tr>
    </w:tbl>
    <w:p w14:paraId="5FF6C2CF" w14:textId="33E6C6D9" w:rsidR="00933A38" w:rsidRDefault="00933A38">
      <w:pPr>
        <w:rPr>
          <w:lang w:val="en-US"/>
        </w:rPr>
      </w:pPr>
    </w:p>
    <w:p w14:paraId="06BA6BB9" w14:textId="05577046" w:rsidR="009F2A1F" w:rsidRDefault="009F2A1F" w:rsidP="009F2A1F">
      <w:pPr>
        <w:rPr>
          <w:lang w:val="en-US"/>
        </w:rPr>
      </w:pPr>
      <w:r>
        <w:rPr>
          <w:lang w:val="en-US"/>
        </w:rPr>
        <w:t xml:space="preserve">Table S1: Risk of bias and applicability concerns of selected articles based on QUADAS-2 recommendations </w:t>
      </w:r>
      <w:r w:rsidR="002C5177">
        <w:rPr>
          <w:lang w:val="en-US"/>
        </w:rPr>
        <w:fldChar w:fldCharType="begin"/>
      </w:r>
      <w:r w:rsidR="002C5177">
        <w:rPr>
          <w:lang w:val="en-US"/>
        </w:rPr>
        <w:instrText xml:space="preserve"> ADDIN ZOTERO_ITEM CSL_CITATION {"citationID":"eHlp39b2","properties":{"formattedCitation":"[26]","plainCitation":"[26]","noteIndex":0},"citationItems":[{"id":94,"uris":["http://zotero.org/users/local/CblV8433/items/J6JKQBDV"],"itemData":{"id":94,"type":"article-journal","abstract":"In 2003, the QUADAS tool for systematic reviews of diagnostic accuracy studies was developed. Experience, anecdotal reports, and feedback suggested areas for improvement; therefore, QUADAS-2 was developed. This tool comprises 4 domains: patient selection, index test, reference standard, and flow and timing. Each domain is assessed in terms of risk of bias, and the first 3 domains are also assessed in terms of concerns regarding applicability. Signalling questions are included to help judge risk of bias. The QUADAS-2 tool is applied in 4 phases: summarize the review question, tailor the tool and produce review-specific guidance, construct a flow diagram for the primary study, and judge bias and applicability. This tool will allow for more transparent rating of bias and applicability of primary diagnostic accuracy studies.","container-title":"Annals of Internal Medicine","DOI":"10.7326/0003-4819-155-8-201110180-00009","ISSN":"1539-3704","issue":"8","journalAbbreviation":"Ann Intern Med","language":"eng","note":"PMID: 22007046","page":"529-536","source":"PubMed","title":"QUADAS-2: a revised tool for the quality assessment of diagnostic accuracy studies","title-short":"QUADAS-2","volume":"155","author":[{"family":"Whiting","given":"Penny F."},{"family":"Rutjes","given":"Anne W. S."},{"family":"Westwood","given":"Marie E."},{"family":"Mallett","given":"Susan"},{"family":"Deeks","given":"Jonathan J."},{"family":"Reitsma","given":"Johannes B."},{"family":"Leeflang","given":"Mariska M. G."},{"family":"Sterne","given":"Jonathan A. C."},{"family":"Bossuyt","given":"Patrick M. M."},{"literal":"QUADAS-2 Group"}],"issued":{"date-parts":[["2011",10,18]]}}}],"schema":"https://github.com/citation-style-language/schema/raw/master/csl-citation.json"} </w:instrText>
      </w:r>
      <w:r w:rsidR="002C5177">
        <w:rPr>
          <w:lang w:val="en-US"/>
        </w:rPr>
        <w:fldChar w:fldCharType="separate"/>
      </w:r>
      <w:r w:rsidR="002C5177">
        <w:rPr>
          <w:noProof/>
          <w:lang w:val="en-US"/>
        </w:rPr>
        <w:t>[26]</w:t>
      </w:r>
      <w:r w:rsidR="002C5177">
        <w:rPr>
          <w:lang w:val="en-US"/>
        </w:rPr>
        <w:fldChar w:fldCharType="end"/>
      </w:r>
      <w:r>
        <w:rPr>
          <w:lang w:val="en-US"/>
        </w:rPr>
        <w:t>.</w:t>
      </w:r>
    </w:p>
    <w:p w14:paraId="376741E2" w14:textId="0F5746C8" w:rsidR="000102CC" w:rsidRDefault="000102CC">
      <w:pPr>
        <w:rPr>
          <w:lang w:val="en-US"/>
        </w:rPr>
      </w:pPr>
    </w:p>
    <w:p w14:paraId="22432BAB" w14:textId="26EA8848" w:rsidR="000102CC" w:rsidRDefault="000102CC">
      <w:pPr>
        <w:rPr>
          <w:lang w:val="en-US"/>
        </w:rPr>
      </w:pPr>
    </w:p>
    <w:p w14:paraId="12BF283A" w14:textId="5359FA9F" w:rsidR="000102CC" w:rsidRPr="004E0330" w:rsidRDefault="000102CC" w:rsidP="000102CC">
      <w:pPr>
        <w:autoSpaceDE w:val="0"/>
        <w:autoSpaceDN w:val="0"/>
        <w:adjustRightInd w:val="0"/>
        <w:rPr>
          <w:rFonts w:ascii="AppleSystemUIFont" w:hAnsi="AppleSystemUIFont" w:cs="AppleSystemUIFont"/>
          <w:sz w:val="26"/>
          <w:szCs w:val="26"/>
          <w:u w:val="single"/>
          <w:lang w:val="en-US"/>
        </w:rPr>
      </w:pPr>
      <w:r w:rsidRPr="004E0330">
        <w:rPr>
          <w:rFonts w:ascii="AppleSystemUIFont" w:hAnsi="AppleSystemUIFont" w:cs="AppleSystemUIFont"/>
          <w:sz w:val="26"/>
          <w:szCs w:val="26"/>
          <w:u w:val="single"/>
          <w:lang w:val="en-US"/>
        </w:rPr>
        <w:t xml:space="preserve">Supplementary Material </w:t>
      </w:r>
      <w:r>
        <w:rPr>
          <w:rFonts w:ascii="AppleSystemUIFont" w:hAnsi="AppleSystemUIFont" w:cs="AppleSystemUIFont"/>
          <w:sz w:val="26"/>
          <w:szCs w:val="26"/>
          <w:u w:val="single"/>
          <w:lang w:val="en-US"/>
        </w:rPr>
        <w:t>3</w:t>
      </w:r>
      <w:r w:rsidRPr="004E0330">
        <w:rPr>
          <w:rFonts w:ascii="AppleSystemUIFont" w:hAnsi="AppleSystemUIFont" w:cs="AppleSystemUIFont"/>
          <w:sz w:val="26"/>
          <w:szCs w:val="26"/>
          <w:u w:val="single"/>
          <w:lang w:val="en-US"/>
        </w:rPr>
        <w:t>:</w:t>
      </w:r>
    </w:p>
    <w:p w14:paraId="0E7AF78B" w14:textId="1E774A9E" w:rsidR="000102CC" w:rsidRDefault="000102CC">
      <w:pPr>
        <w:rPr>
          <w:lang w:val="en-US"/>
        </w:rPr>
      </w:pPr>
    </w:p>
    <w:p w14:paraId="61764EF0" w14:textId="42102F83" w:rsidR="000102CC" w:rsidRDefault="000102CC">
      <w:pPr>
        <w:rPr>
          <w:lang w:val="en-US"/>
        </w:rPr>
      </w:pPr>
      <w:r>
        <w:rPr>
          <w:lang w:val="en-US"/>
        </w:rPr>
        <w:t xml:space="preserve">Definition of </w:t>
      </w:r>
      <w:r w:rsidRPr="000102CC">
        <w:rPr>
          <w:lang w:val="en-US"/>
        </w:rPr>
        <w:t>standardized incidence ratio (SIR)</w:t>
      </w:r>
      <w:r>
        <w:rPr>
          <w:lang w:val="en-US"/>
        </w:rPr>
        <w:t xml:space="preserve"> by </w:t>
      </w:r>
      <w:proofErr w:type="spellStart"/>
      <w:r>
        <w:rPr>
          <w:lang w:val="en-US"/>
        </w:rPr>
        <w:t>C</w:t>
      </w:r>
      <w:r w:rsidRPr="000102CC">
        <w:rPr>
          <w:lang w:val="en-US"/>
        </w:rPr>
        <w:t>entres</w:t>
      </w:r>
      <w:proofErr w:type="spellEnd"/>
      <w:r w:rsidRPr="000102CC">
        <w:rPr>
          <w:lang w:val="en-US"/>
        </w:rPr>
        <w:t xml:space="preserve"> for </w:t>
      </w:r>
      <w:r>
        <w:rPr>
          <w:lang w:val="en-US"/>
        </w:rPr>
        <w:t>D</w:t>
      </w:r>
      <w:r w:rsidRPr="000102CC">
        <w:rPr>
          <w:lang w:val="en-US"/>
        </w:rPr>
        <w:t xml:space="preserve">isease </w:t>
      </w:r>
      <w:r>
        <w:rPr>
          <w:lang w:val="en-US"/>
        </w:rPr>
        <w:t>C</w:t>
      </w:r>
      <w:r w:rsidRPr="000102CC">
        <w:rPr>
          <w:lang w:val="en-US"/>
        </w:rPr>
        <w:t xml:space="preserve">ontrol and </w:t>
      </w:r>
      <w:r>
        <w:rPr>
          <w:lang w:val="en-US"/>
        </w:rPr>
        <w:t>P</w:t>
      </w:r>
      <w:r w:rsidRPr="000102CC">
        <w:rPr>
          <w:lang w:val="en-US"/>
        </w:rPr>
        <w:t>revention</w:t>
      </w:r>
      <w:r>
        <w:rPr>
          <w:lang w:val="en-US"/>
        </w:rPr>
        <w:t xml:space="preserve"> CDC</w:t>
      </w:r>
      <w:r w:rsidR="00377B3E">
        <w:rPr>
          <w:lang w:val="en-US"/>
        </w:rPr>
        <w:t xml:space="preserve"> </w:t>
      </w:r>
      <w:r w:rsidR="00377B3E">
        <w:rPr>
          <w:lang w:val="en-US"/>
        </w:rPr>
        <w:fldChar w:fldCharType="begin"/>
      </w:r>
      <w:r w:rsidR="00377B3E">
        <w:rPr>
          <w:lang w:val="en-US"/>
        </w:rPr>
        <w:instrText xml:space="preserve"> ADDIN ZOTERO_ITEM CSL_CITATION {"citationID":"yhnuLXLV","properties":{"formattedCitation":"[27]","plainCitation":"[27]","noteIndex":0},"citationItems":[{"id":123,"uris":["http://zotero.org/users/local/CblV8433/items/PNSVBPW7"],"itemData":{"id":123,"type":"article-journal","language":"en","source":"Zotero","title":"Standardized Incidence Ratio (SIR)"}}],"schema":"https://github.com/citation-style-language/schema/raw/master/csl-citation.json"} </w:instrText>
      </w:r>
      <w:r w:rsidR="00377B3E">
        <w:rPr>
          <w:lang w:val="en-US"/>
        </w:rPr>
        <w:fldChar w:fldCharType="separate"/>
      </w:r>
      <w:r w:rsidR="00377B3E">
        <w:rPr>
          <w:noProof/>
          <w:lang w:val="en-US"/>
        </w:rPr>
        <w:t>[27]</w:t>
      </w:r>
      <w:r w:rsidR="00377B3E">
        <w:rPr>
          <w:lang w:val="en-US"/>
        </w:rPr>
        <w:fldChar w:fldCharType="end"/>
      </w:r>
      <w:r>
        <w:rPr>
          <w:lang w:val="en-US"/>
        </w:rPr>
        <w:t xml:space="preserve">: </w:t>
      </w:r>
    </w:p>
    <w:p w14:paraId="0A3CEC96" w14:textId="77777777" w:rsidR="000102CC" w:rsidRPr="000102CC" w:rsidRDefault="000102CC">
      <w:pPr>
        <w:rPr>
          <w:lang w:val="en-US"/>
        </w:rPr>
      </w:pPr>
    </w:p>
    <w:p w14:paraId="3C89F5FC" w14:textId="5B836327" w:rsidR="000102CC" w:rsidRDefault="000102CC">
      <w:pPr>
        <w:rPr>
          <w:lang w:val="en-US"/>
        </w:rPr>
      </w:pPr>
      <w:r w:rsidRPr="000102CC">
        <w:rPr>
          <w:lang w:val="en-US"/>
        </w:rPr>
        <w:t>The SIR is an estimate of the number of cancer cases in a given population compared to what might be “expected” based on a comparison with the cancer experience in a larger population. Thus, the SIR is a ratio of the number of cancers observed compared to the number expected. If the observed number of cases equals the expected number of cases, the value of an SIR is 1.0. Sometimes we multiply the SIR by 100 for ease of reporting.</w:t>
      </w:r>
    </w:p>
    <w:p w14:paraId="5A7FA4E2" w14:textId="255B78B7" w:rsidR="006C0D54" w:rsidRDefault="006C0D54">
      <w:pPr>
        <w:rPr>
          <w:lang w:val="en-US"/>
        </w:rPr>
      </w:pPr>
    </w:p>
    <w:p w14:paraId="4132BE07" w14:textId="2EE7E3FD" w:rsidR="00F13D99" w:rsidRDefault="00F13D99">
      <w:pPr>
        <w:rPr>
          <w:lang w:val="en-US"/>
        </w:rPr>
      </w:pPr>
      <w:r w:rsidRPr="00F13D99">
        <w:rPr>
          <w:lang w:val="en-US"/>
        </w:rPr>
        <w:t>If SIR = 1 it means that there is no difference between population of interest and general population. If SIR &gt; 1, it means that there is higher risk of the disease in the population of interest than in the general population.</w:t>
      </w:r>
      <w:r w:rsidR="00523B4B">
        <w:rPr>
          <w:lang w:val="en-US"/>
        </w:rPr>
        <w:t xml:space="preserve"> If SIR of disease “A” is 6.5 and SIR of disease “B” is 2.4 it means that the risk of developing disease “A” is higher than the risk of developing disease “B”.  </w:t>
      </w:r>
    </w:p>
    <w:p w14:paraId="046C3E6E" w14:textId="77777777" w:rsidR="00F13D99" w:rsidRDefault="00F13D99">
      <w:pPr>
        <w:rPr>
          <w:lang w:val="en-US"/>
        </w:rPr>
      </w:pPr>
    </w:p>
    <w:p w14:paraId="163952A7" w14:textId="3024A111" w:rsidR="000102CC" w:rsidRPr="00064BE6" w:rsidRDefault="000102CC">
      <w:pPr>
        <w:rPr>
          <w:lang w:val="en-US"/>
        </w:rPr>
      </w:pPr>
    </w:p>
    <w:p w14:paraId="0843DF32" w14:textId="03323853" w:rsidR="000102CC" w:rsidRPr="00951023" w:rsidRDefault="000102CC">
      <w:pPr>
        <w:rPr>
          <w:lang w:val="en-US"/>
        </w:rPr>
      </w:pPr>
      <w:r w:rsidRPr="000102CC">
        <w:rPr>
          <w:lang w:val="en-US"/>
        </w:rPr>
        <w:t xml:space="preserve">Standardizing is a way to adjust a rate by taking into account factors about a population. For example, rates can be adjusted for factors such as age, sex, race, or ethnicity. In cancer analyses, adjusting for age is important because age is a risk factor for many cancers. Therefore, if the comparison population is composed of an older population, you might expect cancer to occur more frequently because cancer rates increase with age. In this example, the calculation of the SIR would take the age of the population into account and adjusts the comparison based upon the age of that population. </w:t>
      </w:r>
      <w:r w:rsidRPr="00951023">
        <w:rPr>
          <w:lang w:val="en-US"/>
        </w:rPr>
        <w:t>We call this standardizing by age.</w:t>
      </w:r>
    </w:p>
    <w:p w14:paraId="38A768AC" w14:textId="096761E3" w:rsidR="000102CC" w:rsidRPr="00951023" w:rsidRDefault="000102CC">
      <w:pPr>
        <w:rPr>
          <w:lang w:val="en-US"/>
        </w:rPr>
      </w:pPr>
    </w:p>
    <w:p w14:paraId="7CC2A2BD" w14:textId="1F15B40D" w:rsidR="000102CC" w:rsidRPr="004E0330" w:rsidRDefault="000102CC" w:rsidP="000102CC">
      <w:pPr>
        <w:autoSpaceDE w:val="0"/>
        <w:autoSpaceDN w:val="0"/>
        <w:adjustRightInd w:val="0"/>
        <w:rPr>
          <w:rFonts w:ascii="AppleSystemUIFont" w:hAnsi="AppleSystemUIFont" w:cs="AppleSystemUIFont"/>
          <w:sz w:val="26"/>
          <w:szCs w:val="26"/>
          <w:u w:val="single"/>
          <w:lang w:val="en-US"/>
        </w:rPr>
      </w:pPr>
      <w:r w:rsidRPr="004E0330">
        <w:rPr>
          <w:rFonts w:ascii="AppleSystemUIFont" w:hAnsi="AppleSystemUIFont" w:cs="AppleSystemUIFont"/>
          <w:sz w:val="26"/>
          <w:szCs w:val="26"/>
          <w:u w:val="single"/>
          <w:lang w:val="en-US"/>
        </w:rPr>
        <w:t xml:space="preserve">Supplementary Material </w:t>
      </w:r>
      <w:r>
        <w:rPr>
          <w:rFonts w:ascii="AppleSystemUIFont" w:hAnsi="AppleSystemUIFont" w:cs="AppleSystemUIFont"/>
          <w:sz w:val="26"/>
          <w:szCs w:val="26"/>
          <w:u w:val="single"/>
          <w:lang w:val="en-US"/>
        </w:rPr>
        <w:t>4</w:t>
      </w:r>
      <w:r w:rsidRPr="004E0330">
        <w:rPr>
          <w:rFonts w:ascii="AppleSystemUIFont" w:hAnsi="AppleSystemUIFont" w:cs="AppleSystemUIFont"/>
          <w:sz w:val="26"/>
          <w:szCs w:val="26"/>
          <w:u w:val="single"/>
          <w:lang w:val="en-US"/>
        </w:rPr>
        <w:t>:</w:t>
      </w:r>
    </w:p>
    <w:p w14:paraId="5E22EBF3" w14:textId="5455B328" w:rsidR="000102CC" w:rsidRDefault="000102CC">
      <w:pPr>
        <w:rPr>
          <w:lang w:val="en-US"/>
        </w:rPr>
      </w:pPr>
    </w:p>
    <w:p w14:paraId="76C6ED74" w14:textId="5348921C" w:rsidR="000102CC" w:rsidRDefault="00B75390">
      <w:pPr>
        <w:rPr>
          <w:lang w:val="en-US"/>
        </w:rPr>
      </w:pPr>
      <w:r>
        <w:rPr>
          <w:lang w:val="en-US"/>
        </w:rPr>
        <w:t>Definition of incidence risk</w:t>
      </w:r>
      <w:r w:rsidRPr="000102CC">
        <w:rPr>
          <w:lang w:val="en-US"/>
        </w:rPr>
        <w:t xml:space="preserve"> (</w:t>
      </w:r>
      <w:r>
        <w:rPr>
          <w:lang w:val="en-US"/>
        </w:rPr>
        <w:t>IR</w:t>
      </w:r>
      <w:r w:rsidRPr="000102CC">
        <w:rPr>
          <w:lang w:val="en-US"/>
        </w:rPr>
        <w:t>)</w:t>
      </w:r>
      <w:r>
        <w:rPr>
          <w:lang w:val="en-US"/>
        </w:rPr>
        <w:t xml:space="preserve"> by </w:t>
      </w:r>
      <w:proofErr w:type="spellStart"/>
      <w:r>
        <w:rPr>
          <w:lang w:val="en-US"/>
        </w:rPr>
        <w:t>C</w:t>
      </w:r>
      <w:r w:rsidRPr="000102CC">
        <w:rPr>
          <w:lang w:val="en-US"/>
        </w:rPr>
        <w:t>entres</w:t>
      </w:r>
      <w:proofErr w:type="spellEnd"/>
      <w:r w:rsidRPr="000102CC">
        <w:rPr>
          <w:lang w:val="en-US"/>
        </w:rPr>
        <w:t xml:space="preserve"> for </w:t>
      </w:r>
      <w:r>
        <w:rPr>
          <w:lang w:val="en-US"/>
        </w:rPr>
        <w:t>D</w:t>
      </w:r>
      <w:r w:rsidRPr="000102CC">
        <w:rPr>
          <w:lang w:val="en-US"/>
        </w:rPr>
        <w:t xml:space="preserve">isease </w:t>
      </w:r>
      <w:r>
        <w:rPr>
          <w:lang w:val="en-US"/>
        </w:rPr>
        <w:t>C</w:t>
      </w:r>
      <w:r w:rsidRPr="000102CC">
        <w:rPr>
          <w:lang w:val="en-US"/>
        </w:rPr>
        <w:t xml:space="preserve">ontrol and </w:t>
      </w:r>
      <w:r>
        <w:rPr>
          <w:lang w:val="en-US"/>
        </w:rPr>
        <w:t>P</w:t>
      </w:r>
      <w:r w:rsidRPr="000102CC">
        <w:rPr>
          <w:lang w:val="en-US"/>
        </w:rPr>
        <w:t>revention</w:t>
      </w:r>
      <w:r>
        <w:rPr>
          <w:lang w:val="en-US"/>
        </w:rPr>
        <w:t xml:space="preserve"> CDC</w:t>
      </w:r>
      <w:r w:rsidR="00377B3E">
        <w:rPr>
          <w:lang w:val="en-US"/>
        </w:rPr>
        <w:t xml:space="preserve"> </w:t>
      </w:r>
      <w:r w:rsidR="00377B3E">
        <w:rPr>
          <w:lang w:val="en-US"/>
        </w:rPr>
        <w:fldChar w:fldCharType="begin"/>
      </w:r>
      <w:r w:rsidR="00377B3E">
        <w:rPr>
          <w:lang w:val="en-US"/>
        </w:rPr>
        <w:instrText xml:space="preserve"> ADDIN ZOTERO_ITEM CSL_CITATION {"citationID":"ggid0ENI","properties":{"formattedCitation":"[28]","plainCitation":"[28]","noteIndex":0},"citationItems":[{"id":99,"uris":["http://zotero.org/users/local/CblV8433/items/4PHS2KAW"],"itemData":{"id":99,"type":"webpage","title":"Principles of Epidemiology | Lesson 3 - Section 2","URL":"https://www.cdc.gov/csels/dsepd/ss1978/lesson3/section2.html","accessed":{"date-parts":[["2023",5,10]]}}}],"schema":"https://github.com/citation-style-language/schema/raw/master/csl-citation.json"} </w:instrText>
      </w:r>
      <w:r w:rsidR="00377B3E">
        <w:rPr>
          <w:lang w:val="en-US"/>
        </w:rPr>
        <w:fldChar w:fldCharType="separate"/>
      </w:r>
      <w:r w:rsidR="00377B3E">
        <w:rPr>
          <w:noProof/>
          <w:lang w:val="en-US"/>
        </w:rPr>
        <w:t>[28]</w:t>
      </w:r>
      <w:r w:rsidR="00377B3E">
        <w:rPr>
          <w:lang w:val="en-US"/>
        </w:rPr>
        <w:fldChar w:fldCharType="end"/>
      </w:r>
      <w:r>
        <w:rPr>
          <w:lang w:val="en-US"/>
        </w:rPr>
        <w:t>:</w:t>
      </w:r>
    </w:p>
    <w:p w14:paraId="6979D50E" w14:textId="5039D0C1" w:rsidR="000102CC" w:rsidRDefault="000102CC">
      <w:pPr>
        <w:rPr>
          <w:lang w:val="en-US"/>
        </w:rPr>
      </w:pPr>
    </w:p>
    <w:p w14:paraId="550A5BDF" w14:textId="3C3C881C" w:rsidR="00B75390" w:rsidRDefault="00B75390">
      <w:pPr>
        <w:rPr>
          <w:lang w:val="en-US"/>
        </w:rPr>
      </w:pPr>
      <w:r w:rsidRPr="00B75390">
        <w:rPr>
          <w:lang w:val="en-US"/>
        </w:rPr>
        <w:t xml:space="preserve">Incidence </w:t>
      </w:r>
      <w:r>
        <w:rPr>
          <w:lang w:val="en-US"/>
        </w:rPr>
        <w:t>risk</w:t>
      </w:r>
      <w:r w:rsidRPr="00B75390">
        <w:rPr>
          <w:lang w:val="en-US"/>
        </w:rPr>
        <w:t xml:space="preserve"> is the proportion of an initially disease-free population that develops disease, becomes injured, or dies during a specified (usually limited) period of time. Synonyms include attack rate, </w:t>
      </w:r>
      <w:r>
        <w:rPr>
          <w:lang w:val="en-US"/>
        </w:rPr>
        <w:t>incidence proportion</w:t>
      </w:r>
      <w:r w:rsidRPr="00B75390">
        <w:rPr>
          <w:lang w:val="en-US"/>
        </w:rPr>
        <w:t xml:space="preserve">, probability of getting disease, and cumulative incidence. Incidence </w:t>
      </w:r>
      <w:r>
        <w:rPr>
          <w:lang w:val="en-US"/>
        </w:rPr>
        <w:t>risk</w:t>
      </w:r>
      <w:r w:rsidRPr="00B75390">
        <w:rPr>
          <w:lang w:val="en-US"/>
        </w:rPr>
        <w:t xml:space="preserve"> is a proportion because the persons in the numerator, those who develop disease, are all included in the denominator (the entire population).</w:t>
      </w:r>
      <w:r>
        <w:rPr>
          <w:lang w:val="en-US"/>
        </w:rPr>
        <w:t xml:space="preserve"> </w:t>
      </w:r>
      <w:r w:rsidRPr="00B75390">
        <w:rPr>
          <w:lang w:val="en-US"/>
        </w:rPr>
        <w:t>Method for calculating</w:t>
      </w:r>
      <w:r>
        <w:rPr>
          <w:lang w:val="en-US"/>
        </w:rPr>
        <w:t>:</w:t>
      </w:r>
    </w:p>
    <w:p w14:paraId="793E5C7B" w14:textId="686ED15E" w:rsidR="00B75390" w:rsidRDefault="00B75390">
      <w:pPr>
        <w:rPr>
          <w:lang w:val="en-US"/>
        </w:rPr>
      </w:pPr>
    </w:p>
    <w:p w14:paraId="7E62F88F" w14:textId="647A808F" w:rsidR="00B75390" w:rsidRDefault="00B75390">
      <w:pPr>
        <w:rPr>
          <w:bCs/>
          <w:lang w:val="en-US"/>
        </w:rPr>
      </w:pPr>
      <w:r>
        <w:rPr>
          <w:bCs/>
          <w:lang w:val="en-US"/>
        </w:rPr>
        <w:lastRenderedPageBreak/>
        <w:t>IR=</w:t>
      </w:r>
      <w:r w:rsidRPr="00B75390">
        <w:rPr>
          <w:bCs/>
          <w:lang w:val="en-US"/>
        </w:rPr>
        <w:t xml:space="preserve"> [number of new cases of disease during specified period] / [size of population at start of period]</w:t>
      </w:r>
    </w:p>
    <w:p w14:paraId="3FDCFE98" w14:textId="77777777" w:rsidR="00A73975" w:rsidRDefault="00A73975">
      <w:pPr>
        <w:rPr>
          <w:bCs/>
          <w:lang w:val="en-US"/>
        </w:rPr>
      </w:pPr>
    </w:p>
    <w:p w14:paraId="36008679" w14:textId="21515F61" w:rsidR="00A73975" w:rsidRPr="00A73975" w:rsidRDefault="00A73975" w:rsidP="00A73975">
      <w:pPr>
        <w:rPr>
          <w:lang w:val="en-US" w:bidi="en-US"/>
        </w:rPr>
      </w:pPr>
      <w:r w:rsidRPr="00A73975">
        <w:rPr>
          <w:lang w:val="en-US" w:bidi="en-US"/>
        </w:rPr>
        <w:t>If IR= 0.</w:t>
      </w:r>
      <w:r>
        <w:rPr>
          <w:lang w:val="en-US" w:bidi="en-US"/>
        </w:rPr>
        <w:t>1</w:t>
      </w:r>
      <w:r w:rsidRPr="00A73975">
        <w:rPr>
          <w:lang w:val="en-US" w:bidi="en-US"/>
        </w:rPr>
        <w:t>% it means that out of 100,000 people</w:t>
      </w:r>
      <w:r>
        <w:rPr>
          <w:lang w:val="en-US" w:bidi="en-US"/>
        </w:rPr>
        <w:t xml:space="preserve"> of specific subpopulation 100</w:t>
      </w:r>
      <w:r w:rsidRPr="00A73975">
        <w:rPr>
          <w:lang w:val="en-US" w:bidi="en-US"/>
        </w:rPr>
        <w:t xml:space="preserve"> will develop </w:t>
      </w:r>
      <w:r>
        <w:rPr>
          <w:lang w:val="en-US" w:bidi="en-US"/>
        </w:rPr>
        <w:t xml:space="preserve">a defined disease. Thus, if IR of disease “A” is 1% and IR of disease “B” is 0.1% it means that </w:t>
      </w:r>
      <w:r w:rsidR="00012FB1">
        <w:rPr>
          <w:lang w:val="en-US" w:bidi="en-US"/>
        </w:rPr>
        <w:t xml:space="preserve">the risk of developing disease “A” is 10 times higher than the risk of developing disease “B”. </w:t>
      </w:r>
      <w:r>
        <w:rPr>
          <w:lang w:val="en-US" w:bidi="en-US"/>
        </w:rPr>
        <w:t xml:space="preserve"> </w:t>
      </w:r>
      <w:r w:rsidRPr="00A73975">
        <w:rPr>
          <w:lang w:val="en-US" w:bidi="en-US"/>
        </w:rPr>
        <w:t xml:space="preserve"> </w:t>
      </w:r>
    </w:p>
    <w:p w14:paraId="0DC647F1" w14:textId="77777777" w:rsidR="008B4850" w:rsidRDefault="008B4850">
      <w:pPr>
        <w:rPr>
          <w:lang w:val="en-US"/>
        </w:rPr>
      </w:pPr>
    </w:p>
    <w:p w14:paraId="058BB283" w14:textId="286E4B6A" w:rsidR="00272E15" w:rsidRPr="004E0330" w:rsidRDefault="00272E15" w:rsidP="00272E15">
      <w:pPr>
        <w:autoSpaceDE w:val="0"/>
        <w:autoSpaceDN w:val="0"/>
        <w:adjustRightInd w:val="0"/>
        <w:rPr>
          <w:rFonts w:ascii="AppleSystemUIFont" w:hAnsi="AppleSystemUIFont" w:cs="AppleSystemUIFont"/>
          <w:sz w:val="26"/>
          <w:szCs w:val="26"/>
          <w:u w:val="single"/>
          <w:lang w:val="en-US"/>
        </w:rPr>
      </w:pPr>
      <w:r w:rsidRPr="004E0330">
        <w:rPr>
          <w:rFonts w:ascii="AppleSystemUIFont" w:hAnsi="AppleSystemUIFont" w:cs="AppleSystemUIFont"/>
          <w:sz w:val="26"/>
          <w:szCs w:val="26"/>
          <w:u w:val="single"/>
          <w:lang w:val="en-US"/>
        </w:rPr>
        <w:t xml:space="preserve">Supplementary Material </w:t>
      </w:r>
      <w:r>
        <w:rPr>
          <w:rFonts w:ascii="AppleSystemUIFont" w:hAnsi="AppleSystemUIFont" w:cs="AppleSystemUIFont"/>
          <w:sz w:val="26"/>
          <w:szCs w:val="26"/>
          <w:u w:val="single"/>
          <w:lang w:val="en-US"/>
        </w:rPr>
        <w:t>5</w:t>
      </w:r>
      <w:r w:rsidRPr="004E0330">
        <w:rPr>
          <w:rFonts w:ascii="AppleSystemUIFont" w:hAnsi="AppleSystemUIFont" w:cs="AppleSystemUIFont"/>
          <w:sz w:val="26"/>
          <w:szCs w:val="26"/>
          <w:u w:val="single"/>
          <w:lang w:val="en-US"/>
        </w:rPr>
        <w:t>:</w:t>
      </w:r>
    </w:p>
    <w:p w14:paraId="4716D6D4" w14:textId="77777777" w:rsidR="009E1F78" w:rsidRDefault="009E1F78">
      <w:pPr>
        <w:rPr>
          <w:lang w:val="en-US"/>
        </w:rPr>
      </w:pPr>
    </w:p>
    <w:p w14:paraId="7297B127" w14:textId="48EDAC29" w:rsidR="009E1F78" w:rsidRDefault="00272E15">
      <w:pPr>
        <w:rPr>
          <w:lang w:val="en-US"/>
        </w:rPr>
      </w:pPr>
      <w:r>
        <w:rPr>
          <w:lang w:val="en-US"/>
        </w:rPr>
        <w:t xml:space="preserve">Definition of incidence risk per 100,000 person years (IR per 100,000 PY) by </w:t>
      </w:r>
      <w:proofErr w:type="spellStart"/>
      <w:r>
        <w:rPr>
          <w:lang w:val="en-US"/>
        </w:rPr>
        <w:t>C</w:t>
      </w:r>
      <w:r w:rsidRPr="000102CC">
        <w:rPr>
          <w:lang w:val="en-US"/>
        </w:rPr>
        <w:t>entres</w:t>
      </w:r>
      <w:proofErr w:type="spellEnd"/>
      <w:r w:rsidRPr="000102CC">
        <w:rPr>
          <w:lang w:val="en-US"/>
        </w:rPr>
        <w:t xml:space="preserve"> for </w:t>
      </w:r>
      <w:r>
        <w:rPr>
          <w:lang w:val="en-US"/>
        </w:rPr>
        <w:t>D</w:t>
      </w:r>
      <w:r w:rsidRPr="000102CC">
        <w:rPr>
          <w:lang w:val="en-US"/>
        </w:rPr>
        <w:t xml:space="preserve">isease </w:t>
      </w:r>
      <w:r>
        <w:rPr>
          <w:lang w:val="en-US"/>
        </w:rPr>
        <w:t>C</w:t>
      </w:r>
      <w:r w:rsidRPr="000102CC">
        <w:rPr>
          <w:lang w:val="en-US"/>
        </w:rPr>
        <w:t xml:space="preserve">ontrol and </w:t>
      </w:r>
      <w:r>
        <w:rPr>
          <w:lang w:val="en-US"/>
        </w:rPr>
        <w:t>P</w:t>
      </w:r>
      <w:r w:rsidRPr="000102CC">
        <w:rPr>
          <w:lang w:val="en-US"/>
        </w:rPr>
        <w:t>revention</w:t>
      </w:r>
      <w:r>
        <w:rPr>
          <w:lang w:val="en-US"/>
        </w:rPr>
        <w:t xml:space="preserve"> CDC</w:t>
      </w:r>
      <w:r w:rsidR="000B30F0">
        <w:rPr>
          <w:lang w:val="en-US"/>
        </w:rPr>
        <w:t xml:space="preserve"> </w:t>
      </w:r>
      <w:r w:rsidR="00377B3E">
        <w:rPr>
          <w:lang w:val="en-US"/>
        </w:rPr>
        <w:fldChar w:fldCharType="begin"/>
      </w:r>
      <w:r w:rsidR="00377B3E">
        <w:rPr>
          <w:lang w:val="en-US"/>
        </w:rPr>
        <w:instrText xml:space="preserve"> ADDIN ZOTERO_ITEM CSL_CITATION {"citationID":"g2JJhAJM","properties":{"formattedCitation":"[28]","plainCitation":"[28]","noteIndex":0},"citationItems":[{"id":99,"uris":["http://zotero.org/users/local/CblV8433/items/4PHS2KAW"],"itemData":{"id":99,"type":"webpage","title":"Principles of Epidemiology | Lesson 3 - Section 2","URL":"https://www.cdc.gov/csels/dsepd/ss1978/lesson3/section2.html","accessed":{"date-parts":[["2023",5,10]]}}}],"schema":"https://github.com/citation-style-language/schema/raw/master/csl-citation.json"} </w:instrText>
      </w:r>
      <w:r w:rsidR="00377B3E">
        <w:rPr>
          <w:lang w:val="en-US"/>
        </w:rPr>
        <w:fldChar w:fldCharType="separate"/>
      </w:r>
      <w:r w:rsidR="00377B3E">
        <w:rPr>
          <w:noProof/>
          <w:lang w:val="en-US"/>
        </w:rPr>
        <w:t>[28]</w:t>
      </w:r>
      <w:r w:rsidR="00377B3E">
        <w:rPr>
          <w:lang w:val="en-US"/>
        </w:rPr>
        <w:fldChar w:fldCharType="end"/>
      </w:r>
      <w:r>
        <w:rPr>
          <w:lang w:val="en-US"/>
        </w:rPr>
        <w:t>:</w:t>
      </w:r>
    </w:p>
    <w:p w14:paraId="2FA65BC9" w14:textId="77777777" w:rsidR="00272E15" w:rsidRDefault="00272E15">
      <w:pPr>
        <w:rPr>
          <w:lang w:val="en-US"/>
        </w:rPr>
      </w:pPr>
    </w:p>
    <w:p w14:paraId="615085B1" w14:textId="77777777" w:rsidR="00272E15" w:rsidRPr="00272E15" w:rsidRDefault="00272E15" w:rsidP="00272E15">
      <w:pPr>
        <w:rPr>
          <w:lang w:val="en-US"/>
        </w:rPr>
      </w:pPr>
      <w:r>
        <w:rPr>
          <w:lang w:val="en-US"/>
        </w:rPr>
        <w:t xml:space="preserve">IR per 1000,000 PY </w:t>
      </w:r>
      <w:r w:rsidRPr="00272E15">
        <w:rPr>
          <w:lang w:val="en-US"/>
        </w:rPr>
        <w:t>is generally calculated from a long-term cohort follow-up study, wherein enrollees are followed over time and the occurrence of new cases of disease is documented. Typically, each person is observed from an established starting time until one of four “end points” is reached: onset of disease, death, migration out of the study (“lost to follow-up”), or the end of the study. Similar to the incidence proportion, the numerator of the incidence rate is the number of new cases identified during the period of observation. However, the denominator differs. The denominator is the sum of the time each person was observed, totaled for all persons. This denominator represents the total time the population was at risk of and being watched for disease. Thus, the incidence rate is the ratio of the number of cases to the total time the population is at risk of disease.</w:t>
      </w:r>
      <w:r>
        <w:rPr>
          <w:lang w:val="en-US"/>
        </w:rPr>
        <w:t xml:space="preserve"> </w:t>
      </w:r>
      <w:r w:rsidRPr="00272E15">
        <w:rPr>
          <w:lang w:val="en-US"/>
        </w:rPr>
        <w:t>Method for calculating</w:t>
      </w:r>
      <w:r>
        <w:rPr>
          <w:lang w:val="en-US"/>
        </w:rPr>
        <w:t>:</w:t>
      </w:r>
    </w:p>
    <w:p w14:paraId="52C4B4CD" w14:textId="6925D494" w:rsidR="00272E15" w:rsidRPr="00272E15" w:rsidRDefault="00272E15" w:rsidP="00272E15">
      <w:pPr>
        <w:rPr>
          <w:lang w:val="en-US"/>
        </w:rPr>
      </w:pPr>
    </w:p>
    <w:p w14:paraId="5F590FB6" w14:textId="77777777" w:rsidR="00272E15" w:rsidRPr="00272E15" w:rsidRDefault="00272E15" w:rsidP="00272E15">
      <w:pPr>
        <w:rPr>
          <w:lang w:val="en-US"/>
        </w:rPr>
      </w:pPr>
    </w:p>
    <w:p w14:paraId="4AF45101" w14:textId="239B8F3C" w:rsidR="00272E15" w:rsidRDefault="00272E15" w:rsidP="00272E15">
      <w:pPr>
        <w:rPr>
          <w:lang w:val="en-US"/>
        </w:rPr>
      </w:pPr>
      <w:r>
        <w:rPr>
          <w:lang w:val="en-US"/>
        </w:rPr>
        <w:t>IR per 1000,000 PY = [n</w:t>
      </w:r>
      <w:r w:rsidRPr="00272E15">
        <w:rPr>
          <w:lang w:val="en-US"/>
        </w:rPr>
        <w:t>umber of new cases of disease or injury during specified period</w:t>
      </w:r>
      <w:r>
        <w:rPr>
          <w:lang w:val="en-US"/>
        </w:rPr>
        <w:t>]</w:t>
      </w:r>
      <w:r w:rsidRPr="00272E15">
        <w:rPr>
          <w:lang w:val="en-US"/>
        </w:rPr>
        <w:t xml:space="preserve"> </w:t>
      </w:r>
      <w:r>
        <w:rPr>
          <w:lang w:val="en-US"/>
        </w:rPr>
        <w:t>/ [t</w:t>
      </w:r>
      <w:r w:rsidRPr="00272E15">
        <w:rPr>
          <w:lang w:val="en-US"/>
        </w:rPr>
        <w:t>ime each person was observed, totaled for all persons</w:t>
      </w:r>
      <w:r>
        <w:rPr>
          <w:lang w:val="en-US"/>
        </w:rPr>
        <w:t>- in this case for 100,000 PY]</w:t>
      </w:r>
    </w:p>
    <w:p w14:paraId="0F6EE2FB" w14:textId="77777777" w:rsidR="008B4850" w:rsidRPr="008F77F9" w:rsidRDefault="008B4850" w:rsidP="0015263F">
      <w:pPr>
        <w:rPr>
          <w:lang w:val="en-US"/>
        </w:rPr>
      </w:pPr>
    </w:p>
    <w:p w14:paraId="0B95EB4E" w14:textId="6413467E" w:rsidR="000102CC" w:rsidRPr="00064BE6" w:rsidRDefault="008B4850">
      <w:pPr>
        <w:rPr>
          <w:lang w:val="en-US"/>
        </w:rPr>
      </w:pPr>
      <w:r w:rsidRPr="00064BE6">
        <w:rPr>
          <w:b/>
          <w:bCs/>
          <w:lang w:val="en-US"/>
        </w:rPr>
        <w:t>References</w:t>
      </w:r>
    </w:p>
    <w:p w14:paraId="2F6FBCE6" w14:textId="6CAE9BDB" w:rsidR="000102CC" w:rsidRPr="00064BE6" w:rsidRDefault="000102CC">
      <w:pPr>
        <w:rPr>
          <w:lang w:val="en-US"/>
        </w:rPr>
      </w:pPr>
    </w:p>
    <w:p w14:paraId="07F49D6F" w14:textId="494E6BE2" w:rsidR="002373E3" w:rsidRPr="0055575A" w:rsidRDefault="002373E3" w:rsidP="00064BE6">
      <w:pPr>
        <w:rPr>
          <w:lang w:val="en-US"/>
          <w:rPrChange w:id="0" w:author="Michał Brzeziński" w:date="2023-05-10T18:51:00Z">
            <w:rPr/>
          </w:rPrChange>
        </w:rPr>
      </w:pPr>
    </w:p>
    <w:p w14:paraId="4D8BA5E3" w14:textId="77777777" w:rsidR="00BD0803" w:rsidRPr="0055575A" w:rsidRDefault="00BD0803" w:rsidP="00064BE6">
      <w:pPr>
        <w:rPr>
          <w:lang w:val="en-US"/>
          <w:rPrChange w:id="1" w:author="Michał Brzeziński" w:date="2023-05-10T18:51:00Z">
            <w:rPr/>
          </w:rPrChange>
        </w:rPr>
      </w:pPr>
    </w:p>
    <w:p w14:paraId="7336B464" w14:textId="77777777" w:rsidR="00377B3E" w:rsidRPr="00377B3E" w:rsidRDefault="00BD0803" w:rsidP="00377B3E">
      <w:pPr>
        <w:pStyle w:val="Bibliography"/>
        <w:rPr>
          <w:rFonts w:ascii="Calibri" w:cs="Calibri"/>
          <w:lang w:val="en-US"/>
        </w:rPr>
      </w:pPr>
      <w:r>
        <w:fldChar w:fldCharType="begin"/>
      </w:r>
      <w:r w:rsidRPr="0055575A">
        <w:rPr>
          <w:lang w:val="en-US"/>
        </w:rPr>
        <w:instrText xml:space="preserve"> ADDIN ZOTERO_BIBL {"uncited":[],"omitted":[],"custom":[]} CSL_BIBLIOGRAPHY </w:instrText>
      </w:r>
      <w:r>
        <w:fldChar w:fldCharType="separate"/>
      </w:r>
      <w:r w:rsidR="00377B3E" w:rsidRPr="00377B3E">
        <w:rPr>
          <w:rFonts w:ascii="Calibri" w:cs="Calibri"/>
          <w:lang w:val="en-US"/>
        </w:rPr>
        <w:t xml:space="preserve">1. </w:t>
      </w:r>
      <w:r w:rsidR="00377B3E" w:rsidRPr="00377B3E">
        <w:rPr>
          <w:rFonts w:ascii="Calibri" w:cs="Calibri"/>
          <w:lang w:val="en-US"/>
        </w:rPr>
        <w:tab/>
        <w:t>Acevedo-</w:t>
      </w:r>
      <w:proofErr w:type="spellStart"/>
      <w:r w:rsidR="00377B3E" w:rsidRPr="00377B3E">
        <w:rPr>
          <w:rFonts w:ascii="Calibri" w:cs="Calibri"/>
          <w:lang w:val="en-US"/>
        </w:rPr>
        <w:t>Fontánez</w:t>
      </w:r>
      <w:proofErr w:type="spellEnd"/>
      <w:r w:rsidR="00377B3E" w:rsidRPr="00377B3E">
        <w:rPr>
          <w:rFonts w:ascii="Calibri" w:cs="Calibri"/>
          <w:lang w:val="en-US"/>
        </w:rPr>
        <w:t xml:space="preserve">, A.I.; Suárez, E.; Torres </w:t>
      </w:r>
      <w:proofErr w:type="spellStart"/>
      <w:r w:rsidR="00377B3E" w:rsidRPr="00377B3E">
        <w:rPr>
          <w:rFonts w:ascii="Calibri" w:cs="Calibri"/>
          <w:lang w:val="en-US"/>
        </w:rPr>
        <w:t>Cintrón</w:t>
      </w:r>
      <w:proofErr w:type="spellEnd"/>
      <w:r w:rsidR="00377B3E" w:rsidRPr="00377B3E">
        <w:rPr>
          <w:rFonts w:ascii="Calibri" w:cs="Calibri"/>
          <w:lang w:val="en-US"/>
        </w:rPr>
        <w:t xml:space="preserve">, C.R.; Ortiz, A.P. Risk of Anal Cancer in Women With a Human Papillomavirus–Related Gynecological Neoplasm: Puerto Rico 1987–2013. </w:t>
      </w:r>
      <w:r w:rsidR="00377B3E" w:rsidRPr="00377B3E">
        <w:rPr>
          <w:rFonts w:ascii="Calibri" w:cs="Calibri"/>
          <w:i/>
          <w:iCs/>
          <w:lang w:val="en-US"/>
        </w:rPr>
        <w:t>J. Low. Genit. Tract Dis.</w:t>
      </w:r>
      <w:r w:rsidR="00377B3E" w:rsidRPr="00377B3E">
        <w:rPr>
          <w:rFonts w:ascii="Calibri" w:cs="Calibri"/>
          <w:lang w:val="en-US"/>
        </w:rPr>
        <w:t xml:space="preserve"> </w:t>
      </w:r>
      <w:r w:rsidR="00377B3E" w:rsidRPr="00377B3E">
        <w:rPr>
          <w:rFonts w:ascii="Calibri" w:cs="Calibri"/>
          <w:b/>
          <w:bCs/>
          <w:lang w:val="en-US"/>
        </w:rPr>
        <w:t>2018</w:t>
      </w:r>
      <w:r w:rsidR="00377B3E" w:rsidRPr="00377B3E">
        <w:rPr>
          <w:rFonts w:ascii="Calibri" w:cs="Calibri"/>
          <w:lang w:val="en-US"/>
        </w:rPr>
        <w:t xml:space="preserve">, </w:t>
      </w:r>
      <w:r w:rsidR="00377B3E" w:rsidRPr="00377B3E">
        <w:rPr>
          <w:rFonts w:ascii="Calibri" w:cs="Calibri"/>
          <w:i/>
          <w:iCs/>
          <w:lang w:val="en-US"/>
        </w:rPr>
        <w:t>22</w:t>
      </w:r>
      <w:r w:rsidR="00377B3E" w:rsidRPr="00377B3E">
        <w:rPr>
          <w:rFonts w:ascii="Calibri" w:cs="Calibri"/>
          <w:lang w:val="en-US"/>
        </w:rPr>
        <w:t>, 225–230, doi:10.1097/LGT.0000000000000395.</w:t>
      </w:r>
    </w:p>
    <w:p w14:paraId="14B34DCD" w14:textId="77777777" w:rsidR="00377B3E" w:rsidRPr="00377B3E" w:rsidRDefault="00377B3E" w:rsidP="00377B3E">
      <w:pPr>
        <w:pStyle w:val="Bibliography"/>
        <w:rPr>
          <w:rFonts w:ascii="Calibri" w:cs="Calibri"/>
          <w:lang w:val="en-US"/>
        </w:rPr>
      </w:pPr>
      <w:r w:rsidRPr="00377B3E">
        <w:rPr>
          <w:rFonts w:ascii="Calibri" w:cs="Calibri"/>
          <w:lang w:val="en-US"/>
        </w:rPr>
        <w:t xml:space="preserve">2. </w:t>
      </w:r>
      <w:r w:rsidRPr="00377B3E">
        <w:rPr>
          <w:rFonts w:ascii="Calibri" w:cs="Calibri"/>
          <w:lang w:val="en-US"/>
        </w:rPr>
        <w:tab/>
        <w:t xml:space="preserve">Chaturvedi, A.K.; Engels, E.A.; Gilbert, E.S.; Chen, B.E.; Storm, H.; Lynch, C.F.; Hall, P.; </w:t>
      </w:r>
      <w:proofErr w:type="spellStart"/>
      <w:r w:rsidRPr="00377B3E">
        <w:rPr>
          <w:rFonts w:ascii="Calibri" w:cs="Calibri"/>
          <w:lang w:val="en-US"/>
        </w:rPr>
        <w:t>Langmark</w:t>
      </w:r>
      <w:proofErr w:type="spellEnd"/>
      <w:r w:rsidRPr="00377B3E">
        <w:rPr>
          <w:rFonts w:ascii="Calibri" w:cs="Calibri"/>
          <w:lang w:val="en-US"/>
        </w:rPr>
        <w:t xml:space="preserve">, F.; </w:t>
      </w:r>
      <w:proofErr w:type="spellStart"/>
      <w:r w:rsidRPr="00377B3E">
        <w:rPr>
          <w:rFonts w:ascii="Calibri" w:cs="Calibri"/>
          <w:lang w:val="en-US"/>
        </w:rPr>
        <w:t>Pukkala</w:t>
      </w:r>
      <w:proofErr w:type="spellEnd"/>
      <w:r w:rsidRPr="00377B3E">
        <w:rPr>
          <w:rFonts w:ascii="Calibri" w:cs="Calibri"/>
          <w:lang w:val="en-US"/>
        </w:rPr>
        <w:t xml:space="preserve">, E.; </w:t>
      </w:r>
      <w:proofErr w:type="spellStart"/>
      <w:r w:rsidRPr="00377B3E">
        <w:rPr>
          <w:rFonts w:ascii="Calibri" w:cs="Calibri"/>
          <w:lang w:val="en-US"/>
        </w:rPr>
        <w:t>Kaijser</w:t>
      </w:r>
      <w:proofErr w:type="spellEnd"/>
      <w:r w:rsidRPr="00377B3E">
        <w:rPr>
          <w:rFonts w:ascii="Calibri" w:cs="Calibri"/>
          <w:lang w:val="en-US"/>
        </w:rPr>
        <w:t xml:space="preserve">, M.; et al. Second Cancers Among 104760 Survivors of Cervical Cancer: Evaluation of Long-Term Risk. </w:t>
      </w:r>
      <w:r w:rsidRPr="00377B3E">
        <w:rPr>
          <w:rFonts w:ascii="Calibri" w:cs="Calibri"/>
          <w:i/>
          <w:iCs/>
          <w:lang w:val="en-US"/>
        </w:rPr>
        <w:t>JNCI J. Natl. Cancer Inst.</w:t>
      </w:r>
      <w:r w:rsidRPr="00377B3E">
        <w:rPr>
          <w:rFonts w:ascii="Calibri" w:cs="Calibri"/>
          <w:lang w:val="en-US"/>
        </w:rPr>
        <w:t xml:space="preserve"> </w:t>
      </w:r>
      <w:r w:rsidRPr="00377B3E">
        <w:rPr>
          <w:rFonts w:ascii="Calibri" w:cs="Calibri"/>
          <w:b/>
          <w:bCs/>
          <w:lang w:val="en-US"/>
        </w:rPr>
        <w:t>2007</w:t>
      </w:r>
      <w:r w:rsidRPr="00377B3E">
        <w:rPr>
          <w:rFonts w:ascii="Calibri" w:cs="Calibri"/>
          <w:lang w:val="en-US"/>
        </w:rPr>
        <w:t xml:space="preserve">, </w:t>
      </w:r>
      <w:r w:rsidRPr="00377B3E">
        <w:rPr>
          <w:rFonts w:ascii="Calibri" w:cs="Calibri"/>
          <w:i/>
          <w:iCs/>
          <w:lang w:val="en-US"/>
        </w:rPr>
        <w:t>99</w:t>
      </w:r>
      <w:r w:rsidRPr="00377B3E">
        <w:rPr>
          <w:rFonts w:ascii="Calibri" w:cs="Calibri"/>
          <w:lang w:val="en-US"/>
        </w:rPr>
        <w:t>, 1634–1643, doi:10.1093/</w:t>
      </w:r>
      <w:proofErr w:type="spellStart"/>
      <w:r w:rsidRPr="00377B3E">
        <w:rPr>
          <w:rFonts w:ascii="Calibri" w:cs="Calibri"/>
          <w:lang w:val="en-US"/>
        </w:rPr>
        <w:t>jnci</w:t>
      </w:r>
      <w:proofErr w:type="spellEnd"/>
      <w:r w:rsidRPr="00377B3E">
        <w:rPr>
          <w:rFonts w:ascii="Calibri" w:cs="Calibri"/>
          <w:lang w:val="en-US"/>
        </w:rPr>
        <w:t>/djm201.</w:t>
      </w:r>
    </w:p>
    <w:p w14:paraId="3DBC737C" w14:textId="77777777" w:rsidR="00377B3E" w:rsidRPr="00377B3E" w:rsidRDefault="00377B3E" w:rsidP="00377B3E">
      <w:pPr>
        <w:pStyle w:val="Bibliography"/>
        <w:rPr>
          <w:rFonts w:ascii="Calibri" w:cs="Calibri"/>
          <w:lang w:val="en-US"/>
        </w:rPr>
      </w:pPr>
      <w:r w:rsidRPr="00377B3E">
        <w:rPr>
          <w:rFonts w:ascii="Calibri" w:cs="Calibri"/>
          <w:lang w:val="en-US"/>
        </w:rPr>
        <w:lastRenderedPageBreak/>
        <w:t xml:space="preserve">3. </w:t>
      </w:r>
      <w:r w:rsidRPr="00377B3E">
        <w:rPr>
          <w:rFonts w:ascii="Calibri" w:cs="Calibri"/>
          <w:lang w:val="en-US"/>
        </w:rPr>
        <w:tab/>
      </w:r>
      <w:proofErr w:type="spellStart"/>
      <w:r w:rsidRPr="00377B3E">
        <w:rPr>
          <w:rFonts w:ascii="Calibri" w:cs="Calibri"/>
          <w:lang w:val="en-US"/>
        </w:rPr>
        <w:t>Ebisch</w:t>
      </w:r>
      <w:proofErr w:type="spellEnd"/>
      <w:r w:rsidRPr="00377B3E">
        <w:rPr>
          <w:rFonts w:ascii="Calibri" w:cs="Calibri"/>
          <w:lang w:val="en-US"/>
        </w:rPr>
        <w:t xml:space="preserve">, R.M.F.; Rutten, D.W.E.; </w:t>
      </w:r>
      <w:proofErr w:type="spellStart"/>
      <w:r w:rsidRPr="00377B3E">
        <w:rPr>
          <w:rFonts w:ascii="Calibri" w:cs="Calibri"/>
          <w:lang w:val="en-US"/>
        </w:rPr>
        <w:t>IntHout</w:t>
      </w:r>
      <w:proofErr w:type="spellEnd"/>
      <w:r w:rsidRPr="00377B3E">
        <w:rPr>
          <w:rFonts w:ascii="Calibri" w:cs="Calibri"/>
          <w:lang w:val="en-US"/>
        </w:rPr>
        <w:t xml:space="preserve">, J.; Melchers, W.J.G.; </w:t>
      </w:r>
      <w:proofErr w:type="spellStart"/>
      <w:r w:rsidRPr="00377B3E">
        <w:rPr>
          <w:rFonts w:ascii="Calibri" w:cs="Calibri"/>
          <w:lang w:val="en-US"/>
        </w:rPr>
        <w:t>Massuger</w:t>
      </w:r>
      <w:proofErr w:type="spellEnd"/>
      <w:r w:rsidRPr="00377B3E">
        <w:rPr>
          <w:rFonts w:ascii="Calibri" w:cs="Calibri"/>
          <w:lang w:val="en-US"/>
        </w:rPr>
        <w:t xml:space="preserve">, L.F.A.G.; </w:t>
      </w:r>
      <w:proofErr w:type="spellStart"/>
      <w:r w:rsidRPr="00377B3E">
        <w:rPr>
          <w:rFonts w:ascii="Calibri" w:cs="Calibri"/>
          <w:lang w:val="en-US"/>
        </w:rPr>
        <w:t>Bulten</w:t>
      </w:r>
      <w:proofErr w:type="spellEnd"/>
      <w:r w:rsidRPr="00377B3E">
        <w:rPr>
          <w:rFonts w:ascii="Calibri" w:cs="Calibri"/>
          <w:lang w:val="en-US"/>
        </w:rPr>
        <w:t xml:space="preserve">, J.; </w:t>
      </w:r>
      <w:proofErr w:type="spellStart"/>
      <w:r w:rsidRPr="00377B3E">
        <w:rPr>
          <w:rFonts w:ascii="Calibri" w:cs="Calibri"/>
          <w:lang w:val="en-US"/>
        </w:rPr>
        <w:t>Bekkers</w:t>
      </w:r>
      <w:proofErr w:type="spellEnd"/>
      <w:r w:rsidRPr="00377B3E">
        <w:rPr>
          <w:rFonts w:ascii="Calibri" w:cs="Calibri"/>
          <w:lang w:val="en-US"/>
        </w:rPr>
        <w:t xml:space="preserve">, R.L.M.; </w:t>
      </w:r>
      <w:proofErr w:type="spellStart"/>
      <w:r w:rsidRPr="00377B3E">
        <w:rPr>
          <w:rFonts w:ascii="Calibri" w:cs="Calibri"/>
          <w:lang w:val="en-US"/>
        </w:rPr>
        <w:t>Siebers</w:t>
      </w:r>
      <w:proofErr w:type="spellEnd"/>
      <w:r w:rsidRPr="00377B3E">
        <w:rPr>
          <w:rFonts w:ascii="Calibri" w:cs="Calibri"/>
          <w:lang w:val="en-US"/>
        </w:rPr>
        <w:t xml:space="preserve">, A.G. Long-Lasting Increased Risk of Human Papillomavirus–Related Carcinomas and Premalignancies After Cervical Intraepithelial Neoplasia Grade 3: A Population-Based Cohort Study. </w:t>
      </w:r>
      <w:r w:rsidRPr="00377B3E">
        <w:rPr>
          <w:rFonts w:ascii="Calibri" w:cs="Calibri"/>
          <w:i/>
          <w:iCs/>
          <w:lang w:val="en-US"/>
        </w:rPr>
        <w:t>J. Clin. Oncol.</w:t>
      </w:r>
      <w:r w:rsidRPr="00377B3E">
        <w:rPr>
          <w:rFonts w:ascii="Calibri" w:cs="Calibri"/>
          <w:lang w:val="en-US"/>
        </w:rPr>
        <w:t xml:space="preserve"> </w:t>
      </w:r>
      <w:r w:rsidRPr="00377B3E">
        <w:rPr>
          <w:rFonts w:ascii="Calibri" w:cs="Calibri"/>
          <w:b/>
          <w:bCs/>
          <w:lang w:val="en-US"/>
        </w:rPr>
        <w:t>2017</w:t>
      </w:r>
      <w:r w:rsidRPr="00377B3E">
        <w:rPr>
          <w:rFonts w:ascii="Calibri" w:cs="Calibri"/>
          <w:lang w:val="en-US"/>
        </w:rPr>
        <w:t xml:space="preserve">, </w:t>
      </w:r>
      <w:r w:rsidRPr="00377B3E">
        <w:rPr>
          <w:rFonts w:ascii="Calibri" w:cs="Calibri"/>
          <w:i/>
          <w:iCs/>
          <w:lang w:val="en-US"/>
        </w:rPr>
        <w:t>35</w:t>
      </w:r>
      <w:r w:rsidRPr="00377B3E">
        <w:rPr>
          <w:rFonts w:ascii="Calibri" w:cs="Calibri"/>
          <w:lang w:val="en-US"/>
        </w:rPr>
        <w:t>, 2542–2550, doi:10.1200/JCO.2016.71.4543.</w:t>
      </w:r>
    </w:p>
    <w:p w14:paraId="01A736DD" w14:textId="77777777" w:rsidR="00377B3E" w:rsidRPr="00377B3E" w:rsidRDefault="00377B3E" w:rsidP="00377B3E">
      <w:pPr>
        <w:pStyle w:val="Bibliography"/>
        <w:rPr>
          <w:rFonts w:ascii="Calibri" w:cs="Calibri"/>
          <w:lang w:val="en-US"/>
        </w:rPr>
      </w:pPr>
      <w:r w:rsidRPr="00377B3E">
        <w:rPr>
          <w:rFonts w:ascii="Calibri" w:cs="Calibri"/>
          <w:lang w:val="en-US"/>
        </w:rPr>
        <w:t xml:space="preserve">4. </w:t>
      </w:r>
      <w:r w:rsidRPr="00377B3E">
        <w:rPr>
          <w:rFonts w:ascii="Calibri" w:cs="Calibri"/>
          <w:lang w:val="en-US"/>
        </w:rPr>
        <w:tab/>
        <w:t xml:space="preserve">Edgren, G.; </w:t>
      </w:r>
      <w:proofErr w:type="spellStart"/>
      <w:r w:rsidRPr="00377B3E">
        <w:rPr>
          <w:rFonts w:ascii="Calibri" w:cs="Calibri"/>
          <w:lang w:val="en-US"/>
        </w:rPr>
        <w:t>Sparén</w:t>
      </w:r>
      <w:proofErr w:type="spellEnd"/>
      <w:r w:rsidRPr="00377B3E">
        <w:rPr>
          <w:rFonts w:ascii="Calibri" w:cs="Calibri"/>
          <w:lang w:val="en-US"/>
        </w:rPr>
        <w:t xml:space="preserve">, P. Risk of Anogenital Cancer after Diagnosis of Cervical Intraepithelial Neoplasia: A Prospective Population-Based Study. </w:t>
      </w:r>
      <w:r w:rsidRPr="00377B3E">
        <w:rPr>
          <w:rFonts w:ascii="Calibri" w:cs="Calibri"/>
          <w:i/>
          <w:iCs/>
          <w:lang w:val="en-US"/>
        </w:rPr>
        <w:t>Lancet Oncol.</w:t>
      </w:r>
      <w:r w:rsidRPr="00377B3E">
        <w:rPr>
          <w:rFonts w:ascii="Calibri" w:cs="Calibri"/>
          <w:lang w:val="en-US"/>
        </w:rPr>
        <w:t xml:space="preserve"> </w:t>
      </w:r>
      <w:r w:rsidRPr="00377B3E">
        <w:rPr>
          <w:rFonts w:ascii="Calibri" w:cs="Calibri"/>
          <w:b/>
          <w:bCs/>
          <w:lang w:val="en-US"/>
        </w:rPr>
        <w:t>2007</w:t>
      </w:r>
      <w:r w:rsidRPr="00377B3E">
        <w:rPr>
          <w:rFonts w:ascii="Calibri" w:cs="Calibri"/>
          <w:lang w:val="en-US"/>
        </w:rPr>
        <w:t xml:space="preserve">, </w:t>
      </w:r>
      <w:r w:rsidRPr="00377B3E">
        <w:rPr>
          <w:rFonts w:ascii="Calibri" w:cs="Calibri"/>
          <w:i/>
          <w:iCs/>
          <w:lang w:val="en-US"/>
        </w:rPr>
        <w:t>8</w:t>
      </w:r>
      <w:r w:rsidRPr="00377B3E">
        <w:rPr>
          <w:rFonts w:ascii="Calibri" w:cs="Calibri"/>
          <w:lang w:val="en-US"/>
        </w:rPr>
        <w:t>, 311–316, doi:10.1016/S1470-2045(07)70043-8.</w:t>
      </w:r>
    </w:p>
    <w:p w14:paraId="06F07576" w14:textId="77777777" w:rsidR="00377B3E" w:rsidRPr="006F6C8C" w:rsidRDefault="00377B3E" w:rsidP="00377B3E">
      <w:pPr>
        <w:pStyle w:val="Bibliography"/>
        <w:rPr>
          <w:rFonts w:ascii="Calibri" w:cs="Calibri"/>
          <w:lang w:val="en-US"/>
        </w:rPr>
      </w:pPr>
      <w:r w:rsidRPr="00377B3E">
        <w:rPr>
          <w:rFonts w:ascii="Calibri" w:cs="Calibri"/>
          <w:lang w:val="en-US"/>
        </w:rPr>
        <w:t xml:space="preserve">5. </w:t>
      </w:r>
      <w:r w:rsidRPr="00377B3E">
        <w:rPr>
          <w:rFonts w:ascii="Calibri" w:cs="Calibri"/>
          <w:lang w:val="en-US"/>
        </w:rPr>
        <w:tab/>
      </w:r>
      <w:proofErr w:type="spellStart"/>
      <w:r w:rsidRPr="00377B3E">
        <w:rPr>
          <w:rFonts w:ascii="Calibri" w:cs="Calibri"/>
          <w:lang w:val="en-US"/>
        </w:rPr>
        <w:t>ElNaggar</w:t>
      </w:r>
      <w:proofErr w:type="spellEnd"/>
      <w:r w:rsidRPr="00377B3E">
        <w:rPr>
          <w:rFonts w:ascii="Calibri" w:cs="Calibri"/>
          <w:lang w:val="en-US"/>
        </w:rPr>
        <w:t xml:space="preserve">, A.C.; Santoso, J.T. Risk Factors for Anal Intraepithelial Neoplasia in Women With Genital Dysplasia. </w:t>
      </w:r>
      <w:r w:rsidRPr="006F6C8C">
        <w:rPr>
          <w:rFonts w:ascii="Calibri" w:cs="Calibri"/>
          <w:i/>
          <w:iCs/>
          <w:lang w:val="en-US"/>
        </w:rPr>
        <w:t>Obstet. Gynecol.</w:t>
      </w:r>
      <w:r w:rsidRPr="006F6C8C">
        <w:rPr>
          <w:rFonts w:ascii="Calibri" w:cs="Calibri"/>
          <w:lang w:val="en-US"/>
        </w:rPr>
        <w:t xml:space="preserve"> </w:t>
      </w:r>
      <w:r w:rsidRPr="006F6C8C">
        <w:rPr>
          <w:rFonts w:ascii="Calibri" w:cs="Calibri"/>
          <w:b/>
          <w:bCs/>
          <w:lang w:val="en-US"/>
        </w:rPr>
        <w:t>2013</w:t>
      </w:r>
      <w:r w:rsidRPr="006F6C8C">
        <w:rPr>
          <w:rFonts w:ascii="Calibri" w:cs="Calibri"/>
          <w:lang w:val="en-US"/>
        </w:rPr>
        <w:t xml:space="preserve">, </w:t>
      </w:r>
      <w:r w:rsidRPr="006F6C8C">
        <w:rPr>
          <w:rFonts w:ascii="Calibri" w:cs="Calibri"/>
          <w:i/>
          <w:iCs/>
          <w:lang w:val="en-US"/>
        </w:rPr>
        <w:t>122</w:t>
      </w:r>
      <w:r w:rsidRPr="006F6C8C">
        <w:rPr>
          <w:rFonts w:ascii="Calibri" w:cs="Calibri"/>
          <w:lang w:val="en-US"/>
        </w:rPr>
        <w:t>, 218–223, doi:10.1097/AOG.0b013e31829a2ace.</w:t>
      </w:r>
    </w:p>
    <w:p w14:paraId="51D6D3AF" w14:textId="77777777" w:rsidR="00377B3E" w:rsidRPr="006F6C8C" w:rsidRDefault="00377B3E" w:rsidP="00377B3E">
      <w:pPr>
        <w:pStyle w:val="Bibliography"/>
        <w:rPr>
          <w:rFonts w:ascii="Calibri" w:cs="Calibri"/>
          <w:lang w:val="en-US"/>
        </w:rPr>
      </w:pPr>
      <w:r w:rsidRPr="006F6C8C">
        <w:rPr>
          <w:rFonts w:ascii="Calibri" w:cs="Calibri"/>
          <w:lang w:val="en-US"/>
        </w:rPr>
        <w:t xml:space="preserve">6. </w:t>
      </w:r>
      <w:r w:rsidRPr="006F6C8C">
        <w:rPr>
          <w:rFonts w:ascii="Calibri" w:cs="Calibri"/>
          <w:lang w:val="en-US"/>
        </w:rPr>
        <w:tab/>
        <w:t xml:space="preserve">Evans, H.S.; Newnham, A.; Hodgson, S.V.; </w:t>
      </w:r>
      <w:proofErr w:type="spellStart"/>
      <w:r w:rsidRPr="006F6C8C">
        <w:rPr>
          <w:rFonts w:ascii="Calibri" w:cs="Calibri"/>
          <w:lang w:val="en-US"/>
        </w:rPr>
        <w:t>Møller</w:t>
      </w:r>
      <w:proofErr w:type="spellEnd"/>
      <w:r w:rsidRPr="006F6C8C">
        <w:rPr>
          <w:rFonts w:ascii="Calibri" w:cs="Calibri"/>
          <w:lang w:val="en-US"/>
        </w:rPr>
        <w:t xml:space="preserve">, H. Second Primary Cancers after Cervical Intraepithelial Neoplasia III and Invasive Cervical Cancer in Southeast England. </w:t>
      </w:r>
      <w:r w:rsidRPr="006F6C8C">
        <w:rPr>
          <w:rFonts w:ascii="Calibri" w:cs="Calibri"/>
          <w:i/>
          <w:iCs/>
          <w:lang w:val="en-US"/>
        </w:rPr>
        <w:t>Gynecol. Oncol.</w:t>
      </w:r>
      <w:r w:rsidRPr="006F6C8C">
        <w:rPr>
          <w:rFonts w:ascii="Calibri" w:cs="Calibri"/>
          <w:lang w:val="en-US"/>
        </w:rPr>
        <w:t xml:space="preserve"> </w:t>
      </w:r>
      <w:r w:rsidRPr="006F6C8C">
        <w:rPr>
          <w:rFonts w:ascii="Calibri" w:cs="Calibri"/>
          <w:b/>
          <w:bCs/>
          <w:lang w:val="en-US"/>
        </w:rPr>
        <w:t>2003</w:t>
      </w:r>
      <w:r w:rsidRPr="006F6C8C">
        <w:rPr>
          <w:rFonts w:ascii="Calibri" w:cs="Calibri"/>
          <w:lang w:val="en-US"/>
        </w:rPr>
        <w:t xml:space="preserve">, </w:t>
      </w:r>
      <w:r w:rsidRPr="006F6C8C">
        <w:rPr>
          <w:rFonts w:ascii="Calibri" w:cs="Calibri"/>
          <w:i/>
          <w:iCs/>
          <w:lang w:val="en-US"/>
        </w:rPr>
        <w:t>90</w:t>
      </w:r>
      <w:r w:rsidRPr="006F6C8C">
        <w:rPr>
          <w:rFonts w:ascii="Calibri" w:cs="Calibri"/>
          <w:lang w:val="en-US"/>
        </w:rPr>
        <w:t>, 131–136, doi:10.1016/S0090-8258(03)00231-2.</w:t>
      </w:r>
    </w:p>
    <w:p w14:paraId="3983BF2C" w14:textId="77777777" w:rsidR="00377B3E" w:rsidRPr="006F6C8C" w:rsidRDefault="00377B3E" w:rsidP="00377B3E">
      <w:pPr>
        <w:pStyle w:val="Bibliography"/>
        <w:rPr>
          <w:rFonts w:ascii="Calibri" w:cs="Calibri"/>
          <w:lang w:val="en-US"/>
        </w:rPr>
      </w:pPr>
      <w:r w:rsidRPr="006F6C8C">
        <w:rPr>
          <w:rFonts w:ascii="Calibri" w:cs="Calibri"/>
          <w:lang w:val="en-US"/>
        </w:rPr>
        <w:t xml:space="preserve">7. </w:t>
      </w:r>
      <w:r w:rsidRPr="006F6C8C">
        <w:rPr>
          <w:rFonts w:ascii="Calibri" w:cs="Calibri"/>
          <w:lang w:val="en-US"/>
        </w:rPr>
        <w:tab/>
        <w:t xml:space="preserve">Gaudet, M.; Hamm, J.; Aquino-Parsons, C. Incidence of </w:t>
      </w:r>
      <w:proofErr w:type="spellStart"/>
      <w:r w:rsidRPr="006F6C8C">
        <w:rPr>
          <w:rFonts w:ascii="Calibri" w:cs="Calibri"/>
          <w:lang w:val="en-US"/>
        </w:rPr>
        <w:t>Ano</w:t>
      </w:r>
      <w:proofErr w:type="spellEnd"/>
      <w:r w:rsidRPr="006F6C8C">
        <w:rPr>
          <w:rFonts w:ascii="Calibri" w:cs="Calibri"/>
          <w:lang w:val="en-US"/>
        </w:rPr>
        <w:t xml:space="preserve">-Genital and Head and Neck Malignancies in Women with a Previous Diagnosis of Cervical Intraepithelial Neoplasia. </w:t>
      </w:r>
      <w:r w:rsidRPr="006F6C8C">
        <w:rPr>
          <w:rFonts w:ascii="Calibri" w:cs="Calibri"/>
          <w:i/>
          <w:iCs/>
          <w:lang w:val="en-US"/>
        </w:rPr>
        <w:t>Gynecol. Oncol.</w:t>
      </w:r>
      <w:r w:rsidRPr="006F6C8C">
        <w:rPr>
          <w:rFonts w:ascii="Calibri" w:cs="Calibri"/>
          <w:lang w:val="en-US"/>
        </w:rPr>
        <w:t xml:space="preserve"> </w:t>
      </w:r>
      <w:r w:rsidRPr="006F6C8C">
        <w:rPr>
          <w:rFonts w:ascii="Calibri" w:cs="Calibri"/>
          <w:b/>
          <w:bCs/>
          <w:lang w:val="en-US"/>
        </w:rPr>
        <w:t>2014</w:t>
      </w:r>
      <w:r w:rsidRPr="006F6C8C">
        <w:rPr>
          <w:rFonts w:ascii="Calibri" w:cs="Calibri"/>
          <w:lang w:val="en-US"/>
        </w:rPr>
        <w:t xml:space="preserve">, </w:t>
      </w:r>
      <w:r w:rsidRPr="006F6C8C">
        <w:rPr>
          <w:rFonts w:ascii="Calibri" w:cs="Calibri"/>
          <w:i/>
          <w:iCs/>
          <w:lang w:val="en-US"/>
        </w:rPr>
        <w:t>134</w:t>
      </w:r>
      <w:r w:rsidRPr="006F6C8C">
        <w:rPr>
          <w:rFonts w:ascii="Calibri" w:cs="Calibri"/>
          <w:lang w:val="en-US"/>
        </w:rPr>
        <w:t>, 523–526, doi:10.1016/j.ygyno.2014.07.088.</w:t>
      </w:r>
    </w:p>
    <w:p w14:paraId="0E49CE02" w14:textId="77777777" w:rsidR="00377B3E" w:rsidRPr="006F6C8C" w:rsidRDefault="00377B3E" w:rsidP="00377B3E">
      <w:pPr>
        <w:pStyle w:val="Bibliography"/>
        <w:rPr>
          <w:rFonts w:ascii="Calibri" w:cs="Calibri"/>
          <w:lang w:val="en-US"/>
        </w:rPr>
      </w:pPr>
      <w:r w:rsidRPr="006F6C8C">
        <w:rPr>
          <w:rFonts w:ascii="Calibri" w:cs="Calibri"/>
          <w:lang w:val="en-US"/>
        </w:rPr>
        <w:t xml:space="preserve">8. </w:t>
      </w:r>
      <w:r w:rsidRPr="006F6C8C">
        <w:rPr>
          <w:rFonts w:ascii="Calibri" w:cs="Calibri"/>
          <w:lang w:val="en-US"/>
        </w:rPr>
        <w:tab/>
      </w:r>
      <w:proofErr w:type="spellStart"/>
      <w:r w:rsidRPr="006F6C8C">
        <w:rPr>
          <w:rFonts w:ascii="Calibri" w:cs="Calibri"/>
          <w:lang w:val="en-US"/>
        </w:rPr>
        <w:t>Hemminki</w:t>
      </w:r>
      <w:proofErr w:type="spellEnd"/>
      <w:r w:rsidRPr="006F6C8C">
        <w:rPr>
          <w:rFonts w:ascii="Calibri" w:cs="Calibri"/>
          <w:lang w:val="en-US"/>
        </w:rPr>
        <w:t xml:space="preserve">, K.; Jiang, Y.; Dong, C. Second Primary Cancers after Anogenital, Skin, Oral, Esophageal and Rectal Cancers: Etiological Links? </w:t>
      </w:r>
      <w:r w:rsidRPr="006F6C8C">
        <w:rPr>
          <w:rFonts w:ascii="Calibri" w:cs="Calibri"/>
          <w:i/>
          <w:iCs/>
          <w:lang w:val="en-US"/>
        </w:rPr>
        <w:t>Int. J. Cancer</w:t>
      </w:r>
      <w:r w:rsidRPr="006F6C8C">
        <w:rPr>
          <w:rFonts w:ascii="Calibri" w:cs="Calibri"/>
          <w:lang w:val="en-US"/>
        </w:rPr>
        <w:t xml:space="preserve"> </w:t>
      </w:r>
      <w:r w:rsidRPr="006F6C8C">
        <w:rPr>
          <w:rFonts w:ascii="Calibri" w:cs="Calibri"/>
          <w:b/>
          <w:bCs/>
          <w:lang w:val="en-US"/>
        </w:rPr>
        <w:t>2001</w:t>
      </w:r>
      <w:r w:rsidRPr="006F6C8C">
        <w:rPr>
          <w:rFonts w:ascii="Calibri" w:cs="Calibri"/>
          <w:lang w:val="en-US"/>
        </w:rPr>
        <w:t xml:space="preserve">, </w:t>
      </w:r>
      <w:r w:rsidRPr="006F6C8C">
        <w:rPr>
          <w:rFonts w:ascii="Calibri" w:cs="Calibri"/>
          <w:i/>
          <w:iCs/>
          <w:lang w:val="en-US"/>
        </w:rPr>
        <w:t>93</w:t>
      </w:r>
      <w:r w:rsidRPr="006F6C8C">
        <w:rPr>
          <w:rFonts w:ascii="Calibri" w:cs="Calibri"/>
          <w:lang w:val="en-US"/>
        </w:rPr>
        <w:t>, 294–298, doi:10.1002/ijc.1319.</w:t>
      </w:r>
    </w:p>
    <w:p w14:paraId="4070E018" w14:textId="77777777" w:rsidR="00377B3E" w:rsidRPr="006F6C8C" w:rsidRDefault="00377B3E" w:rsidP="00377B3E">
      <w:pPr>
        <w:pStyle w:val="Bibliography"/>
        <w:rPr>
          <w:rFonts w:ascii="Calibri" w:cs="Calibri"/>
          <w:lang w:val="en-US"/>
        </w:rPr>
      </w:pPr>
      <w:r w:rsidRPr="006F6C8C">
        <w:rPr>
          <w:rFonts w:ascii="Calibri" w:cs="Calibri"/>
          <w:lang w:val="en-US"/>
        </w:rPr>
        <w:t xml:space="preserve">9. </w:t>
      </w:r>
      <w:r w:rsidRPr="006F6C8C">
        <w:rPr>
          <w:rFonts w:ascii="Calibri" w:cs="Calibri"/>
          <w:lang w:val="en-US"/>
        </w:rPr>
        <w:tab/>
      </w:r>
      <w:proofErr w:type="spellStart"/>
      <w:r w:rsidRPr="006F6C8C">
        <w:rPr>
          <w:rFonts w:ascii="Calibri" w:cs="Calibri"/>
          <w:lang w:val="en-US"/>
        </w:rPr>
        <w:t>Hemminki</w:t>
      </w:r>
      <w:proofErr w:type="spellEnd"/>
      <w:r w:rsidRPr="006F6C8C">
        <w:rPr>
          <w:rFonts w:ascii="Calibri" w:cs="Calibri"/>
          <w:lang w:val="en-US"/>
        </w:rPr>
        <w:t xml:space="preserve">, K.; Dong, C.; </w:t>
      </w:r>
      <w:proofErr w:type="spellStart"/>
      <w:r w:rsidRPr="006F6C8C">
        <w:rPr>
          <w:rFonts w:ascii="Calibri" w:cs="Calibri"/>
          <w:lang w:val="en-US"/>
        </w:rPr>
        <w:t>Vaittinen</w:t>
      </w:r>
      <w:proofErr w:type="spellEnd"/>
      <w:r w:rsidRPr="006F6C8C">
        <w:rPr>
          <w:rFonts w:ascii="Calibri" w:cs="Calibri"/>
          <w:lang w:val="en-US"/>
        </w:rPr>
        <w:t xml:space="preserve">, P. Second Primary Cancer after in Situ and Invasive Cervical Cancer. </w:t>
      </w:r>
      <w:r w:rsidRPr="006F6C8C">
        <w:rPr>
          <w:rFonts w:ascii="Calibri" w:cs="Calibri"/>
          <w:i/>
          <w:iCs/>
          <w:lang w:val="en-US"/>
        </w:rPr>
        <w:t xml:space="preserve">Epidemiol. </w:t>
      </w:r>
      <w:proofErr w:type="spellStart"/>
      <w:r w:rsidRPr="006F6C8C">
        <w:rPr>
          <w:rFonts w:ascii="Calibri" w:cs="Calibri"/>
          <w:i/>
          <w:iCs/>
          <w:lang w:val="en-US"/>
        </w:rPr>
        <w:t>Camb</w:t>
      </w:r>
      <w:proofErr w:type="spellEnd"/>
      <w:r w:rsidRPr="006F6C8C">
        <w:rPr>
          <w:rFonts w:ascii="Calibri" w:cs="Calibri"/>
          <w:i/>
          <w:iCs/>
          <w:lang w:val="en-US"/>
        </w:rPr>
        <w:t>. Mass</w:t>
      </w:r>
      <w:r w:rsidRPr="006F6C8C">
        <w:rPr>
          <w:rFonts w:ascii="Calibri" w:cs="Calibri"/>
          <w:lang w:val="en-US"/>
        </w:rPr>
        <w:t xml:space="preserve"> </w:t>
      </w:r>
      <w:r w:rsidRPr="006F6C8C">
        <w:rPr>
          <w:rFonts w:ascii="Calibri" w:cs="Calibri"/>
          <w:b/>
          <w:bCs/>
          <w:lang w:val="en-US"/>
        </w:rPr>
        <w:t>2000</w:t>
      </w:r>
      <w:r w:rsidRPr="006F6C8C">
        <w:rPr>
          <w:rFonts w:ascii="Calibri" w:cs="Calibri"/>
          <w:lang w:val="en-US"/>
        </w:rPr>
        <w:t xml:space="preserve">, </w:t>
      </w:r>
      <w:r w:rsidRPr="006F6C8C">
        <w:rPr>
          <w:rFonts w:ascii="Calibri" w:cs="Calibri"/>
          <w:i/>
          <w:iCs/>
          <w:lang w:val="en-US"/>
        </w:rPr>
        <w:t>11</w:t>
      </w:r>
      <w:r w:rsidRPr="006F6C8C">
        <w:rPr>
          <w:rFonts w:ascii="Calibri" w:cs="Calibri"/>
          <w:lang w:val="en-US"/>
        </w:rPr>
        <w:t>, 457–461, doi:10.1097/00001648-200007000-00016.</w:t>
      </w:r>
    </w:p>
    <w:p w14:paraId="4551C97E" w14:textId="77777777" w:rsidR="00377B3E" w:rsidRPr="006F6C8C" w:rsidRDefault="00377B3E" w:rsidP="00377B3E">
      <w:pPr>
        <w:pStyle w:val="Bibliography"/>
        <w:rPr>
          <w:rFonts w:ascii="Calibri" w:cs="Calibri"/>
          <w:lang w:val="en-US"/>
        </w:rPr>
      </w:pPr>
      <w:r w:rsidRPr="006F6C8C">
        <w:rPr>
          <w:rFonts w:ascii="Calibri" w:cs="Calibri"/>
          <w:lang w:val="en-US"/>
        </w:rPr>
        <w:t xml:space="preserve">10. </w:t>
      </w:r>
      <w:r w:rsidRPr="006F6C8C">
        <w:rPr>
          <w:rFonts w:ascii="Calibri" w:cs="Calibri"/>
          <w:lang w:val="en-US"/>
        </w:rPr>
        <w:tab/>
      </w:r>
      <w:proofErr w:type="spellStart"/>
      <w:r w:rsidRPr="006F6C8C">
        <w:rPr>
          <w:rFonts w:ascii="Calibri" w:cs="Calibri"/>
          <w:lang w:val="en-US"/>
        </w:rPr>
        <w:t>Heráclio</w:t>
      </w:r>
      <w:proofErr w:type="spellEnd"/>
      <w:r w:rsidRPr="006F6C8C">
        <w:rPr>
          <w:rFonts w:ascii="Calibri" w:cs="Calibri"/>
          <w:lang w:val="en-US"/>
        </w:rPr>
        <w:t xml:space="preserve">, S.A.; De Souza, A.S.R.; De Souza, P.R.E.; Katz, L.; Lima Junior, S.F.; Amorim, M.M.R. Cross-Sectional Study of Anal Intraepithelial Lesions in Women with Cervical Neoplasia without HIV. </w:t>
      </w:r>
      <w:r w:rsidRPr="006F6C8C">
        <w:rPr>
          <w:rFonts w:ascii="Calibri" w:cs="Calibri"/>
          <w:i/>
          <w:iCs/>
          <w:lang w:val="en-US"/>
        </w:rPr>
        <w:t>Int. J. Gynecol. Obstet.</w:t>
      </w:r>
      <w:r w:rsidRPr="006F6C8C">
        <w:rPr>
          <w:rFonts w:ascii="Calibri" w:cs="Calibri"/>
          <w:lang w:val="en-US"/>
        </w:rPr>
        <w:t xml:space="preserve"> </w:t>
      </w:r>
      <w:r w:rsidRPr="006F6C8C">
        <w:rPr>
          <w:rFonts w:ascii="Calibri" w:cs="Calibri"/>
          <w:b/>
          <w:bCs/>
          <w:lang w:val="en-US"/>
        </w:rPr>
        <w:t>2018</w:t>
      </w:r>
      <w:r w:rsidRPr="006F6C8C">
        <w:rPr>
          <w:rFonts w:ascii="Calibri" w:cs="Calibri"/>
          <w:lang w:val="en-US"/>
        </w:rPr>
        <w:t xml:space="preserve">, </w:t>
      </w:r>
      <w:r w:rsidRPr="006F6C8C">
        <w:rPr>
          <w:rFonts w:ascii="Calibri" w:cs="Calibri"/>
          <w:i/>
          <w:iCs/>
          <w:lang w:val="en-US"/>
        </w:rPr>
        <w:t>140</w:t>
      </w:r>
      <w:r w:rsidRPr="006F6C8C">
        <w:rPr>
          <w:rFonts w:ascii="Calibri" w:cs="Calibri"/>
          <w:lang w:val="en-US"/>
        </w:rPr>
        <w:t>, 233–240, doi:10.1002/ijgo.12367.</w:t>
      </w:r>
    </w:p>
    <w:p w14:paraId="6DABB944" w14:textId="77777777" w:rsidR="00377B3E" w:rsidRPr="006F6C8C" w:rsidRDefault="00377B3E" w:rsidP="00377B3E">
      <w:pPr>
        <w:pStyle w:val="Bibliography"/>
        <w:rPr>
          <w:rFonts w:ascii="Calibri" w:cs="Calibri"/>
          <w:lang w:val="en-US"/>
        </w:rPr>
      </w:pPr>
      <w:r w:rsidRPr="006F6C8C">
        <w:rPr>
          <w:rFonts w:ascii="Calibri" w:cs="Calibri"/>
          <w:lang w:val="en-US"/>
        </w:rPr>
        <w:t xml:space="preserve">11. </w:t>
      </w:r>
      <w:r w:rsidRPr="006F6C8C">
        <w:rPr>
          <w:rFonts w:ascii="Calibri" w:cs="Calibri"/>
          <w:lang w:val="en-US"/>
        </w:rPr>
        <w:tab/>
        <w:t xml:space="preserve">Jakobsson, M.; </w:t>
      </w:r>
      <w:proofErr w:type="spellStart"/>
      <w:r w:rsidRPr="006F6C8C">
        <w:rPr>
          <w:rFonts w:ascii="Calibri" w:cs="Calibri"/>
          <w:lang w:val="en-US"/>
        </w:rPr>
        <w:t>Pukkala</w:t>
      </w:r>
      <w:proofErr w:type="spellEnd"/>
      <w:r w:rsidRPr="006F6C8C">
        <w:rPr>
          <w:rFonts w:ascii="Calibri" w:cs="Calibri"/>
          <w:lang w:val="en-US"/>
        </w:rPr>
        <w:t xml:space="preserve">, E.; </w:t>
      </w:r>
      <w:proofErr w:type="spellStart"/>
      <w:r w:rsidRPr="006F6C8C">
        <w:rPr>
          <w:rFonts w:ascii="Calibri" w:cs="Calibri"/>
          <w:lang w:val="en-US"/>
        </w:rPr>
        <w:t>Paavonen</w:t>
      </w:r>
      <w:proofErr w:type="spellEnd"/>
      <w:r w:rsidRPr="006F6C8C">
        <w:rPr>
          <w:rFonts w:ascii="Calibri" w:cs="Calibri"/>
          <w:lang w:val="en-US"/>
        </w:rPr>
        <w:t xml:space="preserve">, J.; Tapper, A.; </w:t>
      </w:r>
      <w:proofErr w:type="spellStart"/>
      <w:r w:rsidRPr="006F6C8C">
        <w:rPr>
          <w:rFonts w:ascii="Calibri" w:cs="Calibri"/>
          <w:lang w:val="en-US"/>
        </w:rPr>
        <w:t>Gissler</w:t>
      </w:r>
      <w:proofErr w:type="spellEnd"/>
      <w:r w:rsidRPr="006F6C8C">
        <w:rPr>
          <w:rFonts w:ascii="Calibri" w:cs="Calibri"/>
          <w:lang w:val="en-US"/>
        </w:rPr>
        <w:t xml:space="preserve">, M. Cancer Incidence among Finnish Women with Surgical Treatment for Cervical Intraepithelial Neoplasia, 1987–2006. </w:t>
      </w:r>
      <w:r w:rsidRPr="006F6C8C">
        <w:rPr>
          <w:rFonts w:ascii="Calibri" w:cs="Calibri"/>
          <w:i/>
          <w:iCs/>
          <w:lang w:val="en-US"/>
        </w:rPr>
        <w:t>Int. J. Cancer</w:t>
      </w:r>
      <w:r w:rsidRPr="006F6C8C">
        <w:rPr>
          <w:rFonts w:ascii="Calibri" w:cs="Calibri"/>
          <w:lang w:val="en-US"/>
        </w:rPr>
        <w:t xml:space="preserve"> </w:t>
      </w:r>
      <w:r w:rsidRPr="006F6C8C">
        <w:rPr>
          <w:rFonts w:ascii="Calibri" w:cs="Calibri"/>
          <w:b/>
          <w:bCs/>
          <w:lang w:val="en-US"/>
        </w:rPr>
        <w:t>2011</w:t>
      </w:r>
      <w:r w:rsidRPr="006F6C8C">
        <w:rPr>
          <w:rFonts w:ascii="Calibri" w:cs="Calibri"/>
          <w:lang w:val="en-US"/>
        </w:rPr>
        <w:t xml:space="preserve">, </w:t>
      </w:r>
      <w:r w:rsidRPr="006F6C8C">
        <w:rPr>
          <w:rFonts w:ascii="Calibri" w:cs="Calibri"/>
          <w:i/>
          <w:iCs/>
          <w:lang w:val="en-US"/>
        </w:rPr>
        <w:t>128</w:t>
      </w:r>
      <w:r w:rsidRPr="006F6C8C">
        <w:rPr>
          <w:rFonts w:ascii="Calibri" w:cs="Calibri"/>
          <w:lang w:val="en-US"/>
        </w:rPr>
        <w:t>, 1187–1191, doi:10.1002/ijc.25428.</w:t>
      </w:r>
    </w:p>
    <w:p w14:paraId="6FEF6561" w14:textId="77777777" w:rsidR="00377B3E" w:rsidRPr="006F6C8C" w:rsidRDefault="00377B3E" w:rsidP="00377B3E">
      <w:pPr>
        <w:pStyle w:val="Bibliography"/>
        <w:rPr>
          <w:rFonts w:ascii="Calibri" w:cs="Calibri"/>
          <w:lang w:val="en-US"/>
        </w:rPr>
      </w:pPr>
      <w:r w:rsidRPr="006F6C8C">
        <w:rPr>
          <w:rFonts w:ascii="Calibri" w:cs="Calibri"/>
          <w:lang w:val="en-US"/>
        </w:rPr>
        <w:t xml:space="preserve">12. </w:t>
      </w:r>
      <w:r w:rsidRPr="006F6C8C">
        <w:rPr>
          <w:rFonts w:ascii="Calibri" w:cs="Calibri"/>
          <w:lang w:val="en-US"/>
        </w:rPr>
        <w:tab/>
        <w:t xml:space="preserve">Jiménez, W.; </w:t>
      </w:r>
      <w:proofErr w:type="spellStart"/>
      <w:r w:rsidRPr="006F6C8C">
        <w:rPr>
          <w:rFonts w:ascii="Calibri" w:cs="Calibri"/>
          <w:lang w:val="en-US"/>
        </w:rPr>
        <w:t>Paszat</w:t>
      </w:r>
      <w:proofErr w:type="spellEnd"/>
      <w:r w:rsidRPr="006F6C8C">
        <w:rPr>
          <w:rFonts w:ascii="Calibri" w:cs="Calibri"/>
          <w:lang w:val="en-US"/>
        </w:rPr>
        <w:t xml:space="preserve">, L.; </w:t>
      </w:r>
      <w:proofErr w:type="spellStart"/>
      <w:r w:rsidRPr="006F6C8C">
        <w:rPr>
          <w:rFonts w:ascii="Calibri" w:cs="Calibri"/>
          <w:lang w:val="en-US"/>
        </w:rPr>
        <w:t>Kupets</w:t>
      </w:r>
      <w:proofErr w:type="spellEnd"/>
      <w:r w:rsidRPr="006F6C8C">
        <w:rPr>
          <w:rFonts w:ascii="Calibri" w:cs="Calibri"/>
          <w:lang w:val="en-US"/>
        </w:rPr>
        <w:t xml:space="preserve">, R.; Wilton, A.; </w:t>
      </w:r>
      <w:proofErr w:type="spellStart"/>
      <w:r w:rsidRPr="006F6C8C">
        <w:rPr>
          <w:rFonts w:ascii="Calibri" w:cs="Calibri"/>
          <w:lang w:val="en-US"/>
        </w:rPr>
        <w:t>Tinmouth</w:t>
      </w:r>
      <w:proofErr w:type="spellEnd"/>
      <w:r w:rsidRPr="006F6C8C">
        <w:rPr>
          <w:rFonts w:ascii="Calibri" w:cs="Calibri"/>
          <w:lang w:val="en-US"/>
        </w:rPr>
        <w:t xml:space="preserve">, J. Presumed Previous Human Papillomavirus (HPV) Related Gynecological Cancer in Women Diagnosed with Anal Cancer in the Province of Ontario. </w:t>
      </w:r>
      <w:r w:rsidRPr="006F6C8C">
        <w:rPr>
          <w:rFonts w:ascii="Calibri" w:cs="Calibri"/>
          <w:i/>
          <w:iCs/>
          <w:lang w:val="en-US"/>
        </w:rPr>
        <w:t>Gynecol. Oncol.</w:t>
      </w:r>
      <w:r w:rsidRPr="006F6C8C">
        <w:rPr>
          <w:rFonts w:ascii="Calibri" w:cs="Calibri"/>
          <w:lang w:val="en-US"/>
        </w:rPr>
        <w:t xml:space="preserve"> </w:t>
      </w:r>
      <w:r w:rsidRPr="006F6C8C">
        <w:rPr>
          <w:rFonts w:ascii="Calibri" w:cs="Calibri"/>
          <w:b/>
          <w:bCs/>
          <w:lang w:val="en-US"/>
        </w:rPr>
        <w:t>2009</w:t>
      </w:r>
      <w:r w:rsidRPr="006F6C8C">
        <w:rPr>
          <w:rFonts w:ascii="Calibri" w:cs="Calibri"/>
          <w:lang w:val="en-US"/>
        </w:rPr>
        <w:t xml:space="preserve">, </w:t>
      </w:r>
      <w:r w:rsidRPr="006F6C8C">
        <w:rPr>
          <w:rFonts w:ascii="Calibri" w:cs="Calibri"/>
          <w:i/>
          <w:iCs/>
          <w:lang w:val="en-US"/>
        </w:rPr>
        <w:t>114</w:t>
      </w:r>
      <w:r w:rsidRPr="006F6C8C">
        <w:rPr>
          <w:rFonts w:ascii="Calibri" w:cs="Calibri"/>
          <w:lang w:val="en-US"/>
        </w:rPr>
        <w:t>, 395–398, doi:10.1016/j.ygyno.2009.05.006.</w:t>
      </w:r>
    </w:p>
    <w:p w14:paraId="4E1127DC" w14:textId="77777777" w:rsidR="00377B3E" w:rsidRPr="006F6C8C" w:rsidRDefault="00377B3E" w:rsidP="00377B3E">
      <w:pPr>
        <w:pStyle w:val="Bibliography"/>
        <w:rPr>
          <w:rFonts w:ascii="Calibri" w:cs="Calibri"/>
          <w:lang w:val="en-US"/>
        </w:rPr>
      </w:pPr>
      <w:r w:rsidRPr="006F6C8C">
        <w:rPr>
          <w:rFonts w:ascii="Calibri" w:cs="Calibri"/>
          <w:lang w:val="en-US"/>
        </w:rPr>
        <w:t xml:space="preserve">13. </w:t>
      </w:r>
      <w:r w:rsidRPr="006F6C8C">
        <w:rPr>
          <w:rFonts w:ascii="Calibri" w:cs="Calibri"/>
          <w:lang w:val="en-US"/>
        </w:rPr>
        <w:tab/>
      </w:r>
      <w:proofErr w:type="spellStart"/>
      <w:r w:rsidRPr="006F6C8C">
        <w:rPr>
          <w:rFonts w:ascii="Calibri" w:cs="Calibri"/>
          <w:lang w:val="en-US"/>
        </w:rPr>
        <w:t>Kalliala</w:t>
      </w:r>
      <w:proofErr w:type="spellEnd"/>
      <w:r w:rsidRPr="006F6C8C">
        <w:rPr>
          <w:rFonts w:ascii="Calibri" w:cs="Calibri"/>
          <w:lang w:val="en-US"/>
        </w:rPr>
        <w:t xml:space="preserve">, I.; </w:t>
      </w:r>
      <w:proofErr w:type="spellStart"/>
      <w:r w:rsidRPr="006F6C8C">
        <w:rPr>
          <w:rFonts w:ascii="Calibri" w:cs="Calibri"/>
          <w:lang w:val="en-US"/>
        </w:rPr>
        <w:t>Anttila</w:t>
      </w:r>
      <w:proofErr w:type="spellEnd"/>
      <w:r w:rsidRPr="006F6C8C">
        <w:rPr>
          <w:rFonts w:ascii="Calibri" w:cs="Calibri"/>
          <w:lang w:val="en-US"/>
        </w:rPr>
        <w:t xml:space="preserve">, A.; </w:t>
      </w:r>
      <w:proofErr w:type="spellStart"/>
      <w:r w:rsidRPr="006F6C8C">
        <w:rPr>
          <w:rFonts w:ascii="Calibri" w:cs="Calibri"/>
          <w:lang w:val="en-US"/>
        </w:rPr>
        <w:t>Pukkala</w:t>
      </w:r>
      <w:proofErr w:type="spellEnd"/>
      <w:r w:rsidRPr="006F6C8C">
        <w:rPr>
          <w:rFonts w:ascii="Calibri" w:cs="Calibri"/>
          <w:lang w:val="en-US"/>
        </w:rPr>
        <w:t xml:space="preserve">, E.; Nieminen, P. Risk of Cervical and Other Cancers after Treatment of Cervical Intraepithelial Neoplasia: Retrospective Cohort Study. </w:t>
      </w:r>
      <w:r w:rsidRPr="006F6C8C">
        <w:rPr>
          <w:rFonts w:ascii="Calibri" w:cs="Calibri"/>
          <w:i/>
          <w:iCs/>
          <w:lang w:val="en-US"/>
        </w:rPr>
        <w:t>BMJ</w:t>
      </w:r>
      <w:r w:rsidRPr="006F6C8C">
        <w:rPr>
          <w:rFonts w:ascii="Calibri" w:cs="Calibri"/>
          <w:lang w:val="en-US"/>
        </w:rPr>
        <w:t xml:space="preserve"> </w:t>
      </w:r>
      <w:r w:rsidRPr="006F6C8C">
        <w:rPr>
          <w:rFonts w:ascii="Calibri" w:cs="Calibri"/>
          <w:b/>
          <w:bCs/>
          <w:lang w:val="en-US"/>
        </w:rPr>
        <w:t>2005</w:t>
      </w:r>
      <w:r w:rsidRPr="006F6C8C">
        <w:rPr>
          <w:rFonts w:ascii="Calibri" w:cs="Calibri"/>
          <w:lang w:val="en-US"/>
        </w:rPr>
        <w:t xml:space="preserve">, </w:t>
      </w:r>
      <w:r w:rsidRPr="006F6C8C">
        <w:rPr>
          <w:rFonts w:ascii="Calibri" w:cs="Calibri"/>
          <w:i/>
          <w:iCs/>
          <w:lang w:val="en-US"/>
        </w:rPr>
        <w:t>331</w:t>
      </w:r>
      <w:r w:rsidRPr="006F6C8C">
        <w:rPr>
          <w:rFonts w:ascii="Calibri" w:cs="Calibri"/>
          <w:lang w:val="en-US"/>
        </w:rPr>
        <w:t>, 1183–1185, doi:10.1136/bmj.38663.459039.7C.</w:t>
      </w:r>
    </w:p>
    <w:p w14:paraId="0332F2E0" w14:textId="77777777" w:rsidR="00377B3E" w:rsidRPr="006F6C8C" w:rsidRDefault="00377B3E" w:rsidP="00377B3E">
      <w:pPr>
        <w:pStyle w:val="Bibliography"/>
        <w:rPr>
          <w:rFonts w:ascii="Calibri" w:cs="Calibri"/>
          <w:lang w:val="en-US"/>
        </w:rPr>
      </w:pPr>
      <w:r w:rsidRPr="006F6C8C">
        <w:rPr>
          <w:rFonts w:ascii="Calibri" w:cs="Calibri"/>
          <w:lang w:val="en-US"/>
        </w:rPr>
        <w:t xml:space="preserve">14. </w:t>
      </w:r>
      <w:r w:rsidRPr="006F6C8C">
        <w:rPr>
          <w:rFonts w:ascii="Calibri" w:cs="Calibri"/>
          <w:lang w:val="en-US"/>
        </w:rPr>
        <w:tab/>
        <w:t xml:space="preserve">Matsuo, K.; Blake, E.A.; Machida, H.; Mandelbaum, R.S.; Roman, L.D.; Wright, J.D. Incidences and Risk Factors of Metachronous Vulvar, Vaginal, and Anal Cancers after Cervical Cancer Diagnosis. </w:t>
      </w:r>
      <w:r w:rsidRPr="006F6C8C">
        <w:rPr>
          <w:rFonts w:ascii="Calibri" w:cs="Calibri"/>
          <w:i/>
          <w:iCs/>
          <w:lang w:val="en-US"/>
        </w:rPr>
        <w:t>Gynecol. Oncol.</w:t>
      </w:r>
      <w:r w:rsidRPr="006F6C8C">
        <w:rPr>
          <w:rFonts w:ascii="Calibri" w:cs="Calibri"/>
          <w:lang w:val="en-US"/>
        </w:rPr>
        <w:t xml:space="preserve"> </w:t>
      </w:r>
      <w:r w:rsidRPr="006F6C8C">
        <w:rPr>
          <w:rFonts w:ascii="Calibri" w:cs="Calibri"/>
          <w:b/>
          <w:bCs/>
          <w:lang w:val="en-US"/>
        </w:rPr>
        <w:t>2018</w:t>
      </w:r>
      <w:r w:rsidRPr="006F6C8C">
        <w:rPr>
          <w:rFonts w:ascii="Calibri" w:cs="Calibri"/>
          <w:lang w:val="en-US"/>
        </w:rPr>
        <w:t xml:space="preserve">, </w:t>
      </w:r>
      <w:r w:rsidRPr="006F6C8C">
        <w:rPr>
          <w:rFonts w:ascii="Calibri" w:cs="Calibri"/>
          <w:i/>
          <w:iCs/>
          <w:lang w:val="en-US"/>
        </w:rPr>
        <w:t>150</w:t>
      </w:r>
      <w:r w:rsidRPr="006F6C8C">
        <w:rPr>
          <w:rFonts w:ascii="Calibri" w:cs="Calibri"/>
          <w:lang w:val="en-US"/>
        </w:rPr>
        <w:t>, 501–508, doi:10.1016/j.ygyno.2018.07.016.</w:t>
      </w:r>
    </w:p>
    <w:p w14:paraId="549C2795" w14:textId="77777777" w:rsidR="00377B3E" w:rsidRPr="006F6C8C" w:rsidRDefault="00377B3E" w:rsidP="00377B3E">
      <w:pPr>
        <w:pStyle w:val="Bibliography"/>
        <w:rPr>
          <w:rFonts w:ascii="Calibri" w:cs="Calibri"/>
          <w:lang w:val="en-US"/>
        </w:rPr>
      </w:pPr>
      <w:r w:rsidRPr="006F6C8C">
        <w:rPr>
          <w:rFonts w:ascii="Calibri" w:cs="Calibri"/>
          <w:lang w:val="en-US"/>
        </w:rPr>
        <w:t xml:space="preserve">15. </w:t>
      </w:r>
      <w:r w:rsidRPr="006F6C8C">
        <w:rPr>
          <w:rFonts w:ascii="Calibri" w:cs="Calibri"/>
          <w:lang w:val="en-US"/>
        </w:rPr>
        <w:tab/>
        <w:t xml:space="preserve">Neumann, F.; </w:t>
      </w:r>
      <w:proofErr w:type="spellStart"/>
      <w:r w:rsidRPr="006F6C8C">
        <w:rPr>
          <w:rFonts w:ascii="Calibri" w:cs="Calibri"/>
          <w:lang w:val="en-US"/>
        </w:rPr>
        <w:t>Jégu</w:t>
      </w:r>
      <w:proofErr w:type="spellEnd"/>
      <w:r w:rsidRPr="006F6C8C">
        <w:rPr>
          <w:rFonts w:ascii="Calibri" w:cs="Calibri"/>
          <w:lang w:val="en-US"/>
        </w:rPr>
        <w:t xml:space="preserve">, J.; </w:t>
      </w:r>
      <w:proofErr w:type="spellStart"/>
      <w:r w:rsidRPr="006F6C8C">
        <w:rPr>
          <w:rFonts w:ascii="Calibri" w:cs="Calibri"/>
          <w:lang w:val="en-US"/>
        </w:rPr>
        <w:t>Mougin</w:t>
      </w:r>
      <w:proofErr w:type="spellEnd"/>
      <w:r w:rsidRPr="006F6C8C">
        <w:rPr>
          <w:rFonts w:ascii="Calibri" w:cs="Calibri"/>
          <w:lang w:val="en-US"/>
        </w:rPr>
        <w:t xml:space="preserve">, C.; </w:t>
      </w:r>
      <w:proofErr w:type="spellStart"/>
      <w:r w:rsidRPr="006F6C8C">
        <w:rPr>
          <w:rFonts w:ascii="Calibri" w:cs="Calibri"/>
          <w:lang w:val="en-US"/>
        </w:rPr>
        <w:t>Prétet</w:t>
      </w:r>
      <w:proofErr w:type="spellEnd"/>
      <w:r w:rsidRPr="006F6C8C">
        <w:rPr>
          <w:rFonts w:ascii="Calibri" w:cs="Calibri"/>
          <w:lang w:val="en-US"/>
        </w:rPr>
        <w:t xml:space="preserve">, J.-L.; </w:t>
      </w:r>
      <w:proofErr w:type="spellStart"/>
      <w:r w:rsidRPr="006F6C8C">
        <w:rPr>
          <w:rFonts w:ascii="Calibri" w:cs="Calibri"/>
          <w:lang w:val="en-US"/>
        </w:rPr>
        <w:t>Guizard</w:t>
      </w:r>
      <w:proofErr w:type="spellEnd"/>
      <w:r w:rsidRPr="006F6C8C">
        <w:rPr>
          <w:rFonts w:ascii="Calibri" w:cs="Calibri"/>
          <w:lang w:val="en-US"/>
        </w:rPr>
        <w:t xml:space="preserve">, A.-V.; </w:t>
      </w:r>
      <w:proofErr w:type="spellStart"/>
      <w:r w:rsidRPr="006F6C8C">
        <w:rPr>
          <w:rFonts w:ascii="Calibri" w:cs="Calibri"/>
          <w:lang w:val="en-US"/>
        </w:rPr>
        <w:t>Lapôtre</w:t>
      </w:r>
      <w:proofErr w:type="spellEnd"/>
      <w:r w:rsidRPr="006F6C8C">
        <w:rPr>
          <w:rFonts w:ascii="Calibri" w:cs="Calibri"/>
          <w:lang w:val="en-US"/>
        </w:rPr>
        <w:t xml:space="preserve">-Ledoux, B.; Bara, S.; Bouvier, V.; Colonna, M.; </w:t>
      </w:r>
      <w:proofErr w:type="spellStart"/>
      <w:r w:rsidRPr="006F6C8C">
        <w:rPr>
          <w:rFonts w:ascii="Calibri" w:cs="Calibri"/>
          <w:lang w:val="en-US"/>
        </w:rPr>
        <w:t>Troussard</w:t>
      </w:r>
      <w:proofErr w:type="spellEnd"/>
      <w:r w:rsidRPr="006F6C8C">
        <w:rPr>
          <w:rFonts w:ascii="Calibri" w:cs="Calibri"/>
          <w:lang w:val="en-US"/>
        </w:rPr>
        <w:t xml:space="preserve">, X.; et al. Risk of Second Primary Cancer after a First Potentially-Human Papillomavirus-Related Cancer: A Population-Based Study. </w:t>
      </w:r>
      <w:r w:rsidRPr="006F6C8C">
        <w:rPr>
          <w:rFonts w:ascii="Calibri" w:cs="Calibri"/>
          <w:i/>
          <w:iCs/>
          <w:lang w:val="en-US"/>
        </w:rPr>
        <w:t>Prev. Med.</w:t>
      </w:r>
      <w:r w:rsidRPr="006F6C8C">
        <w:rPr>
          <w:rFonts w:ascii="Calibri" w:cs="Calibri"/>
          <w:lang w:val="en-US"/>
        </w:rPr>
        <w:t xml:space="preserve"> </w:t>
      </w:r>
      <w:r w:rsidRPr="006F6C8C">
        <w:rPr>
          <w:rFonts w:ascii="Calibri" w:cs="Calibri"/>
          <w:b/>
          <w:bCs/>
          <w:lang w:val="en-US"/>
        </w:rPr>
        <w:t>2016</w:t>
      </w:r>
      <w:r w:rsidRPr="006F6C8C">
        <w:rPr>
          <w:rFonts w:ascii="Calibri" w:cs="Calibri"/>
          <w:lang w:val="en-US"/>
        </w:rPr>
        <w:t xml:space="preserve">, </w:t>
      </w:r>
      <w:r w:rsidRPr="006F6C8C">
        <w:rPr>
          <w:rFonts w:ascii="Calibri" w:cs="Calibri"/>
          <w:i/>
          <w:iCs/>
          <w:lang w:val="en-US"/>
        </w:rPr>
        <w:t>90</w:t>
      </w:r>
      <w:r w:rsidRPr="006F6C8C">
        <w:rPr>
          <w:rFonts w:ascii="Calibri" w:cs="Calibri"/>
          <w:lang w:val="en-US"/>
        </w:rPr>
        <w:t>, 52–58, doi:10.1016/j.ypmed.2016.06.041.</w:t>
      </w:r>
    </w:p>
    <w:p w14:paraId="05A75F6B" w14:textId="77777777" w:rsidR="00377B3E" w:rsidRPr="006F6C8C" w:rsidRDefault="00377B3E" w:rsidP="00377B3E">
      <w:pPr>
        <w:pStyle w:val="Bibliography"/>
        <w:rPr>
          <w:rFonts w:ascii="Calibri" w:cs="Calibri"/>
          <w:lang w:val="en-US"/>
        </w:rPr>
      </w:pPr>
      <w:r w:rsidRPr="006F6C8C">
        <w:rPr>
          <w:rFonts w:ascii="Calibri" w:cs="Calibri"/>
          <w:lang w:val="en-US"/>
        </w:rPr>
        <w:lastRenderedPageBreak/>
        <w:t xml:space="preserve">16. </w:t>
      </w:r>
      <w:r w:rsidRPr="006F6C8C">
        <w:rPr>
          <w:rFonts w:ascii="Calibri" w:cs="Calibri"/>
          <w:lang w:val="en-US"/>
        </w:rPr>
        <w:tab/>
        <w:t xml:space="preserve">Pan, J.; Kavanagh, K.; </w:t>
      </w:r>
      <w:proofErr w:type="spellStart"/>
      <w:r w:rsidRPr="006F6C8C">
        <w:rPr>
          <w:rFonts w:ascii="Calibri" w:cs="Calibri"/>
          <w:lang w:val="en-US"/>
        </w:rPr>
        <w:t>Cuschieri</w:t>
      </w:r>
      <w:proofErr w:type="spellEnd"/>
      <w:r w:rsidRPr="006F6C8C">
        <w:rPr>
          <w:rFonts w:ascii="Calibri" w:cs="Calibri"/>
          <w:lang w:val="en-US"/>
        </w:rPr>
        <w:t xml:space="preserve">, K.; Pollock, K.G.; Gilbert, D.C.; Millan, D.; Bell, S.; Graham, S.V.; Williams, A.R.W.; Cruickshank, M.E.; et al. Increased Risk of HPV-Associated Genital Cancers in Men and Women as a Consequence of Pre-Invasive Disease. </w:t>
      </w:r>
      <w:r w:rsidRPr="006F6C8C">
        <w:rPr>
          <w:rFonts w:ascii="Calibri" w:cs="Calibri"/>
          <w:i/>
          <w:iCs/>
          <w:lang w:val="en-US"/>
        </w:rPr>
        <w:t>Int. J. Cancer</w:t>
      </w:r>
      <w:r w:rsidRPr="006F6C8C">
        <w:rPr>
          <w:rFonts w:ascii="Calibri" w:cs="Calibri"/>
          <w:lang w:val="en-US"/>
        </w:rPr>
        <w:t xml:space="preserve"> </w:t>
      </w:r>
      <w:r w:rsidRPr="006F6C8C">
        <w:rPr>
          <w:rFonts w:ascii="Calibri" w:cs="Calibri"/>
          <w:b/>
          <w:bCs/>
          <w:lang w:val="en-US"/>
        </w:rPr>
        <w:t>2019</w:t>
      </w:r>
      <w:r w:rsidRPr="006F6C8C">
        <w:rPr>
          <w:rFonts w:ascii="Calibri" w:cs="Calibri"/>
          <w:lang w:val="en-US"/>
        </w:rPr>
        <w:t xml:space="preserve">, </w:t>
      </w:r>
      <w:r w:rsidRPr="006F6C8C">
        <w:rPr>
          <w:rFonts w:ascii="Calibri" w:cs="Calibri"/>
          <w:i/>
          <w:iCs/>
          <w:lang w:val="en-US"/>
        </w:rPr>
        <w:t>145</w:t>
      </w:r>
      <w:r w:rsidRPr="006F6C8C">
        <w:rPr>
          <w:rFonts w:ascii="Calibri" w:cs="Calibri"/>
          <w:lang w:val="en-US"/>
        </w:rPr>
        <w:t>, 427–434, doi:10.1002/ijc.32126.</w:t>
      </w:r>
    </w:p>
    <w:p w14:paraId="01043FA7" w14:textId="77777777" w:rsidR="00377B3E" w:rsidRPr="006F6C8C" w:rsidRDefault="00377B3E" w:rsidP="00377B3E">
      <w:pPr>
        <w:pStyle w:val="Bibliography"/>
        <w:rPr>
          <w:rFonts w:ascii="Calibri" w:cs="Calibri"/>
          <w:lang w:val="en-US"/>
        </w:rPr>
      </w:pPr>
      <w:r w:rsidRPr="006F6C8C">
        <w:rPr>
          <w:rFonts w:ascii="Calibri" w:cs="Calibri"/>
          <w:lang w:val="en-US"/>
        </w:rPr>
        <w:t xml:space="preserve">17. </w:t>
      </w:r>
      <w:r w:rsidRPr="006F6C8C">
        <w:rPr>
          <w:rFonts w:ascii="Calibri" w:cs="Calibri"/>
          <w:lang w:val="en-US"/>
        </w:rPr>
        <w:tab/>
      </w:r>
      <w:proofErr w:type="spellStart"/>
      <w:r w:rsidRPr="006F6C8C">
        <w:rPr>
          <w:rFonts w:ascii="Calibri" w:cs="Calibri"/>
          <w:lang w:val="en-US"/>
        </w:rPr>
        <w:t>Papatla</w:t>
      </w:r>
      <w:proofErr w:type="spellEnd"/>
      <w:r w:rsidRPr="006F6C8C">
        <w:rPr>
          <w:rFonts w:ascii="Calibri" w:cs="Calibri"/>
          <w:lang w:val="en-US"/>
        </w:rPr>
        <w:t xml:space="preserve">, K.; Halpern, M.T.; Hernandez, E.; Brown, J.; </w:t>
      </w:r>
      <w:proofErr w:type="spellStart"/>
      <w:r w:rsidRPr="006F6C8C">
        <w:rPr>
          <w:rFonts w:ascii="Calibri" w:cs="Calibri"/>
          <w:lang w:val="en-US"/>
        </w:rPr>
        <w:t>Benrubi</w:t>
      </w:r>
      <w:proofErr w:type="spellEnd"/>
      <w:r w:rsidRPr="006F6C8C">
        <w:rPr>
          <w:rFonts w:ascii="Calibri" w:cs="Calibri"/>
          <w:lang w:val="en-US"/>
        </w:rPr>
        <w:t xml:space="preserve">, D.; Houck, K.; Chu, C.; Rubin, S. Second Primary Anal and Oropharyngeal Cancers in Cervical Cancer Survivors. </w:t>
      </w:r>
      <w:r w:rsidRPr="006F6C8C">
        <w:rPr>
          <w:rFonts w:ascii="Calibri" w:cs="Calibri"/>
          <w:i/>
          <w:iCs/>
          <w:lang w:val="en-US"/>
        </w:rPr>
        <w:t>Am. J. Obstet. Gynecol.</w:t>
      </w:r>
      <w:r w:rsidRPr="006F6C8C">
        <w:rPr>
          <w:rFonts w:ascii="Calibri" w:cs="Calibri"/>
          <w:lang w:val="en-US"/>
        </w:rPr>
        <w:t xml:space="preserve"> </w:t>
      </w:r>
      <w:r w:rsidRPr="006F6C8C">
        <w:rPr>
          <w:rFonts w:ascii="Calibri" w:cs="Calibri"/>
          <w:b/>
          <w:bCs/>
          <w:lang w:val="en-US"/>
        </w:rPr>
        <w:t>2019</w:t>
      </w:r>
      <w:r w:rsidRPr="006F6C8C">
        <w:rPr>
          <w:rFonts w:ascii="Calibri" w:cs="Calibri"/>
          <w:lang w:val="en-US"/>
        </w:rPr>
        <w:t xml:space="preserve">, </w:t>
      </w:r>
      <w:r w:rsidRPr="006F6C8C">
        <w:rPr>
          <w:rFonts w:ascii="Calibri" w:cs="Calibri"/>
          <w:i/>
          <w:iCs/>
          <w:lang w:val="en-US"/>
        </w:rPr>
        <w:t>221</w:t>
      </w:r>
      <w:r w:rsidRPr="006F6C8C">
        <w:rPr>
          <w:rFonts w:ascii="Calibri" w:cs="Calibri"/>
          <w:lang w:val="en-US"/>
        </w:rPr>
        <w:t>, 478.e1-478.e6, doi:10.1016/j.ajog.2019.05.025.</w:t>
      </w:r>
    </w:p>
    <w:p w14:paraId="1B0A8A7D" w14:textId="77777777" w:rsidR="00377B3E" w:rsidRPr="006F6C8C" w:rsidRDefault="00377B3E" w:rsidP="00377B3E">
      <w:pPr>
        <w:pStyle w:val="Bibliography"/>
        <w:rPr>
          <w:rFonts w:ascii="Calibri" w:cs="Calibri"/>
          <w:lang w:val="en-US"/>
        </w:rPr>
      </w:pPr>
      <w:r w:rsidRPr="006F6C8C">
        <w:rPr>
          <w:rFonts w:ascii="Calibri" w:cs="Calibri"/>
          <w:lang w:val="en-US"/>
        </w:rPr>
        <w:t xml:space="preserve">18. </w:t>
      </w:r>
      <w:r w:rsidRPr="006F6C8C">
        <w:rPr>
          <w:rFonts w:ascii="Calibri" w:cs="Calibri"/>
          <w:lang w:val="en-US"/>
        </w:rPr>
        <w:tab/>
      </w:r>
      <w:proofErr w:type="spellStart"/>
      <w:r w:rsidRPr="006F6C8C">
        <w:rPr>
          <w:rFonts w:ascii="Calibri" w:cs="Calibri"/>
          <w:lang w:val="en-US"/>
        </w:rPr>
        <w:t>Preti</w:t>
      </w:r>
      <w:proofErr w:type="spellEnd"/>
      <w:r w:rsidRPr="006F6C8C">
        <w:rPr>
          <w:rFonts w:ascii="Calibri" w:cs="Calibri"/>
          <w:lang w:val="en-US"/>
        </w:rPr>
        <w:t xml:space="preserve">, M.; Rosso, S.; </w:t>
      </w:r>
      <w:proofErr w:type="spellStart"/>
      <w:r w:rsidRPr="006F6C8C">
        <w:rPr>
          <w:rFonts w:ascii="Calibri" w:cs="Calibri"/>
          <w:lang w:val="en-US"/>
        </w:rPr>
        <w:t>Micheletti</w:t>
      </w:r>
      <w:proofErr w:type="spellEnd"/>
      <w:r w:rsidRPr="006F6C8C">
        <w:rPr>
          <w:rFonts w:ascii="Calibri" w:cs="Calibri"/>
          <w:lang w:val="en-US"/>
        </w:rPr>
        <w:t xml:space="preserve">, L.; Libero, C.; </w:t>
      </w:r>
      <w:proofErr w:type="spellStart"/>
      <w:r w:rsidRPr="006F6C8C">
        <w:rPr>
          <w:rFonts w:ascii="Calibri" w:cs="Calibri"/>
          <w:lang w:val="en-US"/>
        </w:rPr>
        <w:t>Sobrato</w:t>
      </w:r>
      <w:proofErr w:type="spellEnd"/>
      <w:r w:rsidRPr="006F6C8C">
        <w:rPr>
          <w:rFonts w:ascii="Calibri" w:cs="Calibri"/>
          <w:lang w:val="en-US"/>
        </w:rPr>
        <w:t xml:space="preserve">, I.; Giordano, L.; </w:t>
      </w:r>
      <w:proofErr w:type="spellStart"/>
      <w:r w:rsidRPr="006F6C8C">
        <w:rPr>
          <w:rFonts w:ascii="Calibri" w:cs="Calibri"/>
          <w:lang w:val="en-US"/>
        </w:rPr>
        <w:t>Busso</w:t>
      </w:r>
      <w:proofErr w:type="spellEnd"/>
      <w:r w:rsidRPr="006F6C8C">
        <w:rPr>
          <w:rFonts w:ascii="Calibri" w:cs="Calibri"/>
          <w:lang w:val="en-US"/>
        </w:rPr>
        <w:t xml:space="preserve">, P.; Gallio, N.; </w:t>
      </w:r>
      <w:proofErr w:type="spellStart"/>
      <w:r w:rsidRPr="006F6C8C">
        <w:rPr>
          <w:rFonts w:ascii="Calibri" w:cs="Calibri"/>
          <w:lang w:val="en-US"/>
        </w:rPr>
        <w:t>Cosma</w:t>
      </w:r>
      <w:proofErr w:type="spellEnd"/>
      <w:r w:rsidRPr="006F6C8C">
        <w:rPr>
          <w:rFonts w:ascii="Calibri" w:cs="Calibri"/>
          <w:lang w:val="en-US"/>
        </w:rPr>
        <w:t xml:space="preserve">, S.; Bevilacqua, F.; et al. Risk of HPV-Related Extra-Cervical Cancers in Women Treated for Cervical Intraepithelial Neoplasia. </w:t>
      </w:r>
      <w:r w:rsidRPr="006F6C8C">
        <w:rPr>
          <w:rFonts w:ascii="Calibri" w:cs="Calibri"/>
          <w:i/>
          <w:iCs/>
          <w:lang w:val="en-US"/>
        </w:rPr>
        <w:t>BMC Cancer</w:t>
      </w:r>
      <w:r w:rsidRPr="006F6C8C">
        <w:rPr>
          <w:rFonts w:ascii="Calibri" w:cs="Calibri"/>
          <w:lang w:val="en-US"/>
        </w:rPr>
        <w:t xml:space="preserve"> </w:t>
      </w:r>
      <w:r w:rsidRPr="006F6C8C">
        <w:rPr>
          <w:rFonts w:ascii="Calibri" w:cs="Calibri"/>
          <w:b/>
          <w:bCs/>
          <w:lang w:val="en-US"/>
        </w:rPr>
        <w:t>2020</w:t>
      </w:r>
      <w:r w:rsidRPr="006F6C8C">
        <w:rPr>
          <w:rFonts w:ascii="Calibri" w:cs="Calibri"/>
          <w:lang w:val="en-US"/>
        </w:rPr>
        <w:t xml:space="preserve">, </w:t>
      </w:r>
      <w:r w:rsidRPr="006F6C8C">
        <w:rPr>
          <w:rFonts w:ascii="Calibri" w:cs="Calibri"/>
          <w:i/>
          <w:iCs/>
          <w:lang w:val="en-US"/>
        </w:rPr>
        <w:t>20</w:t>
      </w:r>
      <w:r w:rsidRPr="006F6C8C">
        <w:rPr>
          <w:rFonts w:ascii="Calibri" w:cs="Calibri"/>
          <w:lang w:val="en-US"/>
        </w:rPr>
        <w:t>, 972, doi:10.1186/s12885-020-07452-6.</w:t>
      </w:r>
    </w:p>
    <w:p w14:paraId="7E6FA650" w14:textId="77777777" w:rsidR="00377B3E" w:rsidRPr="006F6C8C" w:rsidRDefault="00377B3E" w:rsidP="00377B3E">
      <w:pPr>
        <w:pStyle w:val="Bibliography"/>
        <w:rPr>
          <w:rFonts w:ascii="Calibri" w:cs="Calibri"/>
          <w:lang w:val="en-US"/>
        </w:rPr>
      </w:pPr>
      <w:r w:rsidRPr="006F6C8C">
        <w:rPr>
          <w:rFonts w:ascii="Calibri" w:cs="Calibri"/>
          <w:lang w:val="en-US"/>
        </w:rPr>
        <w:t xml:space="preserve">19. </w:t>
      </w:r>
      <w:r w:rsidRPr="006F6C8C">
        <w:rPr>
          <w:rFonts w:ascii="Calibri" w:cs="Calibri"/>
          <w:lang w:val="en-US"/>
        </w:rPr>
        <w:tab/>
      </w:r>
      <w:proofErr w:type="spellStart"/>
      <w:r w:rsidRPr="006F6C8C">
        <w:rPr>
          <w:rFonts w:ascii="Calibri" w:cs="Calibri"/>
          <w:lang w:val="en-US"/>
        </w:rPr>
        <w:t>Rabkin</w:t>
      </w:r>
      <w:proofErr w:type="spellEnd"/>
      <w:r w:rsidRPr="006F6C8C">
        <w:rPr>
          <w:rFonts w:ascii="Calibri" w:cs="Calibri"/>
          <w:lang w:val="en-US"/>
        </w:rPr>
        <w:t xml:space="preserve">, C.S.; </w:t>
      </w:r>
      <w:proofErr w:type="spellStart"/>
      <w:r w:rsidRPr="006F6C8C">
        <w:rPr>
          <w:rFonts w:ascii="Calibri" w:cs="Calibri"/>
          <w:lang w:val="en-US"/>
        </w:rPr>
        <w:t>Biggar</w:t>
      </w:r>
      <w:proofErr w:type="spellEnd"/>
      <w:r w:rsidRPr="006F6C8C">
        <w:rPr>
          <w:rFonts w:ascii="Calibri" w:cs="Calibri"/>
          <w:lang w:val="en-US"/>
        </w:rPr>
        <w:t xml:space="preserve">, R.J.; </w:t>
      </w:r>
      <w:proofErr w:type="spellStart"/>
      <w:r w:rsidRPr="006F6C8C">
        <w:rPr>
          <w:rFonts w:ascii="Calibri" w:cs="Calibri"/>
          <w:lang w:val="en-US"/>
        </w:rPr>
        <w:t>Melbye</w:t>
      </w:r>
      <w:proofErr w:type="spellEnd"/>
      <w:r w:rsidRPr="006F6C8C">
        <w:rPr>
          <w:rFonts w:ascii="Calibri" w:cs="Calibri"/>
          <w:lang w:val="en-US"/>
        </w:rPr>
        <w:t xml:space="preserve">, M.; Curtis, R.E. Second Primary Cancers Following Anal and Cervical Carcinoma: Evidence of Shared Etiologic Factors. </w:t>
      </w:r>
      <w:r w:rsidRPr="006F6C8C">
        <w:rPr>
          <w:rFonts w:ascii="Calibri" w:cs="Calibri"/>
          <w:i/>
          <w:iCs/>
          <w:lang w:val="en-US"/>
        </w:rPr>
        <w:t>Am. J. Epidemiol.</w:t>
      </w:r>
      <w:r w:rsidRPr="006F6C8C">
        <w:rPr>
          <w:rFonts w:ascii="Calibri" w:cs="Calibri"/>
          <w:lang w:val="en-US"/>
        </w:rPr>
        <w:t xml:space="preserve"> </w:t>
      </w:r>
      <w:r w:rsidRPr="006F6C8C">
        <w:rPr>
          <w:rFonts w:ascii="Calibri" w:cs="Calibri"/>
          <w:b/>
          <w:bCs/>
          <w:lang w:val="en-US"/>
        </w:rPr>
        <w:t>1992</w:t>
      </w:r>
      <w:r w:rsidRPr="006F6C8C">
        <w:rPr>
          <w:rFonts w:ascii="Calibri" w:cs="Calibri"/>
          <w:lang w:val="en-US"/>
        </w:rPr>
        <w:t xml:space="preserve">, </w:t>
      </w:r>
      <w:r w:rsidRPr="006F6C8C">
        <w:rPr>
          <w:rFonts w:ascii="Calibri" w:cs="Calibri"/>
          <w:i/>
          <w:iCs/>
          <w:lang w:val="en-US"/>
        </w:rPr>
        <w:t>136</w:t>
      </w:r>
      <w:r w:rsidRPr="006F6C8C">
        <w:rPr>
          <w:rFonts w:ascii="Calibri" w:cs="Calibri"/>
          <w:lang w:val="en-US"/>
        </w:rPr>
        <w:t>, 54–58, doi:10.1093/oxfordjournals.aje.a116420.</w:t>
      </w:r>
    </w:p>
    <w:p w14:paraId="1C4C4CA7" w14:textId="77777777" w:rsidR="00377B3E" w:rsidRPr="006F6C8C" w:rsidRDefault="00377B3E" w:rsidP="00377B3E">
      <w:pPr>
        <w:pStyle w:val="Bibliography"/>
        <w:rPr>
          <w:rFonts w:ascii="Calibri" w:cs="Calibri"/>
          <w:lang w:val="en-US"/>
        </w:rPr>
      </w:pPr>
      <w:r w:rsidRPr="006F6C8C">
        <w:rPr>
          <w:rFonts w:ascii="Calibri" w:cs="Calibri"/>
          <w:lang w:val="en-US"/>
        </w:rPr>
        <w:t xml:space="preserve">20. </w:t>
      </w:r>
      <w:r w:rsidRPr="006F6C8C">
        <w:rPr>
          <w:rFonts w:ascii="Calibri" w:cs="Calibri"/>
          <w:lang w:val="en-US"/>
        </w:rPr>
        <w:tab/>
        <w:t xml:space="preserve">Saleem, A.M.; Paulus, J.K.; </w:t>
      </w:r>
      <w:proofErr w:type="spellStart"/>
      <w:r w:rsidRPr="006F6C8C">
        <w:rPr>
          <w:rFonts w:ascii="Calibri" w:cs="Calibri"/>
          <w:lang w:val="en-US"/>
        </w:rPr>
        <w:t>Shapter</w:t>
      </w:r>
      <w:proofErr w:type="spellEnd"/>
      <w:r w:rsidRPr="006F6C8C">
        <w:rPr>
          <w:rFonts w:ascii="Calibri" w:cs="Calibri"/>
          <w:lang w:val="en-US"/>
        </w:rPr>
        <w:t xml:space="preserve">, A.P.; Baxter, N.N.; Roberts, P.L.; Ricciardi, R. Risk of Anal Cancer in a Cohort With Human Papillomavirus–Related Gynecologic Neoplasm. </w:t>
      </w:r>
      <w:r w:rsidRPr="006F6C8C">
        <w:rPr>
          <w:rFonts w:ascii="Calibri" w:cs="Calibri"/>
          <w:i/>
          <w:iCs/>
          <w:lang w:val="en-US"/>
        </w:rPr>
        <w:t>Obstet. Gynecol.</w:t>
      </w:r>
      <w:r w:rsidRPr="006F6C8C">
        <w:rPr>
          <w:rFonts w:ascii="Calibri" w:cs="Calibri"/>
          <w:lang w:val="en-US"/>
        </w:rPr>
        <w:t xml:space="preserve"> </w:t>
      </w:r>
      <w:r w:rsidRPr="006F6C8C">
        <w:rPr>
          <w:rFonts w:ascii="Calibri" w:cs="Calibri"/>
          <w:b/>
          <w:bCs/>
          <w:lang w:val="en-US"/>
        </w:rPr>
        <w:t>2011</w:t>
      </w:r>
      <w:r w:rsidRPr="006F6C8C">
        <w:rPr>
          <w:rFonts w:ascii="Calibri" w:cs="Calibri"/>
          <w:lang w:val="en-US"/>
        </w:rPr>
        <w:t xml:space="preserve">, </w:t>
      </w:r>
      <w:r w:rsidRPr="006F6C8C">
        <w:rPr>
          <w:rFonts w:ascii="Calibri" w:cs="Calibri"/>
          <w:i/>
          <w:iCs/>
          <w:lang w:val="en-US"/>
        </w:rPr>
        <w:t>117</w:t>
      </w:r>
      <w:r w:rsidRPr="006F6C8C">
        <w:rPr>
          <w:rFonts w:ascii="Calibri" w:cs="Calibri"/>
          <w:lang w:val="en-US"/>
        </w:rPr>
        <w:t>, 643–649, doi:10.1097/AOG.0b013e31820bfb16.</w:t>
      </w:r>
    </w:p>
    <w:p w14:paraId="36256F05" w14:textId="77777777" w:rsidR="00377B3E" w:rsidRPr="006F6C8C" w:rsidRDefault="00377B3E" w:rsidP="00377B3E">
      <w:pPr>
        <w:pStyle w:val="Bibliography"/>
        <w:rPr>
          <w:rFonts w:ascii="Calibri" w:cs="Calibri"/>
          <w:lang w:val="en-US"/>
        </w:rPr>
      </w:pPr>
      <w:r w:rsidRPr="006F6C8C">
        <w:rPr>
          <w:rFonts w:ascii="Calibri" w:cs="Calibri"/>
          <w:lang w:val="en-US"/>
        </w:rPr>
        <w:t xml:space="preserve">21. </w:t>
      </w:r>
      <w:r w:rsidRPr="006F6C8C">
        <w:rPr>
          <w:rFonts w:ascii="Calibri" w:cs="Calibri"/>
          <w:lang w:val="en-US"/>
        </w:rPr>
        <w:tab/>
        <w:t xml:space="preserve">Sand, F.L.; Munk, C.; Jensen, S.M.; </w:t>
      </w:r>
      <w:proofErr w:type="spellStart"/>
      <w:r w:rsidRPr="006F6C8C">
        <w:rPr>
          <w:rFonts w:ascii="Calibri" w:cs="Calibri"/>
          <w:lang w:val="en-US"/>
        </w:rPr>
        <w:t>Svahn</w:t>
      </w:r>
      <w:proofErr w:type="spellEnd"/>
      <w:r w:rsidRPr="006F6C8C">
        <w:rPr>
          <w:rFonts w:ascii="Calibri" w:cs="Calibri"/>
          <w:lang w:val="en-US"/>
        </w:rPr>
        <w:t xml:space="preserve">, M.F.; Frederiksen, K.; </w:t>
      </w:r>
      <w:proofErr w:type="spellStart"/>
      <w:r w:rsidRPr="006F6C8C">
        <w:rPr>
          <w:rFonts w:ascii="Calibri" w:cs="Calibri"/>
          <w:lang w:val="en-US"/>
        </w:rPr>
        <w:t>Kjær</w:t>
      </w:r>
      <w:proofErr w:type="spellEnd"/>
      <w:r w:rsidRPr="006F6C8C">
        <w:rPr>
          <w:rFonts w:ascii="Calibri" w:cs="Calibri"/>
          <w:lang w:val="en-US"/>
        </w:rPr>
        <w:t xml:space="preserve">, S.K. Long-Term Risk for Noncervical Anogenital Cancer in Women with Previously Diagnosed High-Grade Cervical Intraepithelial Neoplasia: A Danish Nationwide Cohort Study. </w:t>
      </w:r>
      <w:r w:rsidRPr="006F6C8C">
        <w:rPr>
          <w:rFonts w:ascii="Calibri" w:cs="Calibri"/>
          <w:i/>
          <w:iCs/>
          <w:lang w:val="en-US"/>
        </w:rPr>
        <w:t>Cancer Epidemiol. Biomarkers Prev.</w:t>
      </w:r>
      <w:r w:rsidRPr="006F6C8C">
        <w:rPr>
          <w:rFonts w:ascii="Calibri" w:cs="Calibri"/>
          <w:lang w:val="en-US"/>
        </w:rPr>
        <w:t xml:space="preserve"> </w:t>
      </w:r>
      <w:r w:rsidRPr="006F6C8C">
        <w:rPr>
          <w:rFonts w:ascii="Calibri" w:cs="Calibri"/>
          <w:b/>
          <w:bCs/>
          <w:lang w:val="en-US"/>
        </w:rPr>
        <w:t>2016</w:t>
      </w:r>
      <w:r w:rsidRPr="006F6C8C">
        <w:rPr>
          <w:rFonts w:ascii="Calibri" w:cs="Calibri"/>
          <w:lang w:val="en-US"/>
        </w:rPr>
        <w:t xml:space="preserve">, </w:t>
      </w:r>
      <w:r w:rsidRPr="006F6C8C">
        <w:rPr>
          <w:rFonts w:ascii="Calibri" w:cs="Calibri"/>
          <w:i/>
          <w:iCs/>
          <w:lang w:val="en-US"/>
        </w:rPr>
        <w:t>25</w:t>
      </w:r>
      <w:r w:rsidRPr="006F6C8C">
        <w:rPr>
          <w:rFonts w:ascii="Calibri" w:cs="Calibri"/>
          <w:lang w:val="en-US"/>
        </w:rPr>
        <w:t>, 1090–1097, doi:10.1158/1055-9965.EPI-15-1291.</w:t>
      </w:r>
    </w:p>
    <w:p w14:paraId="5520F02D" w14:textId="77777777" w:rsidR="00377B3E" w:rsidRPr="006F6C8C" w:rsidRDefault="00377B3E" w:rsidP="00377B3E">
      <w:pPr>
        <w:pStyle w:val="Bibliography"/>
        <w:rPr>
          <w:rFonts w:ascii="Calibri" w:cs="Calibri"/>
          <w:lang w:val="en-US"/>
        </w:rPr>
      </w:pPr>
      <w:r w:rsidRPr="006F6C8C">
        <w:rPr>
          <w:rFonts w:ascii="Calibri" w:cs="Calibri"/>
          <w:lang w:val="en-US"/>
        </w:rPr>
        <w:t xml:space="preserve">22. </w:t>
      </w:r>
      <w:r w:rsidRPr="006F6C8C">
        <w:rPr>
          <w:rFonts w:ascii="Calibri" w:cs="Calibri"/>
          <w:lang w:val="en-US"/>
        </w:rPr>
        <w:tab/>
        <w:t xml:space="preserve">Suk, R.; </w:t>
      </w:r>
      <w:proofErr w:type="spellStart"/>
      <w:r w:rsidRPr="006F6C8C">
        <w:rPr>
          <w:rFonts w:ascii="Calibri" w:cs="Calibri"/>
          <w:lang w:val="en-US"/>
        </w:rPr>
        <w:t>Mahale</w:t>
      </w:r>
      <w:proofErr w:type="spellEnd"/>
      <w:r w:rsidRPr="006F6C8C">
        <w:rPr>
          <w:rFonts w:ascii="Calibri" w:cs="Calibri"/>
          <w:lang w:val="en-US"/>
        </w:rPr>
        <w:t xml:space="preserve">, P.; </w:t>
      </w:r>
      <w:proofErr w:type="spellStart"/>
      <w:r w:rsidRPr="006F6C8C">
        <w:rPr>
          <w:rFonts w:ascii="Calibri" w:cs="Calibri"/>
          <w:lang w:val="en-US"/>
        </w:rPr>
        <w:t>Sonawane</w:t>
      </w:r>
      <w:proofErr w:type="spellEnd"/>
      <w:r w:rsidRPr="006F6C8C">
        <w:rPr>
          <w:rFonts w:ascii="Calibri" w:cs="Calibri"/>
          <w:lang w:val="en-US"/>
        </w:rPr>
        <w:t xml:space="preserve">, K.; Sikora, A.G.; </w:t>
      </w:r>
      <w:proofErr w:type="spellStart"/>
      <w:r w:rsidRPr="006F6C8C">
        <w:rPr>
          <w:rFonts w:ascii="Calibri" w:cs="Calibri"/>
          <w:lang w:val="en-US"/>
        </w:rPr>
        <w:t>Chhatwal</w:t>
      </w:r>
      <w:proofErr w:type="spellEnd"/>
      <w:r w:rsidRPr="006F6C8C">
        <w:rPr>
          <w:rFonts w:ascii="Calibri" w:cs="Calibri"/>
          <w:lang w:val="en-US"/>
        </w:rPr>
        <w:t xml:space="preserve">, J.; </w:t>
      </w:r>
      <w:proofErr w:type="spellStart"/>
      <w:r w:rsidRPr="006F6C8C">
        <w:rPr>
          <w:rFonts w:ascii="Calibri" w:cs="Calibri"/>
          <w:lang w:val="en-US"/>
        </w:rPr>
        <w:t>Schmeler</w:t>
      </w:r>
      <w:proofErr w:type="spellEnd"/>
      <w:r w:rsidRPr="006F6C8C">
        <w:rPr>
          <w:rFonts w:ascii="Calibri" w:cs="Calibri"/>
          <w:lang w:val="en-US"/>
        </w:rPr>
        <w:t xml:space="preserve">, K.M.; Sigel, K.; Cantor, S.B.; Chiao, E.Y.; Deshmukh, A.A. Trends in Risks for Second Primary Cancers Associated With Index Human Papillomavirus–Associated Cancers. </w:t>
      </w:r>
      <w:r w:rsidRPr="006F6C8C">
        <w:rPr>
          <w:rFonts w:ascii="Calibri" w:cs="Calibri"/>
          <w:i/>
          <w:iCs/>
          <w:lang w:val="en-US"/>
        </w:rPr>
        <w:t xml:space="preserve">JAMA </w:t>
      </w:r>
      <w:proofErr w:type="spellStart"/>
      <w:r w:rsidRPr="006F6C8C">
        <w:rPr>
          <w:rFonts w:ascii="Calibri" w:cs="Calibri"/>
          <w:i/>
          <w:iCs/>
          <w:lang w:val="en-US"/>
        </w:rPr>
        <w:t>Netw</w:t>
      </w:r>
      <w:proofErr w:type="spellEnd"/>
      <w:r w:rsidRPr="006F6C8C">
        <w:rPr>
          <w:rFonts w:ascii="Calibri" w:cs="Calibri"/>
          <w:i/>
          <w:iCs/>
          <w:lang w:val="en-US"/>
        </w:rPr>
        <w:t>. Open</w:t>
      </w:r>
      <w:r w:rsidRPr="006F6C8C">
        <w:rPr>
          <w:rFonts w:ascii="Calibri" w:cs="Calibri"/>
          <w:lang w:val="en-US"/>
        </w:rPr>
        <w:t xml:space="preserve"> </w:t>
      </w:r>
      <w:r w:rsidRPr="006F6C8C">
        <w:rPr>
          <w:rFonts w:ascii="Calibri" w:cs="Calibri"/>
          <w:b/>
          <w:bCs/>
          <w:lang w:val="en-US"/>
        </w:rPr>
        <w:t>2018</w:t>
      </w:r>
      <w:r w:rsidRPr="006F6C8C">
        <w:rPr>
          <w:rFonts w:ascii="Calibri" w:cs="Calibri"/>
          <w:lang w:val="en-US"/>
        </w:rPr>
        <w:t xml:space="preserve">, </w:t>
      </w:r>
      <w:r w:rsidRPr="006F6C8C">
        <w:rPr>
          <w:rFonts w:ascii="Calibri" w:cs="Calibri"/>
          <w:i/>
          <w:iCs/>
          <w:lang w:val="en-US"/>
        </w:rPr>
        <w:t>1</w:t>
      </w:r>
      <w:r w:rsidRPr="006F6C8C">
        <w:rPr>
          <w:rFonts w:ascii="Calibri" w:cs="Calibri"/>
          <w:lang w:val="en-US"/>
        </w:rPr>
        <w:t>, e181999, doi:10.1001/jamanetworkopen.2018.1999.</w:t>
      </w:r>
    </w:p>
    <w:p w14:paraId="6BAAD49F" w14:textId="7496E9EE" w:rsidR="00377B3E" w:rsidRPr="006F6C8C" w:rsidRDefault="00377B3E" w:rsidP="00377B3E">
      <w:pPr>
        <w:pStyle w:val="Bibliography"/>
        <w:rPr>
          <w:rFonts w:ascii="Calibri" w:cs="Calibri"/>
          <w:lang w:val="en-US"/>
        </w:rPr>
      </w:pPr>
      <w:r w:rsidRPr="006F6C8C">
        <w:rPr>
          <w:rFonts w:ascii="Calibri" w:cs="Calibri"/>
          <w:lang w:val="en-US"/>
        </w:rPr>
        <w:t xml:space="preserve">23. </w:t>
      </w:r>
      <w:r w:rsidRPr="006F6C8C">
        <w:rPr>
          <w:rFonts w:ascii="Calibri" w:cs="Calibri"/>
          <w:lang w:val="en-US"/>
        </w:rPr>
        <w:tab/>
      </w:r>
      <w:proofErr w:type="spellStart"/>
      <w:r w:rsidRPr="006F6C8C">
        <w:rPr>
          <w:rFonts w:ascii="Calibri" w:cs="Calibri"/>
          <w:lang w:val="en-US"/>
        </w:rPr>
        <w:t>Tatti</w:t>
      </w:r>
      <w:proofErr w:type="spellEnd"/>
      <w:r w:rsidRPr="006F6C8C">
        <w:rPr>
          <w:rFonts w:ascii="Calibri" w:cs="Calibri"/>
          <w:lang w:val="en-US"/>
        </w:rPr>
        <w:t xml:space="preserve">, S.; Suzuki, V.; </w:t>
      </w:r>
      <w:proofErr w:type="spellStart"/>
      <w:r w:rsidRPr="006F6C8C">
        <w:rPr>
          <w:rFonts w:ascii="Calibri" w:cs="Calibri"/>
          <w:lang w:val="en-US"/>
        </w:rPr>
        <w:t>Fleider</w:t>
      </w:r>
      <w:proofErr w:type="spellEnd"/>
      <w:r w:rsidRPr="006F6C8C">
        <w:rPr>
          <w:rFonts w:ascii="Calibri" w:cs="Calibri"/>
          <w:lang w:val="en-US"/>
        </w:rPr>
        <w:t>, L.; Maldonado, V.; Caruso, R. Anal Intraepithelial Lesions in Women With Human Papillomavirus</w:t>
      </w:r>
      <w:r w:rsidR="0018214E">
        <w:rPr>
          <w:rFonts w:ascii="Calibri" w:cs="Calibri"/>
          <w:lang w:val="en-US"/>
        </w:rPr>
        <w:t xml:space="preserve"> </w:t>
      </w:r>
      <w:r w:rsidRPr="006F6C8C">
        <w:rPr>
          <w:rFonts w:ascii="Calibri" w:cs="Calibri"/>
          <w:lang w:val="en-US"/>
        </w:rPr>
        <w:t>Related Disease.</w:t>
      </w:r>
      <w:r w:rsidR="0018214E" w:rsidRPr="0018214E">
        <w:rPr>
          <w:i/>
          <w:lang w:val="en-US"/>
        </w:rPr>
        <w:t xml:space="preserve"> </w:t>
      </w:r>
      <w:r w:rsidR="0018214E" w:rsidRPr="009D2D38">
        <w:rPr>
          <w:i/>
        </w:rPr>
        <w:t xml:space="preserve">J </w:t>
      </w:r>
      <w:proofErr w:type="spellStart"/>
      <w:r w:rsidR="0018214E" w:rsidRPr="009D2D38">
        <w:rPr>
          <w:i/>
        </w:rPr>
        <w:t>Low</w:t>
      </w:r>
      <w:proofErr w:type="spellEnd"/>
      <w:r w:rsidR="0018214E" w:rsidRPr="009D2D38">
        <w:rPr>
          <w:i/>
        </w:rPr>
        <w:t xml:space="preserve"> </w:t>
      </w:r>
      <w:proofErr w:type="spellStart"/>
      <w:r w:rsidR="0018214E" w:rsidRPr="009D2D38">
        <w:rPr>
          <w:i/>
        </w:rPr>
        <w:t>Genit</w:t>
      </w:r>
      <w:proofErr w:type="spellEnd"/>
      <w:r w:rsidR="0018214E" w:rsidRPr="009D2D38">
        <w:rPr>
          <w:i/>
        </w:rPr>
        <w:t xml:space="preserve"> </w:t>
      </w:r>
      <w:proofErr w:type="spellStart"/>
      <w:r w:rsidR="0018214E" w:rsidRPr="009D2D38">
        <w:rPr>
          <w:i/>
        </w:rPr>
        <w:t>Tract</w:t>
      </w:r>
      <w:proofErr w:type="spellEnd"/>
      <w:r w:rsidR="0018214E" w:rsidRPr="009D2D38">
        <w:rPr>
          <w:i/>
        </w:rPr>
        <w:t xml:space="preserve"> </w:t>
      </w:r>
      <w:proofErr w:type="spellStart"/>
      <w:r w:rsidR="0018214E" w:rsidRPr="009D2D38">
        <w:rPr>
          <w:i/>
        </w:rPr>
        <w:t>Dis</w:t>
      </w:r>
      <w:proofErr w:type="spellEnd"/>
      <w:r w:rsidR="0018214E" w:rsidRPr="009D2D38">
        <w:rPr>
          <w:i/>
        </w:rPr>
        <w:t xml:space="preserve"> </w:t>
      </w:r>
      <w:r w:rsidR="0018214E" w:rsidRPr="009D2D38">
        <w:rPr>
          <w:b/>
        </w:rPr>
        <w:t>2012</w:t>
      </w:r>
      <w:r w:rsidR="0018214E" w:rsidRPr="009D2D38">
        <w:t>; 16: 454-459 doi:10.1097/LGT.0b013e31825d2d7a.</w:t>
      </w:r>
    </w:p>
    <w:p w14:paraId="13ABD5A5" w14:textId="77777777" w:rsidR="00377B3E" w:rsidRPr="006F6C8C" w:rsidRDefault="00377B3E" w:rsidP="00377B3E">
      <w:pPr>
        <w:pStyle w:val="Bibliography"/>
        <w:rPr>
          <w:rFonts w:ascii="Calibri" w:cs="Calibri"/>
          <w:lang w:val="en-US"/>
        </w:rPr>
      </w:pPr>
      <w:r w:rsidRPr="006F6C8C">
        <w:rPr>
          <w:rFonts w:ascii="Calibri" w:cs="Calibri"/>
          <w:lang w:val="en-US"/>
        </w:rPr>
        <w:t xml:space="preserve">24. </w:t>
      </w:r>
      <w:r w:rsidRPr="006F6C8C">
        <w:rPr>
          <w:rFonts w:ascii="Calibri" w:cs="Calibri"/>
          <w:lang w:val="en-US"/>
        </w:rPr>
        <w:tab/>
      </w:r>
      <w:proofErr w:type="spellStart"/>
      <w:r w:rsidRPr="006F6C8C">
        <w:rPr>
          <w:rFonts w:ascii="Calibri" w:cs="Calibri"/>
          <w:lang w:val="en-US"/>
        </w:rPr>
        <w:t>Tomassi</w:t>
      </w:r>
      <w:proofErr w:type="spellEnd"/>
      <w:r w:rsidRPr="006F6C8C">
        <w:rPr>
          <w:rFonts w:ascii="Calibri" w:cs="Calibri"/>
          <w:lang w:val="en-US"/>
        </w:rPr>
        <w:t xml:space="preserve">, M.J.; Abbas, M.A.; </w:t>
      </w:r>
      <w:proofErr w:type="spellStart"/>
      <w:r w:rsidRPr="006F6C8C">
        <w:rPr>
          <w:rFonts w:ascii="Calibri" w:cs="Calibri"/>
          <w:lang w:val="en-US"/>
        </w:rPr>
        <w:t>Klaristenfeld</w:t>
      </w:r>
      <w:proofErr w:type="spellEnd"/>
      <w:r w:rsidRPr="006F6C8C">
        <w:rPr>
          <w:rFonts w:ascii="Calibri" w:cs="Calibri"/>
          <w:lang w:val="en-US"/>
        </w:rPr>
        <w:t xml:space="preserve">, D.D. Expectant Management Surveillance for Patients at Risk for Invasive Squamous Cell Carcinoma of the Anus: A Large US Healthcare System Experience. </w:t>
      </w:r>
      <w:r w:rsidRPr="006F6C8C">
        <w:rPr>
          <w:rFonts w:ascii="Calibri" w:cs="Calibri"/>
          <w:i/>
          <w:iCs/>
          <w:lang w:val="en-US"/>
        </w:rPr>
        <w:t>Int. J. Colorectal Dis.</w:t>
      </w:r>
      <w:r w:rsidRPr="006F6C8C">
        <w:rPr>
          <w:rFonts w:ascii="Calibri" w:cs="Calibri"/>
          <w:lang w:val="en-US"/>
        </w:rPr>
        <w:t xml:space="preserve"> </w:t>
      </w:r>
      <w:r w:rsidRPr="006F6C8C">
        <w:rPr>
          <w:rFonts w:ascii="Calibri" w:cs="Calibri"/>
          <w:b/>
          <w:bCs/>
          <w:lang w:val="en-US"/>
        </w:rPr>
        <w:t>2019</w:t>
      </w:r>
      <w:r w:rsidRPr="006F6C8C">
        <w:rPr>
          <w:rFonts w:ascii="Calibri" w:cs="Calibri"/>
          <w:lang w:val="en-US"/>
        </w:rPr>
        <w:t xml:space="preserve">, </w:t>
      </w:r>
      <w:r w:rsidRPr="006F6C8C">
        <w:rPr>
          <w:rFonts w:ascii="Calibri" w:cs="Calibri"/>
          <w:i/>
          <w:iCs/>
          <w:lang w:val="en-US"/>
        </w:rPr>
        <w:t>34</w:t>
      </w:r>
      <w:r w:rsidRPr="006F6C8C">
        <w:rPr>
          <w:rFonts w:ascii="Calibri" w:cs="Calibri"/>
          <w:lang w:val="en-US"/>
        </w:rPr>
        <w:t>, 47–54, doi:10.1007/s00384-018-3167-7.</w:t>
      </w:r>
    </w:p>
    <w:p w14:paraId="422FD469" w14:textId="77777777" w:rsidR="00377B3E" w:rsidRPr="006F6C8C" w:rsidRDefault="00377B3E" w:rsidP="00377B3E">
      <w:pPr>
        <w:pStyle w:val="Bibliography"/>
        <w:rPr>
          <w:rFonts w:ascii="Calibri" w:cs="Calibri"/>
          <w:lang w:val="en-US"/>
        </w:rPr>
      </w:pPr>
      <w:r w:rsidRPr="006F6C8C">
        <w:rPr>
          <w:rFonts w:ascii="Calibri" w:cs="Calibri"/>
          <w:lang w:val="en-US"/>
        </w:rPr>
        <w:t xml:space="preserve">25. </w:t>
      </w:r>
      <w:r w:rsidRPr="006F6C8C">
        <w:rPr>
          <w:rFonts w:ascii="Calibri" w:cs="Calibri"/>
          <w:lang w:val="en-US"/>
        </w:rPr>
        <w:tab/>
        <w:t xml:space="preserve">Wang, M.; Sharma, A.; </w:t>
      </w:r>
      <w:proofErr w:type="spellStart"/>
      <w:r w:rsidRPr="006F6C8C">
        <w:rPr>
          <w:rFonts w:ascii="Calibri" w:cs="Calibri"/>
          <w:lang w:val="en-US"/>
        </w:rPr>
        <w:t>Osazuwa</w:t>
      </w:r>
      <w:proofErr w:type="spellEnd"/>
      <w:r w:rsidRPr="006F6C8C">
        <w:rPr>
          <w:rFonts w:ascii="Calibri" w:cs="Calibri"/>
          <w:lang w:val="en-US"/>
        </w:rPr>
        <w:t xml:space="preserve">-Peters, N.; Simpson, M.C.; </w:t>
      </w:r>
      <w:proofErr w:type="spellStart"/>
      <w:r w:rsidRPr="006F6C8C">
        <w:rPr>
          <w:rFonts w:ascii="Calibri" w:cs="Calibri"/>
          <w:lang w:val="en-US"/>
        </w:rPr>
        <w:t>Schootman</w:t>
      </w:r>
      <w:proofErr w:type="spellEnd"/>
      <w:r w:rsidRPr="006F6C8C">
        <w:rPr>
          <w:rFonts w:ascii="Calibri" w:cs="Calibri"/>
          <w:lang w:val="en-US"/>
        </w:rPr>
        <w:t xml:space="preserve">, M.; </w:t>
      </w:r>
      <w:proofErr w:type="spellStart"/>
      <w:r w:rsidRPr="006F6C8C">
        <w:rPr>
          <w:rFonts w:ascii="Calibri" w:cs="Calibri"/>
          <w:lang w:val="en-US"/>
        </w:rPr>
        <w:t>Piccirillo</w:t>
      </w:r>
      <w:proofErr w:type="spellEnd"/>
      <w:r w:rsidRPr="006F6C8C">
        <w:rPr>
          <w:rFonts w:ascii="Calibri" w:cs="Calibri"/>
          <w:lang w:val="en-US"/>
        </w:rPr>
        <w:t xml:space="preserve">, J.F.; Huh, W.K.; Adjei Boakye, E. Risk of Subsequent Malignant Neoplasms after an Index Potentially-Human Papillomavirus (HPV)-Associated Cancers. </w:t>
      </w:r>
      <w:r w:rsidRPr="006F6C8C">
        <w:rPr>
          <w:rFonts w:ascii="Calibri" w:cs="Calibri"/>
          <w:i/>
          <w:iCs/>
          <w:lang w:val="en-US"/>
        </w:rPr>
        <w:t>Cancer Epidemiol.</w:t>
      </w:r>
      <w:r w:rsidRPr="006F6C8C">
        <w:rPr>
          <w:rFonts w:ascii="Calibri" w:cs="Calibri"/>
          <w:lang w:val="en-US"/>
        </w:rPr>
        <w:t xml:space="preserve"> </w:t>
      </w:r>
      <w:r w:rsidRPr="006F6C8C">
        <w:rPr>
          <w:rFonts w:ascii="Calibri" w:cs="Calibri"/>
          <w:b/>
          <w:bCs/>
          <w:lang w:val="en-US"/>
        </w:rPr>
        <w:t>2020</w:t>
      </w:r>
      <w:r w:rsidRPr="006F6C8C">
        <w:rPr>
          <w:rFonts w:ascii="Calibri" w:cs="Calibri"/>
          <w:lang w:val="en-US"/>
        </w:rPr>
        <w:t xml:space="preserve">, </w:t>
      </w:r>
      <w:r w:rsidRPr="006F6C8C">
        <w:rPr>
          <w:rFonts w:ascii="Calibri" w:cs="Calibri"/>
          <w:i/>
          <w:iCs/>
          <w:lang w:val="en-US"/>
        </w:rPr>
        <w:t>64</w:t>
      </w:r>
      <w:r w:rsidRPr="006F6C8C">
        <w:rPr>
          <w:rFonts w:ascii="Calibri" w:cs="Calibri"/>
          <w:lang w:val="en-US"/>
        </w:rPr>
        <w:t>, 101649, doi:10.1016/j.canep.2019.101649.</w:t>
      </w:r>
    </w:p>
    <w:p w14:paraId="3FF4A632" w14:textId="77777777" w:rsidR="00377B3E" w:rsidRPr="006F6C8C" w:rsidRDefault="00377B3E" w:rsidP="00377B3E">
      <w:pPr>
        <w:pStyle w:val="Bibliography"/>
        <w:rPr>
          <w:rFonts w:ascii="Calibri" w:cs="Calibri"/>
          <w:lang w:val="en-US"/>
        </w:rPr>
      </w:pPr>
      <w:r w:rsidRPr="006F6C8C">
        <w:rPr>
          <w:rFonts w:ascii="Calibri" w:cs="Calibri"/>
          <w:lang w:val="en-US"/>
        </w:rPr>
        <w:t xml:space="preserve">26. </w:t>
      </w:r>
      <w:r w:rsidRPr="006F6C8C">
        <w:rPr>
          <w:rFonts w:ascii="Calibri" w:cs="Calibri"/>
          <w:lang w:val="en-US"/>
        </w:rPr>
        <w:tab/>
        <w:t xml:space="preserve">Whiting, P.F.; </w:t>
      </w:r>
      <w:proofErr w:type="spellStart"/>
      <w:r w:rsidRPr="006F6C8C">
        <w:rPr>
          <w:rFonts w:ascii="Calibri" w:cs="Calibri"/>
          <w:lang w:val="en-US"/>
        </w:rPr>
        <w:t>Rutjes</w:t>
      </w:r>
      <w:proofErr w:type="spellEnd"/>
      <w:r w:rsidRPr="006F6C8C">
        <w:rPr>
          <w:rFonts w:ascii="Calibri" w:cs="Calibri"/>
          <w:lang w:val="en-US"/>
        </w:rPr>
        <w:t xml:space="preserve">, A.W.S.; Westwood, M.E.; Mallett, S.; </w:t>
      </w:r>
      <w:proofErr w:type="spellStart"/>
      <w:r w:rsidRPr="006F6C8C">
        <w:rPr>
          <w:rFonts w:ascii="Calibri" w:cs="Calibri"/>
          <w:lang w:val="en-US"/>
        </w:rPr>
        <w:t>Deeks</w:t>
      </w:r>
      <w:proofErr w:type="spellEnd"/>
      <w:r w:rsidRPr="006F6C8C">
        <w:rPr>
          <w:rFonts w:ascii="Calibri" w:cs="Calibri"/>
          <w:lang w:val="en-US"/>
        </w:rPr>
        <w:t xml:space="preserve">, J.J.; </w:t>
      </w:r>
      <w:proofErr w:type="spellStart"/>
      <w:r w:rsidRPr="006F6C8C">
        <w:rPr>
          <w:rFonts w:ascii="Calibri" w:cs="Calibri"/>
          <w:lang w:val="en-US"/>
        </w:rPr>
        <w:t>Reitsma</w:t>
      </w:r>
      <w:proofErr w:type="spellEnd"/>
      <w:r w:rsidRPr="006F6C8C">
        <w:rPr>
          <w:rFonts w:ascii="Calibri" w:cs="Calibri"/>
          <w:lang w:val="en-US"/>
        </w:rPr>
        <w:t xml:space="preserve">, J.B.; </w:t>
      </w:r>
      <w:proofErr w:type="spellStart"/>
      <w:r w:rsidRPr="006F6C8C">
        <w:rPr>
          <w:rFonts w:ascii="Calibri" w:cs="Calibri"/>
          <w:lang w:val="en-US"/>
        </w:rPr>
        <w:t>Leeflang</w:t>
      </w:r>
      <w:proofErr w:type="spellEnd"/>
      <w:r w:rsidRPr="006F6C8C">
        <w:rPr>
          <w:rFonts w:ascii="Calibri" w:cs="Calibri"/>
          <w:lang w:val="en-US"/>
        </w:rPr>
        <w:t xml:space="preserve">, M.M.G.; Sterne, J.A.C.; </w:t>
      </w:r>
      <w:proofErr w:type="spellStart"/>
      <w:r w:rsidRPr="006F6C8C">
        <w:rPr>
          <w:rFonts w:ascii="Calibri" w:cs="Calibri"/>
          <w:lang w:val="en-US"/>
        </w:rPr>
        <w:t>Bossuyt</w:t>
      </w:r>
      <w:proofErr w:type="spellEnd"/>
      <w:r w:rsidRPr="006F6C8C">
        <w:rPr>
          <w:rFonts w:ascii="Calibri" w:cs="Calibri"/>
          <w:lang w:val="en-US"/>
        </w:rPr>
        <w:t xml:space="preserve">, P.M.M.; QUADAS-2 Group QUADAS-2: A Revised Tool for the Quality Assessment of Diagnostic Accuracy Studies. </w:t>
      </w:r>
      <w:r w:rsidRPr="006F6C8C">
        <w:rPr>
          <w:rFonts w:ascii="Calibri" w:cs="Calibri"/>
          <w:i/>
          <w:iCs/>
          <w:lang w:val="en-US"/>
        </w:rPr>
        <w:t>Ann. Intern. Med.</w:t>
      </w:r>
      <w:r w:rsidRPr="006F6C8C">
        <w:rPr>
          <w:rFonts w:ascii="Calibri" w:cs="Calibri"/>
          <w:lang w:val="en-US"/>
        </w:rPr>
        <w:t xml:space="preserve"> </w:t>
      </w:r>
      <w:r w:rsidRPr="006F6C8C">
        <w:rPr>
          <w:rFonts w:ascii="Calibri" w:cs="Calibri"/>
          <w:b/>
          <w:bCs/>
          <w:lang w:val="en-US"/>
        </w:rPr>
        <w:t>2011</w:t>
      </w:r>
      <w:r w:rsidRPr="006F6C8C">
        <w:rPr>
          <w:rFonts w:ascii="Calibri" w:cs="Calibri"/>
          <w:lang w:val="en-US"/>
        </w:rPr>
        <w:t xml:space="preserve">, </w:t>
      </w:r>
      <w:r w:rsidRPr="006F6C8C">
        <w:rPr>
          <w:rFonts w:ascii="Calibri" w:cs="Calibri"/>
          <w:i/>
          <w:iCs/>
          <w:lang w:val="en-US"/>
        </w:rPr>
        <w:t>155</w:t>
      </w:r>
      <w:r w:rsidRPr="006F6C8C">
        <w:rPr>
          <w:rFonts w:ascii="Calibri" w:cs="Calibri"/>
          <w:lang w:val="en-US"/>
        </w:rPr>
        <w:t>, 529–536, doi:10.7326/0003-4819-155-8-201110180-00009.</w:t>
      </w:r>
    </w:p>
    <w:p w14:paraId="2798B524" w14:textId="3957EB3F" w:rsidR="00377B3E" w:rsidRPr="006F6C8C" w:rsidRDefault="00377B3E" w:rsidP="00377B3E">
      <w:pPr>
        <w:pStyle w:val="Bibliography"/>
        <w:rPr>
          <w:rFonts w:ascii="Calibri" w:cs="Calibri"/>
          <w:lang w:val="en-US"/>
        </w:rPr>
      </w:pPr>
      <w:r w:rsidRPr="006F6C8C">
        <w:rPr>
          <w:rFonts w:ascii="Calibri" w:cs="Calibri"/>
          <w:lang w:val="en-US"/>
        </w:rPr>
        <w:t xml:space="preserve">27. </w:t>
      </w:r>
      <w:r w:rsidR="006F6C8C" w:rsidRPr="00064BE6">
        <w:rPr>
          <w:lang w:val="en-US"/>
        </w:rPr>
        <w:t>https://www.cdc.gov/nceh/cancer-environment/pdfs/standardized-incidence-ratio-fact-sheet-508.pdf</w:t>
      </w:r>
      <w:r w:rsidR="006F6C8C">
        <w:rPr>
          <w:lang w:val="en-US"/>
        </w:rPr>
        <w:t xml:space="preserve"> </w:t>
      </w:r>
      <w:r w:rsidR="006F6C8C" w:rsidRPr="006F6C8C">
        <w:rPr>
          <w:rFonts w:ascii="Calibri" w:cs="Calibri"/>
          <w:lang w:val="en-US"/>
        </w:rPr>
        <w:t>(accessed on 10 May 2023)</w:t>
      </w:r>
      <w:r w:rsidR="006F6C8C">
        <w:rPr>
          <w:rFonts w:ascii="Calibri" w:cs="Calibri"/>
          <w:lang w:val="en-US"/>
        </w:rPr>
        <w:t>.</w:t>
      </w:r>
    </w:p>
    <w:p w14:paraId="2869EBEA" w14:textId="3AC0B5CF" w:rsidR="00377B3E" w:rsidRPr="006F6C8C" w:rsidRDefault="00377B3E" w:rsidP="00377B3E">
      <w:pPr>
        <w:pStyle w:val="Bibliography"/>
        <w:rPr>
          <w:rFonts w:ascii="Calibri" w:cs="Calibri"/>
          <w:lang w:val="en-US"/>
        </w:rPr>
      </w:pPr>
      <w:r w:rsidRPr="006F6C8C">
        <w:rPr>
          <w:rFonts w:ascii="Calibri" w:cs="Calibri"/>
          <w:lang w:val="en-US"/>
        </w:rPr>
        <w:lastRenderedPageBreak/>
        <w:t xml:space="preserve">28. </w:t>
      </w:r>
      <w:r w:rsidRPr="006F6C8C">
        <w:rPr>
          <w:rFonts w:ascii="Calibri" w:cs="Calibri"/>
          <w:lang w:val="en-US"/>
        </w:rPr>
        <w:tab/>
        <w:t>https://www.cdc.gov/csels/dsepd/ss1978/lesson3/section2.html (accessed on 10 May 2023).</w:t>
      </w:r>
    </w:p>
    <w:p w14:paraId="5ABBB2AF" w14:textId="55F54209" w:rsidR="00BD0803" w:rsidRDefault="00BD0803" w:rsidP="00064BE6">
      <w:r>
        <w:fldChar w:fldCharType="end"/>
      </w:r>
    </w:p>
    <w:sectPr w:rsidR="00BD0803" w:rsidSect="005357AA">
      <w:pgSz w:w="15840" w:h="12240" w:orient="landscape"/>
      <w:pgMar w:top="1417" w:right="1417" w:bottom="1417" w:left="1417"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2FEAD" w14:textId="77777777" w:rsidR="000411BB" w:rsidRDefault="000411BB" w:rsidP="00B346A8">
      <w:r>
        <w:separator/>
      </w:r>
    </w:p>
  </w:endnote>
  <w:endnote w:type="continuationSeparator" w:id="0">
    <w:p w14:paraId="65D9CAB5" w14:textId="77777777" w:rsidR="000411BB" w:rsidRDefault="000411BB" w:rsidP="00B34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B44BD" w14:textId="77777777" w:rsidR="000411BB" w:rsidRDefault="000411BB" w:rsidP="00B346A8">
      <w:r>
        <w:separator/>
      </w:r>
    </w:p>
  </w:footnote>
  <w:footnote w:type="continuationSeparator" w:id="0">
    <w:p w14:paraId="780235B1" w14:textId="77777777" w:rsidR="000411BB" w:rsidRDefault="000411BB" w:rsidP="00B346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76BFA"/>
    <w:multiLevelType w:val="hybridMultilevel"/>
    <w:tmpl w:val="FE70AB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C4C45FF"/>
    <w:multiLevelType w:val="hybridMultilevel"/>
    <w:tmpl w:val="E7544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54064848">
    <w:abstractNumId w:val="0"/>
  </w:num>
  <w:num w:numId="2" w16cid:durableId="75806674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ł Brzeziński">
    <w15:presenceInfo w15:providerId="Windows Live" w15:userId="3235b0fcfd6852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3NTayMLYwMTWxtDRQ0lEKTi0uzszPAykwrAUA+4gPuSwAAAA="/>
    <w:docVar w:name="EN.InstantFormat" w:val="&lt;ENInstantFormat&gt;&lt;Enabled&gt;1&lt;/Enabled&gt;&lt;ScanUnformatted&gt;1&lt;/ScanUnformatted&gt;&lt;ScanChanges&gt;1&lt;/ScanChanges&gt;&lt;Suspended&gt;0&lt;/Suspended&gt;&lt;/ENInstantFormat&gt;"/>
    <w:docVar w:name="EN.Layout" w:val="&lt;ENLayout&gt;&lt;Style&gt;MDPI&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fx0xw0z4rdt93exad8pr22qwtxaae9wvszz&quot;&gt;colposcopy-Converted&lt;record-ids&gt;&lt;item&gt;212&lt;/item&gt;&lt;item&gt;213&lt;/item&gt;&lt;item&gt;214&lt;/item&gt;&lt;item&gt;215&lt;/item&gt;&lt;item&gt;216&lt;/item&gt;&lt;item&gt;217&lt;/item&gt;&lt;item&gt;218&lt;/item&gt;&lt;item&gt;219&lt;/item&gt;&lt;item&gt;220&lt;/item&gt;&lt;item&gt;221&lt;/item&gt;&lt;item&gt;222&lt;/item&gt;&lt;item&gt;223&lt;/item&gt;&lt;item&gt;224&lt;/item&gt;&lt;item&gt;225&lt;/item&gt;&lt;item&gt;226&lt;/item&gt;&lt;item&gt;227&lt;/item&gt;&lt;item&gt;228&lt;/item&gt;&lt;item&gt;229&lt;/item&gt;&lt;item&gt;230&lt;/item&gt;&lt;item&gt;231&lt;/item&gt;&lt;item&gt;232&lt;/item&gt;&lt;item&gt;233&lt;/item&gt;&lt;item&gt;234&lt;/item&gt;&lt;item&gt;235&lt;/item&gt;&lt;item&gt;236&lt;/item&gt;&lt;/record-ids&gt;&lt;/item&gt;&lt;/Libraries&gt;"/>
  </w:docVars>
  <w:rsids>
    <w:rsidRoot w:val="00FA08D5"/>
    <w:rsid w:val="000102CC"/>
    <w:rsid w:val="00012FB1"/>
    <w:rsid w:val="000411BB"/>
    <w:rsid w:val="00064BE6"/>
    <w:rsid w:val="000B30F0"/>
    <w:rsid w:val="00106304"/>
    <w:rsid w:val="0015263F"/>
    <w:rsid w:val="0016190B"/>
    <w:rsid w:val="00167BA3"/>
    <w:rsid w:val="0018214E"/>
    <w:rsid w:val="002117A7"/>
    <w:rsid w:val="00232F1F"/>
    <w:rsid w:val="002373E3"/>
    <w:rsid w:val="00272E15"/>
    <w:rsid w:val="00295995"/>
    <w:rsid w:val="002C5177"/>
    <w:rsid w:val="002F1197"/>
    <w:rsid w:val="00345EF5"/>
    <w:rsid w:val="00364F34"/>
    <w:rsid w:val="00377B3E"/>
    <w:rsid w:val="003A104B"/>
    <w:rsid w:val="003B78A8"/>
    <w:rsid w:val="003F2A3B"/>
    <w:rsid w:val="00435CF2"/>
    <w:rsid w:val="00471A69"/>
    <w:rsid w:val="004E0330"/>
    <w:rsid w:val="004F1E77"/>
    <w:rsid w:val="004F7BE5"/>
    <w:rsid w:val="00516DEF"/>
    <w:rsid w:val="00523B4B"/>
    <w:rsid w:val="005357AA"/>
    <w:rsid w:val="0055575A"/>
    <w:rsid w:val="0058768B"/>
    <w:rsid w:val="00623D68"/>
    <w:rsid w:val="00625662"/>
    <w:rsid w:val="00634E89"/>
    <w:rsid w:val="006861B2"/>
    <w:rsid w:val="00692177"/>
    <w:rsid w:val="006C0D54"/>
    <w:rsid w:val="006F6C8C"/>
    <w:rsid w:val="007A4688"/>
    <w:rsid w:val="007A48B5"/>
    <w:rsid w:val="008562B2"/>
    <w:rsid w:val="008755B6"/>
    <w:rsid w:val="008B4850"/>
    <w:rsid w:val="008F77F9"/>
    <w:rsid w:val="00933A38"/>
    <w:rsid w:val="00950872"/>
    <w:rsid w:val="00951023"/>
    <w:rsid w:val="009D2D38"/>
    <w:rsid w:val="009E1F78"/>
    <w:rsid w:val="009F175E"/>
    <w:rsid w:val="009F2A1F"/>
    <w:rsid w:val="00A11E0C"/>
    <w:rsid w:val="00A73975"/>
    <w:rsid w:val="00A96EB4"/>
    <w:rsid w:val="00B346A8"/>
    <w:rsid w:val="00B75390"/>
    <w:rsid w:val="00BD0803"/>
    <w:rsid w:val="00C1589F"/>
    <w:rsid w:val="00C37B28"/>
    <w:rsid w:val="00C55DFA"/>
    <w:rsid w:val="00CE1791"/>
    <w:rsid w:val="00CE3F54"/>
    <w:rsid w:val="00D818CC"/>
    <w:rsid w:val="00DC107E"/>
    <w:rsid w:val="00E5646A"/>
    <w:rsid w:val="00E94EE1"/>
    <w:rsid w:val="00F13D99"/>
    <w:rsid w:val="00FA08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942D8"/>
  <w15:chartTrackingRefBased/>
  <w15:docId w15:val="{2F031323-A90A-1A41-A458-06938DA71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35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102CC"/>
    <w:pPr>
      <w:ind w:left="720"/>
      <w:contextualSpacing/>
    </w:pPr>
  </w:style>
  <w:style w:type="character" w:styleId="Odwoaniedokomentarza">
    <w:name w:val="annotation reference"/>
    <w:basedOn w:val="Domylnaczcionkaakapitu"/>
    <w:uiPriority w:val="99"/>
    <w:semiHidden/>
    <w:unhideWhenUsed/>
    <w:rsid w:val="000102CC"/>
    <w:rPr>
      <w:sz w:val="16"/>
      <w:szCs w:val="16"/>
    </w:rPr>
  </w:style>
  <w:style w:type="paragraph" w:styleId="Tekstkomentarza">
    <w:name w:val="annotation text"/>
    <w:basedOn w:val="Normalny"/>
    <w:link w:val="TekstkomentarzaZnak"/>
    <w:uiPriority w:val="99"/>
    <w:unhideWhenUsed/>
    <w:rsid w:val="000102CC"/>
    <w:rPr>
      <w:sz w:val="20"/>
      <w:szCs w:val="20"/>
    </w:rPr>
  </w:style>
  <w:style w:type="character" w:customStyle="1" w:styleId="TekstkomentarzaZnak">
    <w:name w:val="Tekst komentarza Znak"/>
    <w:basedOn w:val="Domylnaczcionkaakapitu"/>
    <w:link w:val="Tekstkomentarza"/>
    <w:uiPriority w:val="99"/>
    <w:rsid w:val="000102CC"/>
    <w:rPr>
      <w:sz w:val="20"/>
      <w:szCs w:val="20"/>
    </w:rPr>
  </w:style>
  <w:style w:type="paragraph" w:styleId="Tematkomentarza">
    <w:name w:val="annotation subject"/>
    <w:basedOn w:val="Tekstkomentarza"/>
    <w:next w:val="Tekstkomentarza"/>
    <w:link w:val="TematkomentarzaZnak"/>
    <w:uiPriority w:val="99"/>
    <w:semiHidden/>
    <w:unhideWhenUsed/>
    <w:rsid w:val="000102CC"/>
    <w:rPr>
      <w:b/>
      <w:bCs/>
    </w:rPr>
  </w:style>
  <w:style w:type="character" w:customStyle="1" w:styleId="TematkomentarzaZnak">
    <w:name w:val="Temat komentarza Znak"/>
    <w:basedOn w:val="TekstkomentarzaZnak"/>
    <w:link w:val="Tematkomentarza"/>
    <w:uiPriority w:val="99"/>
    <w:semiHidden/>
    <w:rsid w:val="000102CC"/>
    <w:rPr>
      <w:b/>
      <w:bCs/>
      <w:sz w:val="20"/>
      <w:szCs w:val="20"/>
    </w:rPr>
  </w:style>
  <w:style w:type="character" w:styleId="Hipercze">
    <w:name w:val="Hyperlink"/>
    <w:basedOn w:val="Domylnaczcionkaakapitu"/>
    <w:uiPriority w:val="99"/>
    <w:unhideWhenUsed/>
    <w:rsid w:val="002373E3"/>
    <w:rPr>
      <w:color w:val="0563C1" w:themeColor="hyperlink"/>
      <w:u w:val="single"/>
    </w:rPr>
  </w:style>
  <w:style w:type="character" w:styleId="Nierozpoznanawzmianka">
    <w:name w:val="Unresolved Mention"/>
    <w:basedOn w:val="Domylnaczcionkaakapitu"/>
    <w:uiPriority w:val="99"/>
    <w:semiHidden/>
    <w:unhideWhenUsed/>
    <w:rsid w:val="002373E3"/>
    <w:rPr>
      <w:color w:val="605E5C"/>
      <w:shd w:val="clear" w:color="auto" w:fill="E1DFDD"/>
    </w:rPr>
  </w:style>
  <w:style w:type="character" w:styleId="UyteHipercze">
    <w:name w:val="FollowedHyperlink"/>
    <w:basedOn w:val="Domylnaczcionkaakapitu"/>
    <w:uiPriority w:val="99"/>
    <w:semiHidden/>
    <w:unhideWhenUsed/>
    <w:rsid w:val="00951023"/>
    <w:rPr>
      <w:color w:val="954F72" w:themeColor="followedHyperlink"/>
      <w:u w:val="single"/>
    </w:rPr>
  </w:style>
  <w:style w:type="paragraph" w:styleId="Poprawka">
    <w:name w:val="Revision"/>
    <w:hidden/>
    <w:uiPriority w:val="99"/>
    <w:semiHidden/>
    <w:rsid w:val="00634E89"/>
  </w:style>
  <w:style w:type="paragraph" w:customStyle="1" w:styleId="EndNoteBibliographyTitle">
    <w:name w:val="EndNote Bibliography Title"/>
    <w:basedOn w:val="Normalny"/>
    <w:link w:val="EndNoteBibliographyTitleZnak"/>
    <w:rsid w:val="008562B2"/>
    <w:pPr>
      <w:jc w:val="center"/>
    </w:pPr>
    <w:rPr>
      <w:rFonts w:ascii="Calibri" w:hAnsi="Calibri" w:cs="Calibri"/>
      <w:noProof/>
      <w:lang w:val="en-US"/>
    </w:rPr>
  </w:style>
  <w:style w:type="character" w:customStyle="1" w:styleId="EndNoteBibliographyTitleZnak">
    <w:name w:val="EndNote Bibliography Title Znak"/>
    <w:basedOn w:val="Domylnaczcionkaakapitu"/>
    <w:link w:val="EndNoteBibliographyTitle"/>
    <w:rsid w:val="008562B2"/>
    <w:rPr>
      <w:rFonts w:ascii="Calibri" w:hAnsi="Calibri" w:cs="Calibri"/>
      <w:noProof/>
      <w:lang w:val="en-US"/>
    </w:rPr>
  </w:style>
  <w:style w:type="paragraph" w:customStyle="1" w:styleId="EndNoteBibliography">
    <w:name w:val="EndNote Bibliography"/>
    <w:basedOn w:val="Normalny"/>
    <w:link w:val="EndNoteBibliographyZnak"/>
    <w:rsid w:val="008562B2"/>
    <w:rPr>
      <w:rFonts w:ascii="Calibri" w:hAnsi="Calibri" w:cs="Calibri"/>
      <w:noProof/>
      <w:lang w:val="en-US"/>
    </w:rPr>
  </w:style>
  <w:style w:type="character" w:customStyle="1" w:styleId="EndNoteBibliographyZnak">
    <w:name w:val="EndNote Bibliography Znak"/>
    <w:basedOn w:val="Domylnaczcionkaakapitu"/>
    <w:link w:val="EndNoteBibliography"/>
    <w:rsid w:val="008562B2"/>
    <w:rPr>
      <w:rFonts w:ascii="Calibri" w:hAnsi="Calibri" w:cs="Calibri"/>
      <w:noProof/>
      <w:lang w:val="en-US"/>
    </w:rPr>
  </w:style>
  <w:style w:type="paragraph" w:styleId="Tekstprzypisudolnego">
    <w:name w:val="footnote text"/>
    <w:basedOn w:val="Normalny"/>
    <w:link w:val="TekstprzypisudolnegoZnak"/>
    <w:uiPriority w:val="99"/>
    <w:semiHidden/>
    <w:unhideWhenUsed/>
    <w:rsid w:val="00B346A8"/>
    <w:rPr>
      <w:sz w:val="20"/>
      <w:szCs w:val="20"/>
    </w:rPr>
  </w:style>
  <w:style w:type="character" w:customStyle="1" w:styleId="TekstprzypisudolnegoZnak">
    <w:name w:val="Tekst przypisu dolnego Znak"/>
    <w:basedOn w:val="Domylnaczcionkaakapitu"/>
    <w:link w:val="Tekstprzypisudolnego"/>
    <w:uiPriority w:val="99"/>
    <w:semiHidden/>
    <w:rsid w:val="00B346A8"/>
    <w:rPr>
      <w:sz w:val="20"/>
      <w:szCs w:val="20"/>
    </w:rPr>
  </w:style>
  <w:style w:type="character" w:styleId="Odwoanieprzypisudolnego">
    <w:name w:val="footnote reference"/>
    <w:basedOn w:val="Domylnaczcionkaakapitu"/>
    <w:uiPriority w:val="99"/>
    <w:semiHidden/>
    <w:unhideWhenUsed/>
    <w:rsid w:val="00B346A8"/>
    <w:rPr>
      <w:vertAlign w:val="superscript"/>
    </w:rPr>
  </w:style>
  <w:style w:type="paragraph" w:styleId="Tekstprzypisukocowego">
    <w:name w:val="endnote text"/>
    <w:basedOn w:val="Normalny"/>
    <w:link w:val="TekstprzypisukocowegoZnak"/>
    <w:uiPriority w:val="99"/>
    <w:semiHidden/>
    <w:unhideWhenUsed/>
    <w:rsid w:val="00B346A8"/>
    <w:rPr>
      <w:sz w:val="20"/>
      <w:szCs w:val="20"/>
    </w:rPr>
  </w:style>
  <w:style w:type="character" w:customStyle="1" w:styleId="TekstprzypisukocowegoZnak">
    <w:name w:val="Tekst przypisu końcowego Znak"/>
    <w:basedOn w:val="Domylnaczcionkaakapitu"/>
    <w:link w:val="Tekstprzypisukocowego"/>
    <w:uiPriority w:val="99"/>
    <w:semiHidden/>
    <w:rsid w:val="00B346A8"/>
    <w:rPr>
      <w:sz w:val="20"/>
      <w:szCs w:val="20"/>
    </w:rPr>
  </w:style>
  <w:style w:type="character" w:styleId="Odwoanieprzypisukocowego">
    <w:name w:val="endnote reference"/>
    <w:basedOn w:val="Domylnaczcionkaakapitu"/>
    <w:uiPriority w:val="99"/>
    <w:semiHidden/>
    <w:unhideWhenUsed/>
    <w:rsid w:val="00B346A8"/>
    <w:rPr>
      <w:vertAlign w:val="superscript"/>
    </w:rPr>
  </w:style>
  <w:style w:type="paragraph" w:customStyle="1" w:styleId="Bibliography">
    <w:name w:val="Bibliography"/>
    <w:basedOn w:val="Normalny"/>
    <w:link w:val="BibliographyZnak"/>
    <w:rsid w:val="00BD0803"/>
    <w:pPr>
      <w:tabs>
        <w:tab w:val="left" w:pos="380"/>
      </w:tabs>
      <w:ind w:left="384" w:hanging="384"/>
    </w:pPr>
  </w:style>
  <w:style w:type="character" w:customStyle="1" w:styleId="BibliographyZnak">
    <w:name w:val="Bibliography Znak"/>
    <w:basedOn w:val="Domylnaczcionkaakapitu"/>
    <w:link w:val="Bibliography"/>
    <w:rsid w:val="00BD0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BCD81-B8BC-CA4B-95FE-58CFD36BD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7</Pages>
  <Words>9728</Words>
  <Characters>58374</Characters>
  <Application>Microsoft Office Word</Application>
  <DocSecurity>0</DocSecurity>
  <Lines>486</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Brzeziński</dc:creator>
  <cp:keywords/>
  <dc:description/>
  <cp:lastModifiedBy>Michał Brzeziński</cp:lastModifiedBy>
  <cp:revision>5</cp:revision>
  <dcterms:created xsi:type="dcterms:W3CDTF">2023-04-24T18:14:00Z</dcterms:created>
  <dcterms:modified xsi:type="dcterms:W3CDTF">2023-05-10T20:27:00Z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id="bcJjoLru"/&gt;&lt;style id="http://www.zotero.org/styles/journal-of-clinical-medicine" hasBibliography="1" bibliographyStyleHasBeenSet="1"/&gt;&lt;prefs&gt;&lt;pref name="fieldType" value="Field"/&gt;&lt;pref name="auto</vt:lpwstr>
  </property>
  <property fmtid="{D5CDD505-2E9C-101B-9397-08002B2CF9AE}" pid="3" name="ZOTERO_PREF_2">
    <vt:lpwstr>maticJournalAbbreviations" value="true"/&gt;&lt;/prefs&gt;&lt;/data&gt;</vt:lpwstr>
  </property>
</Properties>
</file>