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37B40" w14:textId="67C45C3F" w:rsidR="005F222D" w:rsidRPr="005B7683" w:rsidRDefault="00D650D0" w:rsidP="005B7683">
      <w:pPr>
        <w:pStyle w:val="Overskrift6"/>
        <w:spacing w:after="0" w:line="259" w:lineRule="auto"/>
        <w:rPr>
          <w:rFonts w:ascii="Palatino Linotype" w:eastAsiaTheme="minorHAnsi" w:hAnsi="Palatino Linotype" w:cstheme="minorBidi"/>
        </w:rPr>
      </w:pPr>
      <w:r w:rsidRPr="005B7683">
        <w:rPr>
          <w:rFonts w:ascii="Palatino Linotype" w:eastAsiaTheme="minorHAnsi" w:hAnsi="Palatino Linotype" w:cstheme="minorBidi"/>
        </w:rPr>
        <w:t>Supplementary material</w:t>
      </w:r>
    </w:p>
    <w:p w14:paraId="56CC2E06" w14:textId="77777777" w:rsidR="007F5ADD" w:rsidRPr="005B7683" w:rsidRDefault="007F5ADD" w:rsidP="00FF64A3">
      <w:pPr>
        <w:rPr>
          <w:rFonts w:ascii="Palatino Linotype" w:hAnsi="Palatino Linotype"/>
          <w:lang w:val="en-GB"/>
        </w:rPr>
      </w:pPr>
    </w:p>
    <w:p w14:paraId="720E8BF8" w14:textId="14D6E6FE" w:rsidR="007F5ADD" w:rsidRDefault="007F5ADD" w:rsidP="001D3085">
      <w:pPr>
        <w:pStyle w:val="Overskrift6"/>
        <w:spacing w:after="0"/>
        <w:rPr>
          <w:rFonts w:eastAsiaTheme="minorHAnsi" w:cstheme="minorBidi"/>
        </w:rPr>
      </w:pPr>
      <w:r w:rsidRPr="005B7683">
        <w:rPr>
          <w:rFonts w:ascii="Palatino Linotype" w:eastAsiaTheme="minorHAnsi" w:hAnsi="Palatino Linotype" w:cstheme="minorBidi"/>
        </w:rPr>
        <w:t xml:space="preserve">Figure </w:t>
      </w:r>
      <w:r w:rsidR="00F342B6" w:rsidRPr="005B7683">
        <w:rPr>
          <w:rFonts w:ascii="Palatino Linotype" w:eastAsiaTheme="minorHAnsi" w:hAnsi="Palatino Linotype" w:cstheme="minorBidi"/>
        </w:rPr>
        <w:t>S</w:t>
      </w:r>
      <w:r w:rsidRPr="005B7683">
        <w:rPr>
          <w:rFonts w:ascii="Palatino Linotype" w:eastAsiaTheme="minorHAnsi" w:hAnsi="Palatino Linotype" w:cstheme="minorBidi"/>
        </w:rPr>
        <w:t xml:space="preserve">1. Chronological overview </w:t>
      </w:r>
      <w:r w:rsidR="000F4A96" w:rsidRPr="005B7683">
        <w:rPr>
          <w:rFonts w:ascii="Palatino Linotype" w:eastAsiaTheme="minorHAnsi" w:hAnsi="Palatino Linotype" w:cstheme="minorBidi"/>
        </w:rPr>
        <w:t>of</w:t>
      </w:r>
      <w:r w:rsidR="00B80B10" w:rsidRPr="005B7683">
        <w:rPr>
          <w:rFonts w:ascii="Palatino Linotype" w:eastAsiaTheme="minorHAnsi" w:hAnsi="Palatino Linotype" w:cstheme="minorBidi"/>
        </w:rPr>
        <w:t xml:space="preserve"> health care contacts and social events</w:t>
      </w:r>
    </w:p>
    <w:p w14:paraId="234DB85A" w14:textId="77777777" w:rsidR="001D3085" w:rsidRPr="001D3085" w:rsidRDefault="001D3085" w:rsidP="001D3085">
      <w:pPr>
        <w:rPr>
          <w:lang w:val="en-GB"/>
        </w:rPr>
      </w:pPr>
    </w:p>
    <w:p w14:paraId="331CA999" w14:textId="15705890" w:rsidR="007F5ADD" w:rsidRPr="00B80B10" w:rsidRDefault="001F675B" w:rsidP="007F5ADD">
      <w:pPr>
        <w:spacing w:line="360" w:lineRule="auto"/>
        <w:rPr>
          <w:lang w:val="en-GB"/>
        </w:rPr>
      </w:pPr>
      <w:r w:rsidRPr="001D3085">
        <w:rPr>
          <w:noProof/>
          <w:bdr w:val="single" w:sz="4" w:space="0" w:color="auto"/>
          <w:lang w:eastAsia="da-DK"/>
        </w:rPr>
        <w:drawing>
          <wp:inline distT="0" distB="0" distL="0" distR="0" wp14:anchorId="4150BAB7" wp14:editId="716E9E19">
            <wp:extent cx="8908518" cy="442452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380" cy="4429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0B10" w:rsidRPr="005B7683">
        <w:rPr>
          <w:rFonts w:ascii="Palatino Linotype" w:hAnsi="Palatino Linotype"/>
          <w:sz w:val="16"/>
          <w:szCs w:val="16"/>
          <w:lang w:val="en-GB"/>
        </w:rPr>
        <w:t>GP: general practitioner; MRI: Magnetic Resonance Imaging</w:t>
      </w:r>
    </w:p>
    <w:p w14:paraId="6DA319D6" w14:textId="77777777" w:rsidR="007F5ADD" w:rsidRPr="00B80B10" w:rsidRDefault="007F5ADD" w:rsidP="007F5ADD">
      <w:pPr>
        <w:pStyle w:val="Ingenafstand"/>
        <w:spacing w:line="360" w:lineRule="auto"/>
        <w:rPr>
          <w:lang w:val="en-GB"/>
        </w:rPr>
      </w:pPr>
    </w:p>
    <w:p w14:paraId="25231CFB" w14:textId="77777777" w:rsidR="00E74766" w:rsidRPr="005B7683" w:rsidRDefault="00E74766" w:rsidP="005B7683">
      <w:pPr>
        <w:pStyle w:val="Ingenafstand"/>
        <w:spacing w:after="160" w:line="360" w:lineRule="auto"/>
        <w:rPr>
          <w:rFonts w:eastAsiaTheme="majorEastAsia" w:cstheme="majorBidi"/>
          <w:lang w:val="en-GB"/>
        </w:rPr>
      </w:pPr>
    </w:p>
    <w:p w14:paraId="0D799A75" w14:textId="31D59DE3" w:rsidR="00F342B6" w:rsidRPr="00B80B10" w:rsidRDefault="00F342B6">
      <w:pPr>
        <w:spacing w:after="160"/>
        <w:rPr>
          <w:rFonts w:eastAsiaTheme="majorEastAsia" w:cstheme="majorBidi"/>
          <w:lang w:val="en-GB"/>
        </w:rPr>
      </w:pPr>
    </w:p>
    <w:p w14:paraId="4F1B94EF" w14:textId="70A3E898" w:rsidR="00E74766" w:rsidRPr="005B7683" w:rsidRDefault="00E74766" w:rsidP="001D3085">
      <w:pPr>
        <w:pStyle w:val="Overskrift6"/>
        <w:rPr>
          <w:rFonts w:ascii="Palatino Linotype" w:hAnsi="Palatino Linotype"/>
        </w:rPr>
      </w:pPr>
      <w:r w:rsidRPr="005B7683">
        <w:rPr>
          <w:rFonts w:ascii="Palatino Linotype" w:hAnsi="Palatino Linotype"/>
        </w:rPr>
        <w:t>Figur</w:t>
      </w:r>
      <w:r w:rsidR="00F342B6" w:rsidRPr="005B7683">
        <w:rPr>
          <w:rFonts w:ascii="Palatino Linotype" w:hAnsi="Palatino Linotype"/>
        </w:rPr>
        <w:t>e</w:t>
      </w:r>
      <w:r w:rsidRPr="005B7683">
        <w:rPr>
          <w:rFonts w:ascii="Palatino Linotype" w:hAnsi="Palatino Linotype"/>
        </w:rPr>
        <w:t xml:space="preserve"> </w:t>
      </w:r>
      <w:r w:rsidR="00F342B6" w:rsidRPr="005B7683">
        <w:rPr>
          <w:rFonts w:ascii="Palatino Linotype" w:hAnsi="Palatino Linotype"/>
        </w:rPr>
        <w:t>S</w:t>
      </w:r>
      <w:r w:rsidRPr="005B7683">
        <w:rPr>
          <w:rFonts w:ascii="Palatino Linotype" w:hAnsi="Palatino Linotype"/>
        </w:rPr>
        <w:t xml:space="preserve">2 </w:t>
      </w:r>
      <w:r w:rsidR="00F342B6" w:rsidRPr="005B7683">
        <w:rPr>
          <w:rFonts w:ascii="Palatino Linotype" w:hAnsi="Palatino Linotype"/>
        </w:rPr>
        <w:t>Experience of assessment</w:t>
      </w:r>
      <w:r w:rsidR="006F7291" w:rsidRPr="005B7683">
        <w:rPr>
          <w:rFonts w:ascii="Palatino Linotype" w:hAnsi="Palatino Linotype"/>
        </w:rPr>
        <w:t xml:space="preserve"> divided by randomization group</w:t>
      </w:r>
      <w:r w:rsidR="00F342B6" w:rsidRPr="005B7683">
        <w:rPr>
          <w:rFonts w:ascii="Palatino Linotype" w:hAnsi="Palatino Linotype"/>
        </w:rPr>
        <w:t xml:space="preserve"> </w:t>
      </w:r>
    </w:p>
    <w:p w14:paraId="46248915" w14:textId="6019F15F" w:rsidR="00890A5B" w:rsidRDefault="00E74766" w:rsidP="00F342B6">
      <w:pPr>
        <w:spacing w:after="160"/>
        <w:rPr>
          <w:lang w:val="en-GB"/>
        </w:rPr>
      </w:pPr>
      <w:r>
        <w:rPr>
          <w:noProof/>
          <w:lang w:eastAsia="da-DK"/>
        </w:rPr>
        <w:drawing>
          <wp:inline distT="0" distB="0" distL="0" distR="0" wp14:anchorId="431E6B24" wp14:editId="6EF5513E">
            <wp:extent cx="8726797" cy="498667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348" cy="50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032E84" w14:textId="77777777" w:rsidR="002E555C" w:rsidRPr="005B7683" w:rsidRDefault="002E555C" w:rsidP="002E555C">
      <w:pPr>
        <w:pStyle w:val="Ingenafstand"/>
        <w:rPr>
          <w:rFonts w:ascii="Palatino Linotype" w:eastAsiaTheme="majorEastAsia" w:hAnsi="Palatino Linotype" w:cstheme="minorHAnsi"/>
          <w:sz w:val="16"/>
          <w:szCs w:val="16"/>
          <w:lang w:val="en-GB"/>
        </w:rPr>
      </w:pPr>
      <w:r w:rsidRPr="005B7683">
        <w:rPr>
          <w:rFonts w:ascii="Palatino Linotype" w:eastAsiaTheme="majorEastAsia" w:hAnsi="Palatino Linotype" w:cstheme="minorHAnsi"/>
          <w:sz w:val="16"/>
          <w:szCs w:val="16"/>
          <w:lang w:val="en-GB"/>
        </w:rPr>
        <w:t>Numbers in figure represent percentage</w:t>
      </w:r>
    </w:p>
    <w:p w14:paraId="4B224905" w14:textId="632FB076" w:rsidR="00F342B6" w:rsidRPr="00F342B6" w:rsidRDefault="00EB7552" w:rsidP="00F342B6">
      <w:pPr>
        <w:spacing w:line="240" w:lineRule="auto"/>
        <w:rPr>
          <w:rFonts w:eastAsiaTheme="majorEastAsia" w:cstheme="majorBidi"/>
          <w:lang w:val="en-GB"/>
        </w:rPr>
        <w:sectPr w:rsidR="00F342B6" w:rsidRPr="00F342B6" w:rsidSect="001F675B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  <w:r w:rsidRPr="005B7683">
        <w:rPr>
          <w:rFonts w:ascii="Palatino Linotype" w:eastAsiaTheme="majorEastAsia" w:hAnsi="Palatino Linotype" w:cstheme="minorHAnsi"/>
          <w:sz w:val="16"/>
          <w:szCs w:val="16"/>
          <w:lang w:val="en-GB"/>
        </w:rPr>
        <w:t>AHEAD n=41 (missing n=3)</w:t>
      </w:r>
      <w:r w:rsidR="002E555C" w:rsidRPr="005B7683">
        <w:rPr>
          <w:rFonts w:ascii="Palatino Linotype" w:eastAsiaTheme="majorEastAsia" w:hAnsi="Palatino Linotype" w:cstheme="minorHAnsi"/>
          <w:sz w:val="16"/>
          <w:szCs w:val="16"/>
          <w:lang w:val="en-GB"/>
        </w:rPr>
        <w:t xml:space="preserve">, </w:t>
      </w:r>
      <w:r w:rsidR="00F342B6" w:rsidRPr="005B7683">
        <w:rPr>
          <w:rFonts w:ascii="Palatino Linotype" w:eastAsiaTheme="majorEastAsia" w:hAnsi="Palatino Linotype" w:cstheme="minorHAnsi"/>
          <w:sz w:val="16"/>
          <w:szCs w:val="16"/>
          <w:lang w:val="en-GB"/>
        </w:rPr>
        <w:t>EUC n=47</w:t>
      </w:r>
      <w:r w:rsidRPr="005B7683">
        <w:rPr>
          <w:rFonts w:ascii="Palatino Linotype" w:eastAsiaTheme="majorEastAsia" w:hAnsi="Palatino Linotype" w:cstheme="minorHAnsi"/>
          <w:sz w:val="16"/>
          <w:szCs w:val="16"/>
          <w:lang w:val="en-GB"/>
        </w:rPr>
        <w:t xml:space="preserve"> (missing n=0)</w:t>
      </w:r>
    </w:p>
    <w:p w14:paraId="7460C1D6" w14:textId="7AD024EB" w:rsidR="00890A5B" w:rsidRPr="00BC3AC5" w:rsidRDefault="00890A5B" w:rsidP="00D650D0">
      <w:pPr>
        <w:pStyle w:val="Kommentartekst"/>
        <w:rPr>
          <w:rFonts w:ascii="Palatino Linotype" w:hAnsi="Palatino Linotype"/>
          <w:b/>
          <w:lang w:val="en-GB"/>
        </w:rPr>
      </w:pPr>
      <w:r w:rsidRPr="00BC3AC5">
        <w:rPr>
          <w:rFonts w:ascii="Palatino Linotype" w:hAnsi="Palatino Linotype"/>
          <w:b/>
          <w:lang w:val="en-GB"/>
        </w:rPr>
        <w:lastRenderedPageBreak/>
        <w:t>Tabl</w:t>
      </w:r>
      <w:bookmarkStart w:id="0" w:name="_GoBack"/>
      <w:bookmarkEnd w:id="0"/>
      <w:r w:rsidRPr="00BC3AC5">
        <w:rPr>
          <w:rFonts w:ascii="Palatino Linotype" w:hAnsi="Palatino Linotype"/>
          <w:b/>
          <w:lang w:val="en-GB"/>
        </w:rPr>
        <w:t xml:space="preserve">e S1 </w:t>
      </w:r>
      <w:r w:rsidR="00460563" w:rsidRPr="00BC3AC5">
        <w:rPr>
          <w:rFonts w:ascii="Palatino Linotype" w:hAnsi="Palatino Linotype"/>
          <w:b/>
          <w:lang w:val="en-GB"/>
        </w:rPr>
        <w:t>Mean and SD at T0 and T1</w:t>
      </w:r>
    </w:p>
    <w:p w14:paraId="6C06DFAE" w14:textId="77777777" w:rsidR="004B75CF" w:rsidRPr="004B75CF" w:rsidRDefault="004B75CF" w:rsidP="00D650D0">
      <w:pPr>
        <w:pStyle w:val="Kommentartekst"/>
        <w:rPr>
          <w:b/>
          <w:lang w:val="en-GB"/>
        </w:rPr>
      </w:pPr>
    </w:p>
    <w:tbl>
      <w:tblPr>
        <w:tblStyle w:val="Almindeligtabel2"/>
        <w:tblW w:w="14312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6E4AE6" w:rsidRPr="005B7683" w14:paraId="74C7A481" w14:textId="625717FE" w:rsidTr="000E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C4D06B" w14:textId="77777777" w:rsidR="006E4AE6" w:rsidRPr="006E4AE6" w:rsidRDefault="006E4AE6" w:rsidP="00D56F88">
            <w:pPr>
              <w:pStyle w:val="Ingenafstand"/>
              <w:rPr>
                <w:rFonts w:ascii="Palatino Linotype" w:hAnsi="Palatino Linotype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14:paraId="5D7C61DA" w14:textId="77777777" w:rsidR="006E4AE6" w:rsidRPr="006E4AE6" w:rsidRDefault="006E4AE6" w:rsidP="00D56F88">
            <w:pPr>
              <w:pStyle w:val="Ing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2302" w:type="dxa"/>
            <w:gridSpan w:val="2"/>
          </w:tcPr>
          <w:p w14:paraId="5521EA5F" w14:textId="63D6F35D" w:rsidR="006E4AE6" w:rsidRPr="006E4AE6" w:rsidRDefault="006E4AE6" w:rsidP="00D56F88">
            <w:pPr>
              <w:pStyle w:val="Listeafsni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bCs w:val="0"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 w:val="0"/>
                <w:sz w:val="18"/>
                <w:szCs w:val="18"/>
              </w:rPr>
              <w:t>AHEAD (T0)</w:t>
            </w:r>
          </w:p>
        </w:tc>
        <w:tc>
          <w:tcPr>
            <w:tcW w:w="2302" w:type="dxa"/>
            <w:gridSpan w:val="2"/>
          </w:tcPr>
          <w:p w14:paraId="3191EF82" w14:textId="25032E26" w:rsidR="006E4AE6" w:rsidRPr="006E4AE6" w:rsidRDefault="006E4AE6" w:rsidP="00D56F88">
            <w:pPr>
              <w:pStyle w:val="Listeafsni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 w:val="0"/>
                <w:sz w:val="18"/>
                <w:szCs w:val="18"/>
              </w:rPr>
              <w:t>AHEAD (T1)</w:t>
            </w:r>
          </w:p>
        </w:tc>
        <w:tc>
          <w:tcPr>
            <w:tcW w:w="2302" w:type="dxa"/>
            <w:gridSpan w:val="2"/>
          </w:tcPr>
          <w:p w14:paraId="42404F9A" w14:textId="472A4676" w:rsidR="006E4AE6" w:rsidRPr="006E4AE6" w:rsidRDefault="006E4AE6" w:rsidP="00D56F88">
            <w:pPr>
              <w:pStyle w:val="Listeafsni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 w:val="0"/>
                <w:sz w:val="18"/>
                <w:szCs w:val="18"/>
              </w:rPr>
              <w:t>EUC (T0)</w:t>
            </w:r>
          </w:p>
        </w:tc>
        <w:tc>
          <w:tcPr>
            <w:tcW w:w="2303" w:type="dxa"/>
            <w:gridSpan w:val="2"/>
          </w:tcPr>
          <w:p w14:paraId="383AA91A" w14:textId="1A510BDB" w:rsidR="006E4AE6" w:rsidRPr="006E4AE6" w:rsidRDefault="006E4AE6" w:rsidP="00D56F88">
            <w:pPr>
              <w:pStyle w:val="Listeafsni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 w:val="0"/>
                <w:sz w:val="18"/>
                <w:szCs w:val="18"/>
              </w:rPr>
              <w:t>EUC (T1)</w:t>
            </w:r>
          </w:p>
        </w:tc>
      </w:tr>
      <w:tr w:rsidR="006E4AE6" w:rsidRPr="005B7683" w14:paraId="4B770953" w14:textId="1C579607" w:rsidTr="000E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C626E5B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14:paraId="67309A9C" w14:textId="77777777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4EA82EC2" w14:textId="2B3A16F8" w:rsidR="006E4AE6" w:rsidRPr="006E4AE6" w:rsidRDefault="006E4AE6" w:rsidP="006E4AE6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/>
                <w:sz w:val="18"/>
                <w:szCs w:val="18"/>
              </w:rPr>
              <w:t>Mean</w:t>
            </w:r>
          </w:p>
        </w:tc>
        <w:tc>
          <w:tcPr>
            <w:tcW w:w="1151" w:type="dxa"/>
          </w:tcPr>
          <w:p w14:paraId="2516AB62" w14:textId="34244B7A" w:rsidR="006E4AE6" w:rsidRPr="006E4AE6" w:rsidRDefault="006E4AE6" w:rsidP="006E4AE6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/>
                <w:sz w:val="18"/>
                <w:szCs w:val="18"/>
              </w:rPr>
              <w:t>SD</w:t>
            </w:r>
          </w:p>
        </w:tc>
        <w:tc>
          <w:tcPr>
            <w:tcW w:w="1151" w:type="dxa"/>
          </w:tcPr>
          <w:p w14:paraId="48E55D3A" w14:textId="1C542CDA" w:rsidR="006E4AE6" w:rsidRPr="006E4AE6" w:rsidRDefault="006E4AE6" w:rsidP="006E4AE6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/>
                <w:sz w:val="18"/>
                <w:szCs w:val="18"/>
              </w:rPr>
              <w:t xml:space="preserve">Mean </w:t>
            </w:r>
          </w:p>
        </w:tc>
        <w:tc>
          <w:tcPr>
            <w:tcW w:w="1151" w:type="dxa"/>
          </w:tcPr>
          <w:p w14:paraId="37CAFB85" w14:textId="76E0D01A" w:rsidR="006E4AE6" w:rsidRPr="006E4AE6" w:rsidRDefault="006E4AE6" w:rsidP="006E4AE6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sz w:val="18"/>
                <w:szCs w:val="18"/>
              </w:rPr>
              <w:t>SD</w:t>
            </w:r>
          </w:p>
        </w:tc>
        <w:tc>
          <w:tcPr>
            <w:tcW w:w="1151" w:type="dxa"/>
          </w:tcPr>
          <w:p w14:paraId="543FD3D4" w14:textId="469E08F8" w:rsidR="006E4AE6" w:rsidRPr="006E4AE6" w:rsidRDefault="006E4AE6" w:rsidP="006E4AE6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/>
                <w:sz w:val="18"/>
                <w:szCs w:val="18"/>
              </w:rPr>
              <w:t>Mean</w:t>
            </w:r>
          </w:p>
        </w:tc>
        <w:tc>
          <w:tcPr>
            <w:tcW w:w="1151" w:type="dxa"/>
          </w:tcPr>
          <w:p w14:paraId="2FAE4D93" w14:textId="56ADE365" w:rsidR="006E4AE6" w:rsidRPr="006E4AE6" w:rsidRDefault="006E4AE6" w:rsidP="006E4AE6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/>
                <w:sz w:val="18"/>
                <w:szCs w:val="18"/>
              </w:rPr>
              <w:t>SD</w:t>
            </w:r>
          </w:p>
        </w:tc>
        <w:tc>
          <w:tcPr>
            <w:tcW w:w="1151" w:type="dxa"/>
          </w:tcPr>
          <w:p w14:paraId="71B99F72" w14:textId="1CB12E09" w:rsidR="006E4AE6" w:rsidRPr="006E4AE6" w:rsidRDefault="006E4AE6" w:rsidP="006E4AE6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bCs/>
                <w:sz w:val="18"/>
                <w:szCs w:val="18"/>
              </w:rPr>
              <w:t xml:space="preserve">Mean </w:t>
            </w:r>
          </w:p>
        </w:tc>
        <w:tc>
          <w:tcPr>
            <w:tcW w:w="1152" w:type="dxa"/>
          </w:tcPr>
          <w:p w14:paraId="7926D83D" w14:textId="74681D70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sz w:val="18"/>
                <w:szCs w:val="18"/>
              </w:rPr>
            </w:pPr>
            <w:r w:rsidRPr="006E4AE6">
              <w:rPr>
                <w:rFonts w:ascii="Palatino Linotype" w:hAnsi="Palatino Linotype" w:cstheme="minorHAnsi"/>
                <w:sz w:val="18"/>
                <w:szCs w:val="18"/>
              </w:rPr>
              <w:t>SD</w:t>
            </w:r>
          </w:p>
        </w:tc>
      </w:tr>
      <w:tr w:rsidR="006E4AE6" w:rsidRPr="005B7683" w14:paraId="6E9A9CE1" w14:textId="4E7F3272" w:rsidTr="000E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5A79A73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sz w:val="18"/>
                <w:szCs w:val="18"/>
                <w:lang w:val="en-GB"/>
              </w:rPr>
              <w:t>Primary outcome</w:t>
            </w:r>
          </w:p>
        </w:tc>
        <w:tc>
          <w:tcPr>
            <w:tcW w:w="2409" w:type="dxa"/>
          </w:tcPr>
          <w:p w14:paraId="59DCE719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3E58EBAD" w14:textId="7777777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2E108949" w14:textId="5F4D94F9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1A18597E" w14:textId="7777777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3FDE47C9" w14:textId="2236599B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074D1A80" w14:textId="011FE69A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33FE601D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369A2F4D" w14:textId="165CF5C4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</w:tcPr>
          <w:p w14:paraId="058000F0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</w:tr>
      <w:tr w:rsidR="006E4AE6" w:rsidRPr="005B7683" w14:paraId="783846F5" w14:textId="3D10919B" w:rsidTr="000E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8163A4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  <w:t>Physical health</w:t>
            </w:r>
          </w:p>
        </w:tc>
        <w:tc>
          <w:tcPr>
            <w:tcW w:w="2409" w:type="dxa"/>
          </w:tcPr>
          <w:p w14:paraId="4AD866D1" w14:textId="77777777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sz w:val="18"/>
                <w:szCs w:val="18"/>
                <w:lang w:val="en-GB"/>
              </w:rPr>
              <w:t>SF-36 (15-65)</w:t>
            </w:r>
          </w:p>
        </w:tc>
        <w:tc>
          <w:tcPr>
            <w:tcW w:w="1151" w:type="dxa"/>
          </w:tcPr>
          <w:p w14:paraId="24A94860" w14:textId="3FD36D4A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36.58</w:t>
            </w:r>
          </w:p>
        </w:tc>
        <w:tc>
          <w:tcPr>
            <w:tcW w:w="1151" w:type="dxa"/>
          </w:tcPr>
          <w:p w14:paraId="125A0868" w14:textId="5317FAAA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5.83</w:t>
            </w:r>
          </w:p>
        </w:tc>
        <w:tc>
          <w:tcPr>
            <w:tcW w:w="1151" w:type="dxa"/>
          </w:tcPr>
          <w:p w14:paraId="027DB691" w14:textId="64496994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36.43</w:t>
            </w:r>
          </w:p>
        </w:tc>
        <w:tc>
          <w:tcPr>
            <w:tcW w:w="1151" w:type="dxa"/>
          </w:tcPr>
          <w:p w14:paraId="11FB1E0A" w14:textId="299C6C82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6.71</w:t>
            </w:r>
          </w:p>
        </w:tc>
        <w:tc>
          <w:tcPr>
            <w:tcW w:w="1151" w:type="dxa"/>
          </w:tcPr>
          <w:p w14:paraId="04C8BD95" w14:textId="4D74B972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37.10</w:t>
            </w:r>
          </w:p>
        </w:tc>
        <w:tc>
          <w:tcPr>
            <w:tcW w:w="1151" w:type="dxa"/>
          </w:tcPr>
          <w:p w14:paraId="241DA24C" w14:textId="7E5DC835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7.79</w:t>
            </w:r>
          </w:p>
        </w:tc>
        <w:tc>
          <w:tcPr>
            <w:tcW w:w="1151" w:type="dxa"/>
          </w:tcPr>
          <w:p w14:paraId="56B278C7" w14:textId="4194A6EC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38.48</w:t>
            </w:r>
          </w:p>
        </w:tc>
        <w:tc>
          <w:tcPr>
            <w:tcW w:w="1152" w:type="dxa"/>
          </w:tcPr>
          <w:p w14:paraId="084D9963" w14:textId="7A627163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6.82</w:t>
            </w:r>
          </w:p>
        </w:tc>
      </w:tr>
      <w:tr w:rsidR="006E4AE6" w:rsidRPr="005B7683" w14:paraId="54F46CED" w14:textId="2E824873" w:rsidTr="000E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2071BD8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sz w:val="18"/>
                <w:szCs w:val="18"/>
              </w:rPr>
              <w:t>Secondary outcomes</w:t>
            </w:r>
          </w:p>
        </w:tc>
        <w:tc>
          <w:tcPr>
            <w:tcW w:w="2409" w:type="dxa"/>
          </w:tcPr>
          <w:p w14:paraId="05C3E43F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7657BC91" w14:textId="7777777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014CB153" w14:textId="0D4A4C24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1F009C9B" w14:textId="7777777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6E72ABFB" w14:textId="2BD17EF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057F2AC4" w14:textId="69BC0E04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7A985D5E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2B850184" w14:textId="1A8BEFE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152" w:type="dxa"/>
          </w:tcPr>
          <w:p w14:paraId="0247F05A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</w:tr>
      <w:tr w:rsidR="006E4AE6" w:rsidRPr="005B7683" w14:paraId="4EB7AAF1" w14:textId="56F07016" w:rsidTr="000E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003A6AD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t>Symptom severity</w:t>
            </w:r>
          </w:p>
        </w:tc>
        <w:tc>
          <w:tcPr>
            <w:tcW w:w="2409" w:type="dxa"/>
          </w:tcPr>
          <w:p w14:paraId="671E07DF" w14:textId="77777777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SCL-som (0-4)</w:t>
            </w:r>
          </w:p>
        </w:tc>
        <w:tc>
          <w:tcPr>
            <w:tcW w:w="1151" w:type="dxa"/>
          </w:tcPr>
          <w:p w14:paraId="145E68BF" w14:textId="600370BC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2.01</w:t>
            </w:r>
          </w:p>
        </w:tc>
        <w:tc>
          <w:tcPr>
            <w:tcW w:w="1151" w:type="dxa"/>
          </w:tcPr>
          <w:p w14:paraId="5F06BD0F" w14:textId="4E8DC825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0.74</w:t>
            </w:r>
          </w:p>
        </w:tc>
        <w:tc>
          <w:tcPr>
            <w:tcW w:w="1151" w:type="dxa"/>
          </w:tcPr>
          <w:p w14:paraId="7DE3C4F8" w14:textId="6F64506B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1.81</w:t>
            </w:r>
          </w:p>
        </w:tc>
        <w:tc>
          <w:tcPr>
            <w:tcW w:w="1151" w:type="dxa"/>
          </w:tcPr>
          <w:p w14:paraId="746D3B36" w14:textId="70FB82D4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0.63</w:t>
            </w:r>
          </w:p>
        </w:tc>
        <w:tc>
          <w:tcPr>
            <w:tcW w:w="1151" w:type="dxa"/>
          </w:tcPr>
          <w:p w14:paraId="1AF1DD57" w14:textId="403CB80A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1.81</w:t>
            </w:r>
          </w:p>
        </w:tc>
        <w:tc>
          <w:tcPr>
            <w:tcW w:w="1151" w:type="dxa"/>
          </w:tcPr>
          <w:p w14:paraId="4BC513A5" w14:textId="382C749E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0.81</w:t>
            </w:r>
          </w:p>
        </w:tc>
        <w:tc>
          <w:tcPr>
            <w:tcW w:w="1151" w:type="dxa"/>
          </w:tcPr>
          <w:p w14:paraId="6972AACA" w14:textId="087DC040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1.67</w:t>
            </w:r>
          </w:p>
        </w:tc>
        <w:tc>
          <w:tcPr>
            <w:tcW w:w="1152" w:type="dxa"/>
          </w:tcPr>
          <w:p w14:paraId="4FB54EE3" w14:textId="3545CB6E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0.69</w:t>
            </w:r>
          </w:p>
        </w:tc>
      </w:tr>
      <w:tr w:rsidR="006E4AE6" w:rsidRPr="005B7683" w14:paraId="23D654FB" w14:textId="2EBA731E" w:rsidTr="000E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725B318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  <w:t>Illness worry</w:t>
            </w:r>
          </w:p>
        </w:tc>
        <w:tc>
          <w:tcPr>
            <w:tcW w:w="2409" w:type="dxa"/>
          </w:tcPr>
          <w:p w14:paraId="7C548DDC" w14:textId="3A2389EE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Whiteley-6-R (0-4)</w:t>
            </w:r>
          </w:p>
        </w:tc>
        <w:tc>
          <w:tcPr>
            <w:tcW w:w="1151" w:type="dxa"/>
          </w:tcPr>
          <w:p w14:paraId="63D44700" w14:textId="07C06A71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1.62</w:t>
            </w:r>
          </w:p>
        </w:tc>
        <w:tc>
          <w:tcPr>
            <w:tcW w:w="1151" w:type="dxa"/>
          </w:tcPr>
          <w:p w14:paraId="49C0B8A7" w14:textId="2D0777C5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1.15</w:t>
            </w:r>
          </w:p>
        </w:tc>
        <w:tc>
          <w:tcPr>
            <w:tcW w:w="1151" w:type="dxa"/>
          </w:tcPr>
          <w:p w14:paraId="290267C6" w14:textId="766E0A29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1.03</w:t>
            </w:r>
          </w:p>
        </w:tc>
        <w:tc>
          <w:tcPr>
            <w:tcW w:w="1151" w:type="dxa"/>
          </w:tcPr>
          <w:p w14:paraId="231F7FAB" w14:textId="7BD6E36B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0.97</w:t>
            </w:r>
          </w:p>
        </w:tc>
        <w:tc>
          <w:tcPr>
            <w:tcW w:w="1151" w:type="dxa"/>
          </w:tcPr>
          <w:p w14:paraId="3678FEA2" w14:textId="1D856FD2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1.71</w:t>
            </w:r>
          </w:p>
        </w:tc>
        <w:tc>
          <w:tcPr>
            <w:tcW w:w="1151" w:type="dxa"/>
          </w:tcPr>
          <w:p w14:paraId="5ACD5083" w14:textId="75CB85BF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1.06</w:t>
            </w:r>
          </w:p>
        </w:tc>
        <w:tc>
          <w:tcPr>
            <w:tcW w:w="1151" w:type="dxa"/>
          </w:tcPr>
          <w:p w14:paraId="2986F202" w14:textId="48E3C788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1152" w:type="dxa"/>
          </w:tcPr>
          <w:p w14:paraId="1408CEBB" w14:textId="2F8D7CAF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0.89</w:t>
            </w:r>
          </w:p>
        </w:tc>
      </w:tr>
      <w:tr w:rsidR="006E4AE6" w:rsidRPr="005B7683" w14:paraId="0D9F8722" w14:textId="23EED415" w:rsidTr="000E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086F553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  <w:t>Mental health</w:t>
            </w:r>
          </w:p>
        </w:tc>
        <w:tc>
          <w:tcPr>
            <w:tcW w:w="2409" w:type="dxa"/>
          </w:tcPr>
          <w:p w14:paraId="047E70AF" w14:textId="77777777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SF-36 MCS</w:t>
            </w:r>
          </w:p>
        </w:tc>
        <w:tc>
          <w:tcPr>
            <w:tcW w:w="1151" w:type="dxa"/>
          </w:tcPr>
          <w:p w14:paraId="6B2A3202" w14:textId="74030DFB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35.66</w:t>
            </w:r>
          </w:p>
        </w:tc>
        <w:tc>
          <w:tcPr>
            <w:tcW w:w="1151" w:type="dxa"/>
          </w:tcPr>
          <w:p w14:paraId="105958BF" w14:textId="6F26C165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16.49</w:t>
            </w:r>
          </w:p>
        </w:tc>
        <w:tc>
          <w:tcPr>
            <w:tcW w:w="1151" w:type="dxa"/>
          </w:tcPr>
          <w:p w14:paraId="184EC983" w14:textId="7688B94F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37.57</w:t>
            </w:r>
          </w:p>
        </w:tc>
        <w:tc>
          <w:tcPr>
            <w:tcW w:w="1151" w:type="dxa"/>
          </w:tcPr>
          <w:p w14:paraId="3DAEBF74" w14:textId="7DDF68FE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15.17</w:t>
            </w:r>
          </w:p>
        </w:tc>
        <w:tc>
          <w:tcPr>
            <w:tcW w:w="1151" w:type="dxa"/>
          </w:tcPr>
          <w:p w14:paraId="02FD56FC" w14:textId="0A717554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35.80</w:t>
            </w:r>
          </w:p>
        </w:tc>
        <w:tc>
          <w:tcPr>
            <w:tcW w:w="1151" w:type="dxa"/>
          </w:tcPr>
          <w:p w14:paraId="4BFEA690" w14:textId="1E28C1AA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11.75</w:t>
            </w:r>
          </w:p>
        </w:tc>
        <w:tc>
          <w:tcPr>
            <w:tcW w:w="1151" w:type="dxa"/>
          </w:tcPr>
          <w:p w14:paraId="2B67E525" w14:textId="78B6F1FE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36.57</w:t>
            </w:r>
          </w:p>
        </w:tc>
        <w:tc>
          <w:tcPr>
            <w:tcW w:w="1152" w:type="dxa"/>
          </w:tcPr>
          <w:p w14:paraId="7523555C" w14:textId="039FBCB7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10.64</w:t>
            </w:r>
          </w:p>
        </w:tc>
      </w:tr>
      <w:tr w:rsidR="006E4AE6" w:rsidRPr="005B7683" w14:paraId="7D40AA8B" w14:textId="7FF71C21" w:rsidTr="000E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0FCAFD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Cs w:val="0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sz w:val="18"/>
                <w:szCs w:val="18"/>
                <w:lang w:val="en-GB"/>
              </w:rPr>
              <w:t>Treatment targets</w:t>
            </w:r>
          </w:p>
        </w:tc>
        <w:tc>
          <w:tcPr>
            <w:tcW w:w="2409" w:type="dxa"/>
          </w:tcPr>
          <w:p w14:paraId="44EB291F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7CD1EE3F" w14:textId="7777777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0ED9E4B4" w14:textId="4CCD58BB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7C4AD1B6" w14:textId="7777777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6315C124" w14:textId="21956B87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190A37D2" w14:textId="73F397DC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380C292A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1" w:type="dxa"/>
          </w:tcPr>
          <w:p w14:paraId="4B5788A5" w14:textId="526F75E2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</w:tcPr>
          <w:p w14:paraId="669954DA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</w:p>
        </w:tc>
      </w:tr>
      <w:tr w:rsidR="006E4AE6" w:rsidRPr="005B7683" w14:paraId="56CFC493" w14:textId="697AB56C" w:rsidTr="000E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4DB7EF2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  <w:t>Illness perception</w:t>
            </w:r>
          </w:p>
        </w:tc>
        <w:tc>
          <w:tcPr>
            <w:tcW w:w="2409" w:type="dxa"/>
          </w:tcPr>
          <w:p w14:paraId="63A1EBD8" w14:textId="77777777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B-IPQ (0-80)</w:t>
            </w:r>
          </w:p>
        </w:tc>
        <w:tc>
          <w:tcPr>
            <w:tcW w:w="1151" w:type="dxa"/>
          </w:tcPr>
          <w:p w14:paraId="58223CAF" w14:textId="15C01ABD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52.27</w:t>
            </w:r>
          </w:p>
        </w:tc>
        <w:tc>
          <w:tcPr>
            <w:tcW w:w="1151" w:type="dxa"/>
          </w:tcPr>
          <w:p w14:paraId="00BDDCD9" w14:textId="57D57A20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7.68</w:t>
            </w:r>
          </w:p>
        </w:tc>
        <w:tc>
          <w:tcPr>
            <w:tcW w:w="1151" w:type="dxa"/>
          </w:tcPr>
          <w:p w14:paraId="34ED4554" w14:textId="7639F39F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49.02</w:t>
            </w:r>
          </w:p>
        </w:tc>
        <w:tc>
          <w:tcPr>
            <w:tcW w:w="1151" w:type="dxa"/>
          </w:tcPr>
          <w:p w14:paraId="01B58B1D" w14:textId="7ECBD27A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10.11</w:t>
            </w:r>
          </w:p>
        </w:tc>
        <w:tc>
          <w:tcPr>
            <w:tcW w:w="1151" w:type="dxa"/>
          </w:tcPr>
          <w:p w14:paraId="3473BC86" w14:textId="549F6369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51.37</w:t>
            </w:r>
          </w:p>
        </w:tc>
        <w:tc>
          <w:tcPr>
            <w:tcW w:w="1151" w:type="dxa"/>
          </w:tcPr>
          <w:p w14:paraId="5714258A" w14:textId="26629126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8.07</w:t>
            </w:r>
          </w:p>
        </w:tc>
        <w:tc>
          <w:tcPr>
            <w:tcW w:w="1151" w:type="dxa"/>
          </w:tcPr>
          <w:p w14:paraId="4A0D019B" w14:textId="0D7F09BA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45.98</w:t>
            </w:r>
          </w:p>
        </w:tc>
        <w:tc>
          <w:tcPr>
            <w:tcW w:w="1152" w:type="dxa"/>
          </w:tcPr>
          <w:p w14:paraId="2F510FAB" w14:textId="51B0E74D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9.33</w:t>
            </w:r>
          </w:p>
        </w:tc>
      </w:tr>
      <w:tr w:rsidR="006E4AE6" w:rsidRPr="005B7683" w14:paraId="5AB0E7F1" w14:textId="3A9FCD68" w:rsidTr="000E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BB526C5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  <w:t>Illness-related behaviour</w:t>
            </w:r>
          </w:p>
        </w:tc>
        <w:tc>
          <w:tcPr>
            <w:tcW w:w="2409" w:type="dxa"/>
          </w:tcPr>
          <w:p w14:paraId="6F9D5EEE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BRIQ- All or nothing (6-30)</w:t>
            </w:r>
          </w:p>
        </w:tc>
        <w:tc>
          <w:tcPr>
            <w:tcW w:w="1151" w:type="dxa"/>
          </w:tcPr>
          <w:p w14:paraId="023F57D5" w14:textId="7EFB5598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19.41</w:t>
            </w:r>
          </w:p>
        </w:tc>
        <w:tc>
          <w:tcPr>
            <w:tcW w:w="1151" w:type="dxa"/>
          </w:tcPr>
          <w:p w14:paraId="1453E7E3" w14:textId="4BAF3FCB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4.47</w:t>
            </w:r>
          </w:p>
        </w:tc>
        <w:tc>
          <w:tcPr>
            <w:tcW w:w="1151" w:type="dxa"/>
          </w:tcPr>
          <w:p w14:paraId="6CF28BB9" w14:textId="28441891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18.37</w:t>
            </w:r>
          </w:p>
        </w:tc>
        <w:tc>
          <w:tcPr>
            <w:tcW w:w="1151" w:type="dxa"/>
          </w:tcPr>
          <w:p w14:paraId="0D99F379" w14:textId="6C569C69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5.19</w:t>
            </w:r>
          </w:p>
        </w:tc>
        <w:tc>
          <w:tcPr>
            <w:tcW w:w="1151" w:type="dxa"/>
          </w:tcPr>
          <w:p w14:paraId="269808F7" w14:textId="2CA69474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18.85</w:t>
            </w:r>
          </w:p>
        </w:tc>
        <w:tc>
          <w:tcPr>
            <w:tcW w:w="1151" w:type="dxa"/>
          </w:tcPr>
          <w:p w14:paraId="319CA055" w14:textId="48BE6632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4.78</w:t>
            </w:r>
          </w:p>
        </w:tc>
        <w:tc>
          <w:tcPr>
            <w:tcW w:w="1151" w:type="dxa"/>
          </w:tcPr>
          <w:p w14:paraId="4E551945" w14:textId="1C02F091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18.36</w:t>
            </w:r>
          </w:p>
        </w:tc>
        <w:tc>
          <w:tcPr>
            <w:tcW w:w="1152" w:type="dxa"/>
          </w:tcPr>
          <w:p w14:paraId="5B8C258D" w14:textId="4B5B900A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3.70</w:t>
            </w:r>
          </w:p>
        </w:tc>
      </w:tr>
      <w:tr w:rsidR="006E4AE6" w:rsidRPr="005B7683" w14:paraId="76C42CA3" w14:textId="225686D7" w:rsidTr="000E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FBEF14D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14:paraId="6B3BEE43" w14:textId="77777777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BRIQ- Limiting (7-35)</w:t>
            </w:r>
          </w:p>
        </w:tc>
        <w:tc>
          <w:tcPr>
            <w:tcW w:w="1151" w:type="dxa"/>
          </w:tcPr>
          <w:p w14:paraId="0712D7AA" w14:textId="521AA2D9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23.50</w:t>
            </w:r>
          </w:p>
        </w:tc>
        <w:tc>
          <w:tcPr>
            <w:tcW w:w="1151" w:type="dxa"/>
          </w:tcPr>
          <w:p w14:paraId="29E0033F" w14:textId="1D5C61EE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5.19</w:t>
            </w:r>
          </w:p>
        </w:tc>
        <w:tc>
          <w:tcPr>
            <w:tcW w:w="1151" w:type="dxa"/>
          </w:tcPr>
          <w:p w14:paraId="5201E19F" w14:textId="576F4B9D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22.26</w:t>
            </w:r>
          </w:p>
        </w:tc>
        <w:tc>
          <w:tcPr>
            <w:tcW w:w="1151" w:type="dxa"/>
          </w:tcPr>
          <w:p w14:paraId="2C833C81" w14:textId="51BB5F5B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4.93</w:t>
            </w:r>
          </w:p>
        </w:tc>
        <w:tc>
          <w:tcPr>
            <w:tcW w:w="1151" w:type="dxa"/>
          </w:tcPr>
          <w:p w14:paraId="01CD3A82" w14:textId="661E1E74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23.64</w:t>
            </w:r>
          </w:p>
        </w:tc>
        <w:tc>
          <w:tcPr>
            <w:tcW w:w="1151" w:type="dxa"/>
          </w:tcPr>
          <w:p w14:paraId="394A30AB" w14:textId="2B26DABB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5.48</w:t>
            </w:r>
          </w:p>
        </w:tc>
        <w:tc>
          <w:tcPr>
            <w:tcW w:w="1151" w:type="dxa"/>
          </w:tcPr>
          <w:p w14:paraId="60B6934B" w14:textId="764A454A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22.04</w:t>
            </w:r>
          </w:p>
        </w:tc>
        <w:tc>
          <w:tcPr>
            <w:tcW w:w="1152" w:type="dxa"/>
          </w:tcPr>
          <w:p w14:paraId="7511D2D6" w14:textId="10FEFED6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5.17</w:t>
            </w:r>
          </w:p>
        </w:tc>
      </w:tr>
      <w:tr w:rsidR="006E4AE6" w:rsidRPr="005B7683" w14:paraId="7ABFE1D6" w14:textId="7921F90B" w:rsidTr="000E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EF15795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GB"/>
              </w:rPr>
              <w:t>Psychological inflexibility</w:t>
            </w:r>
          </w:p>
        </w:tc>
        <w:tc>
          <w:tcPr>
            <w:tcW w:w="2409" w:type="dxa"/>
          </w:tcPr>
          <w:p w14:paraId="6BB9DE65" w14:textId="7777777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AFQ-Y</w:t>
            </w: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8 (0-32)</w:t>
            </w:r>
          </w:p>
        </w:tc>
        <w:tc>
          <w:tcPr>
            <w:tcW w:w="1151" w:type="dxa"/>
          </w:tcPr>
          <w:p w14:paraId="0061CBE8" w14:textId="5B792FE3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11.57</w:t>
            </w:r>
          </w:p>
        </w:tc>
        <w:tc>
          <w:tcPr>
            <w:tcW w:w="1151" w:type="dxa"/>
          </w:tcPr>
          <w:p w14:paraId="4048BA66" w14:textId="2682D126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9.20</w:t>
            </w:r>
          </w:p>
        </w:tc>
        <w:tc>
          <w:tcPr>
            <w:tcW w:w="1151" w:type="dxa"/>
          </w:tcPr>
          <w:p w14:paraId="0F37020F" w14:textId="63B4B72D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11.38</w:t>
            </w:r>
          </w:p>
        </w:tc>
        <w:tc>
          <w:tcPr>
            <w:tcW w:w="1151" w:type="dxa"/>
          </w:tcPr>
          <w:p w14:paraId="5783F73E" w14:textId="1C45FF9A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8.46</w:t>
            </w:r>
          </w:p>
        </w:tc>
        <w:tc>
          <w:tcPr>
            <w:tcW w:w="1151" w:type="dxa"/>
          </w:tcPr>
          <w:p w14:paraId="4A7E40DC" w14:textId="41B4FE13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13.34</w:t>
            </w:r>
          </w:p>
        </w:tc>
        <w:tc>
          <w:tcPr>
            <w:tcW w:w="1151" w:type="dxa"/>
          </w:tcPr>
          <w:p w14:paraId="688B1FD8" w14:textId="4B6D7354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7.36</w:t>
            </w:r>
          </w:p>
        </w:tc>
        <w:tc>
          <w:tcPr>
            <w:tcW w:w="1151" w:type="dxa"/>
          </w:tcPr>
          <w:p w14:paraId="70E677F3" w14:textId="66B4A6EA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</w:rPr>
              <w:t>11.97</w:t>
            </w:r>
          </w:p>
        </w:tc>
        <w:tc>
          <w:tcPr>
            <w:tcW w:w="1152" w:type="dxa"/>
          </w:tcPr>
          <w:p w14:paraId="68F66913" w14:textId="7DE2EE7D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7.01</w:t>
            </w:r>
          </w:p>
        </w:tc>
      </w:tr>
      <w:tr w:rsidR="006E4AE6" w:rsidRPr="005B7683" w14:paraId="501DB08D" w14:textId="13474862" w:rsidTr="000E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074DE4F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14:paraId="0E815019" w14:textId="1422DF0C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PIPS- Avoidance (8-56)</w:t>
            </w:r>
          </w:p>
        </w:tc>
        <w:tc>
          <w:tcPr>
            <w:tcW w:w="1151" w:type="dxa"/>
          </w:tcPr>
          <w:p w14:paraId="7B8004BC" w14:textId="3EF10F7A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35.16</w:t>
            </w:r>
          </w:p>
        </w:tc>
        <w:tc>
          <w:tcPr>
            <w:tcW w:w="1151" w:type="dxa"/>
          </w:tcPr>
          <w:p w14:paraId="5A6ACADB" w14:textId="29CD481D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9.97</w:t>
            </w:r>
          </w:p>
        </w:tc>
        <w:tc>
          <w:tcPr>
            <w:tcW w:w="1151" w:type="dxa"/>
          </w:tcPr>
          <w:p w14:paraId="36541954" w14:textId="26E41DD4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31.48</w:t>
            </w:r>
          </w:p>
        </w:tc>
        <w:tc>
          <w:tcPr>
            <w:tcW w:w="1151" w:type="dxa"/>
          </w:tcPr>
          <w:p w14:paraId="2958DA3E" w14:textId="446B6CBE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10.13</w:t>
            </w:r>
          </w:p>
        </w:tc>
        <w:tc>
          <w:tcPr>
            <w:tcW w:w="1151" w:type="dxa"/>
          </w:tcPr>
          <w:p w14:paraId="2E016D45" w14:textId="7CB0E547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34.53</w:t>
            </w:r>
          </w:p>
        </w:tc>
        <w:tc>
          <w:tcPr>
            <w:tcW w:w="1151" w:type="dxa"/>
          </w:tcPr>
          <w:p w14:paraId="07C9BCF2" w14:textId="7DA9FD77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10.98</w:t>
            </w:r>
          </w:p>
        </w:tc>
        <w:tc>
          <w:tcPr>
            <w:tcW w:w="1151" w:type="dxa"/>
          </w:tcPr>
          <w:p w14:paraId="4DF521C7" w14:textId="6D32EDEB" w:rsidR="006E4AE6" w:rsidRPr="006E4AE6" w:rsidRDefault="006E4AE6" w:rsidP="006E4AE6">
            <w:pPr>
              <w:pStyle w:val="Ing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32.30</w:t>
            </w:r>
          </w:p>
        </w:tc>
        <w:tc>
          <w:tcPr>
            <w:tcW w:w="1152" w:type="dxa"/>
          </w:tcPr>
          <w:p w14:paraId="735CE221" w14:textId="0B5E55D6" w:rsidR="006E4AE6" w:rsidRPr="006E4AE6" w:rsidRDefault="006E4AE6" w:rsidP="006E4AE6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10.55</w:t>
            </w:r>
          </w:p>
        </w:tc>
      </w:tr>
      <w:tr w:rsidR="006E4AE6" w:rsidRPr="005B7683" w14:paraId="79927A53" w14:textId="77777777" w:rsidTr="000E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95DBAD8" w14:textId="77777777" w:rsidR="006E4AE6" w:rsidRPr="006E4AE6" w:rsidRDefault="006E4AE6" w:rsidP="006E4AE6">
            <w:pPr>
              <w:pStyle w:val="Ingenafstand"/>
              <w:rPr>
                <w:rFonts w:ascii="Palatino Linotype" w:hAnsi="Palatino Linotype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14:paraId="1BD5D64D" w14:textId="057A3B7A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PIPS- Fusion (4-28)</w:t>
            </w:r>
          </w:p>
        </w:tc>
        <w:tc>
          <w:tcPr>
            <w:tcW w:w="1151" w:type="dxa"/>
          </w:tcPr>
          <w:p w14:paraId="758AF5C0" w14:textId="79E01762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21.93</w:t>
            </w:r>
          </w:p>
        </w:tc>
        <w:tc>
          <w:tcPr>
            <w:tcW w:w="1151" w:type="dxa"/>
          </w:tcPr>
          <w:p w14:paraId="6F02C647" w14:textId="1C25A113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3.88</w:t>
            </w:r>
          </w:p>
        </w:tc>
        <w:tc>
          <w:tcPr>
            <w:tcW w:w="1151" w:type="dxa"/>
          </w:tcPr>
          <w:p w14:paraId="1DA5FA8E" w14:textId="185917BF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21.33</w:t>
            </w:r>
          </w:p>
        </w:tc>
        <w:tc>
          <w:tcPr>
            <w:tcW w:w="1151" w:type="dxa"/>
          </w:tcPr>
          <w:p w14:paraId="6E58E04E" w14:textId="68379EE5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4.84</w:t>
            </w:r>
          </w:p>
        </w:tc>
        <w:tc>
          <w:tcPr>
            <w:tcW w:w="1151" w:type="dxa"/>
          </w:tcPr>
          <w:p w14:paraId="587D71A0" w14:textId="50B94354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22.06</w:t>
            </w:r>
          </w:p>
        </w:tc>
        <w:tc>
          <w:tcPr>
            <w:tcW w:w="1151" w:type="dxa"/>
          </w:tcPr>
          <w:p w14:paraId="5F7CED40" w14:textId="512442D7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4.96</w:t>
            </w:r>
          </w:p>
        </w:tc>
        <w:tc>
          <w:tcPr>
            <w:tcW w:w="1151" w:type="dxa"/>
          </w:tcPr>
          <w:p w14:paraId="5FD6F9AD" w14:textId="00B14220" w:rsidR="006E4AE6" w:rsidRPr="006E4AE6" w:rsidRDefault="006E4AE6" w:rsidP="006E4AE6">
            <w:pPr>
              <w:pStyle w:val="Ing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20.77</w:t>
            </w:r>
          </w:p>
        </w:tc>
        <w:tc>
          <w:tcPr>
            <w:tcW w:w="1152" w:type="dxa"/>
          </w:tcPr>
          <w:p w14:paraId="553551DD" w14:textId="2AB4AE20" w:rsidR="006E4AE6" w:rsidRPr="006E4AE6" w:rsidRDefault="006E4AE6" w:rsidP="006E4AE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</w:pPr>
            <w:r w:rsidRPr="006E4AE6">
              <w:rPr>
                <w:rFonts w:ascii="Palatino Linotype" w:hAnsi="Palatino Linotype"/>
                <w:bCs/>
                <w:sz w:val="18"/>
                <w:szCs w:val="18"/>
                <w:lang w:val="en-GB"/>
              </w:rPr>
              <w:t>5.01</w:t>
            </w:r>
          </w:p>
        </w:tc>
      </w:tr>
    </w:tbl>
    <w:p w14:paraId="53B01FF5" w14:textId="33B0D095" w:rsidR="00890A5B" w:rsidRPr="005B7683" w:rsidRDefault="00890A5B" w:rsidP="00D650D0">
      <w:pPr>
        <w:pStyle w:val="Kommentartekst"/>
        <w:rPr>
          <w:rFonts w:ascii="Palatino Linotype" w:hAnsi="Palatino Linotype" w:cstheme="minorHAnsi"/>
          <w:sz w:val="16"/>
          <w:szCs w:val="16"/>
          <w:lang w:val="en-GB"/>
        </w:rPr>
      </w:pPr>
    </w:p>
    <w:p w14:paraId="7322EE1C" w14:textId="4D45E282" w:rsidR="00890A5B" w:rsidRPr="005B7683" w:rsidRDefault="00180DFC" w:rsidP="00D650D0">
      <w:pPr>
        <w:pStyle w:val="Kommentartekst"/>
        <w:rPr>
          <w:rFonts w:ascii="Palatino Linotype" w:hAnsi="Palatino Linotype" w:cstheme="minorHAnsi"/>
          <w:sz w:val="16"/>
          <w:szCs w:val="16"/>
          <w:lang w:val="en-GB"/>
        </w:rPr>
      </w:pPr>
      <w:r w:rsidRPr="005B7683">
        <w:rPr>
          <w:rFonts w:ascii="Palatino Linotype" w:hAnsi="Palatino Linotype" w:cstheme="minorHAnsi"/>
          <w:sz w:val="16"/>
          <w:szCs w:val="16"/>
          <w:lang w:val="en-GB"/>
        </w:rPr>
        <w:t xml:space="preserve">T0: </w:t>
      </w:r>
      <w:r w:rsidR="00473A8C" w:rsidRPr="005B7683">
        <w:rPr>
          <w:rFonts w:ascii="Palatino Linotype" w:hAnsi="Palatino Linotype" w:cstheme="minorHAnsi"/>
          <w:sz w:val="16"/>
          <w:szCs w:val="16"/>
          <w:lang w:val="en-GB"/>
        </w:rPr>
        <w:t>Questionnaires at baseline</w:t>
      </w:r>
      <w:r w:rsidRPr="005B7683">
        <w:rPr>
          <w:rFonts w:ascii="Palatino Linotype" w:hAnsi="Palatino Linotype" w:cstheme="minorHAnsi"/>
          <w:sz w:val="16"/>
          <w:szCs w:val="16"/>
          <w:lang w:val="en-GB"/>
        </w:rPr>
        <w:t xml:space="preserve"> prior to assessment</w:t>
      </w:r>
    </w:p>
    <w:p w14:paraId="6A208718" w14:textId="28EF1226" w:rsidR="007F5ADD" w:rsidRDefault="00180DFC" w:rsidP="001F675B">
      <w:pPr>
        <w:pStyle w:val="Kommentartekst"/>
        <w:rPr>
          <w:rFonts w:asciiTheme="minorHAnsi" w:hAnsiTheme="minorHAnsi" w:cstheme="minorHAnsi"/>
          <w:lang w:val="en-GB"/>
        </w:rPr>
      </w:pPr>
      <w:r w:rsidRPr="005B7683">
        <w:rPr>
          <w:rFonts w:ascii="Palatino Linotype" w:hAnsi="Palatino Linotype" w:cstheme="minorHAnsi"/>
          <w:sz w:val="16"/>
          <w:szCs w:val="16"/>
          <w:lang w:val="en-GB"/>
        </w:rPr>
        <w:t>T1: Questionnaires at approximately 2 months prior to specialized treatme</w:t>
      </w:r>
      <w:r w:rsidR="001F675B" w:rsidRPr="005B7683">
        <w:rPr>
          <w:rFonts w:ascii="Palatino Linotype" w:hAnsi="Palatino Linotype" w:cstheme="minorHAnsi"/>
          <w:sz w:val="16"/>
          <w:szCs w:val="16"/>
          <w:lang w:val="en-GB"/>
        </w:rPr>
        <w:t>nt</w:t>
      </w:r>
    </w:p>
    <w:p w14:paraId="769816C4" w14:textId="7D40705C" w:rsidR="00D56F88" w:rsidRPr="001F675B" w:rsidRDefault="00D56F88" w:rsidP="001F675B">
      <w:pPr>
        <w:pStyle w:val="Kommentartekst"/>
        <w:rPr>
          <w:lang w:val="en-GB"/>
        </w:rPr>
      </w:pPr>
    </w:p>
    <w:sectPr w:rsidR="00D56F88" w:rsidRPr="001F675B" w:rsidSect="001F675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D"/>
    <w:rsid w:val="000E0210"/>
    <w:rsid w:val="000F4A96"/>
    <w:rsid w:val="001348CE"/>
    <w:rsid w:val="00180DFC"/>
    <w:rsid w:val="001D3085"/>
    <w:rsid w:val="001F675B"/>
    <w:rsid w:val="001F7253"/>
    <w:rsid w:val="00216459"/>
    <w:rsid w:val="002464F2"/>
    <w:rsid w:val="002A0150"/>
    <w:rsid w:val="002C26C7"/>
    <w:rsid w:val="002E555C"/>
    <w:rsid w:val="00313A9C"/>
    <w:rsid w:val="00332E9B"/>
    <w:rsid w:val="003720CD"/>
    <w:rsid w:val="003A1DA5"/>
    <w:rsid w:val="00441972"/>
    <w:rsid w:val="004541BC"/>
    <w:rsid w:val="00460563"/>
    <w:rsid w:val="00473A8C"/>
    <w:rsid w:val="004B75CF"/>
    <w:rsid w:val="004D6889"/>
    <w:rsid w:val="004D750E"/>
    <w:rsid w:val="004F6C0E"/>
    <w:rsid w:val="00544C05"/>
    <w:rsid w:val="00547A36"/>
    <w:rsid w:val="00566D8C"/>
    <w:rsid w:val="005B33FF"/>
    <w:rsid w:val="005B7683"/>
    <w:rsid w:val="005C4BF9"/>
    <w:rsid w:val="005F222D"/>
    <w:rsid w:val="00617D73"/>
    <w:rsid w:val="00695F26"/>
    <w:rsid w:val="006E4AE6"/>
    <w:rsid w:val="006F7291"/>
    <w:rsid w:val="00705E20"/>
    <w:rsid w:val="0078773B"/>
    <w:rsid w:val="007D7702"/>
    <w:rsid w:val="007F5ADD"/>
    <w:rsid w:val="00806B46"/>
    <w:rsid w:val="00827EB6"/>
    <w:rsid w:val="00890A5B"/>
    <w:rsid w:val="00923D2F"/>
    <w:rsid w:val="009B3AE1"/>
    <w:rsid w:val="009D219C"/>
    <w:rsid w:val="00A07C90"/>
    <w:rsid w:val="00A56BBA"/>
    <w:rsid w:val="00AB629F"/>
    <w:rsid w:val="00B36A2A"/>
    <w:rsid w:val="00B80B10"/>
    <w:rsid w:val="00BA53AD"/>
    <w:rsid w:val="00BC3AC5"/>
    <w:rsid w:val="00C07DF1"/>
    <w:rsid w:val="00D16931"/>
    <w:rsid w:val="00D56F88"/>
    <w:rsid w:val="00D650D0"/>
    <w:rsid w:val="00D842C7"/>
    <w:rsid w:val="00DC73A3"/>
    <w:rsid w:val="00DE5DF0"/>
    <w:rsid w:val="00E37902"/>
    <w:rsid w:val="00E74766"/>
    <w:rsid w:val="00EB7552"/>
    <w:rsid w:val="00F342B6"/>
    <w:rsid w:val="00F76A85"/>
    <w:rsid w:val="00FB42B0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5351"/>
  <w15:chartTrackingRefBased/>
  <w15:docId w15:val="{8E639843-3AEF-4B81-8792-1F29B5A1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3085"/>
    <w:pPr>
      <w:keepNext/>
      <w:spacing w:after="160" w:line="360" w:lineRule="auto"/>
      <w:outlineLvl w:val="5"/>
    </w:pPr>
    <w:rPr>
      <w:rFonts w:eastAsiaTheme="majorEastAsia" w:cstheme="majorBidi"/>
      <w:b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53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A53A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A53AD"/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53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BA53AD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53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53AD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89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890A5B"/>
    <w:rPr>
      <w:b/>
      <w:lang w:val="en-GB"/>
    </w:rPr>
  </w:style>
  <w:style w:type="character" w:customStyle="1" w:styleId="BrdtekstTegn">
    <w:name w:val="Brødtekst Tegn"/>
    <w:basedOn w:val="Standardskrifttypeiafsnit"/>
    <w:link w:val="Brdtekst"/>
    <w:uiPriority w:val="99"/>
    <w:rsid w:val="00890A5B"/>
    <w:rPr>
      <w:b/>
      <w:lang w:val="en-GB"/>
    </w:rPr>
  </w:style>
  <w:style w:type="paragraph" w:styleId="Listeafsnit">
    <w:name w:val="List Paragraph"/>
    <w:basedOn w:val="Normal"/>
    <w:uiPriority w:val="34"/>
    <w:qFormat/>
    <w:rsid w:val="00890A5B"/>
    <w:pPr>
      <w:ind w:left="720"/>
      <w:contextualSpacing/>
    </w:pPr>
    <w:rPr>
      <w:lang w:val="en-GB"/>
    </w:rPr>
  </w:style>
  <w:style w:type="table" w:styleId="Listetabel4-farve1">
    <w:name w:val="List Table 4 Accent 1"/>
    <w:basedOn w:val="Tabel-Normal"/>
    <w:uiPriority w:val="49"/>
    <w:rsid w:val="00890A5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EndNoteBibliography">
    <w:name w:val="EndNote Bibliography"/>
    <w:basedOn w:val="Normal"/>
    <w:link w:val="EndNoteBibliographyTegn"/>
    <w:rsid w:val="00890A5B"/>
    <w:pPr>
      <w:spacing w:line="240" w:lineRule="auto"/>
    </w:pPr>
    <w:rPr>
      <w:noProof/>
      <w:sz w:val="28"/>
      <w:lang w:val="en-US"/>
    </w:rPr>
  </w:style>
  <w:style w:type="character" w:customStyle="1" w:styleId="EndNoteBibliographyTegn">
    <w:name w:val="EndNote Bibliography Tegn"/>
    <w:basedOn w:val="Standardskrifttypeiafsnit"/>
    <w:link w:val="EndNoteBibliography"/>
    <w:rsid w:val="00890A5B"/>
    <w:rPr>
      <w:noProof/>
      <w:sz w:val="28"/>
      <w:lang w:val="en-US"/>
    </w:rPr>
  </w:style>
  <w:style w:type="table" w:styleId="Gittertabel6-farverig-farve1">
    <w:name w:val="Grid Table 6 Colorful Accent 1"/>
    <w:basedOn w:val="Tabel-Normal"/>
    <w:uiPriority w:val="51"/>
    <w:rsid w:val="004D750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">
    <w:name w:val="Grid Table 6 Colorful"/>
    <w:basedOn w:val="Tabel-Normal"/>
    <w:uiPriority w:val="51"/>
    <w:rsid w:val="00D16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">
    <w:name w:val="List Table 1 Light"/>
    <w:basedOn w:val="Tabel-Normal"/>
    <w:uiPriority w:val="46"/>
    <w:rsid w:val="00D169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3">
    <w:name w:val="List Table 1 Light Accent 3"/>
    <w:basedOn w:val="Tabel-Normal"/>
    <w:uiPriority w:val="46"/>
    <w:rsid w:val="00D169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5-mrk-farve3">
    <w:name w:val="Grid Table 5 Dark Accent 3"/>
    <w:basedOn w:val="Tabel-Normal"/>
    <w:uiPriority w:val="50"/>
    <w:rsid w:val="00D169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2">
    <w:name w:val="Grid Table 2"/>
    <w:basedOn w:val="Tabel-Normal"/>
    <w:uiPriority w:val="47"/>
    <w:rsid w:val="00D1693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lmindeligtabel2">
    <w:name w:val="Plain Table 2"/>
    <w:basedOn w:val="Tabel-Normal"/>
    <w:uiPriority w:val="42"/>
    <w:rsid w:val="004B75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verskrift6Tegn">
    <w:name w:val="Overskrift 6 Tegn"/>
    <w:basedOn w:val="Standardskrifttypeiafsnit"/>
    <w:link w:val="Overskrift6"/>
    <w:uiPriority w:val="9"/>
    <w:rsid w:val="001D3085"/>
    <w:rPr>
      <w:rFonts w:eastAsiaTheme="majorEastAsia" w:cstheme="majorBidi"/>
      <w:b/>
      <w:lang w:val="en-GB"/>
    </w:rPr>
  </w:style>
  <w:style w:type="table" w:styleId="Almindeligtabel4">
    <w:name w:val="Plain Table 4"/>
    <w:basedOn w:val="Tabel-Normal"/>
    <w:uiPriority w:val="44"/>
    <w:rsid w:val="004F6C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-farve3">
    <w:name w:val="Grid Table 1 Light Accent 3"/>
    <w:basedOn w:val="Tabel-Normal"/>
    <w:uiPriority w:val="46"/>
    <w:rsid w:val="004F6C0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itter-lys">
    <w:name w:val="Grid Table Light"/>
    <w:basedOn w:val="Tabel-Normal"/>
    <w:uiPriority w:val="40"/>
    <w:rsid w:val="004F6C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4F6C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A4E3-EE58-44D7-A404-A0535165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Hansen Kallesøe</dc:creator>
  <cp:keywords/>
  <dc:description/>
  <cp:lastModifiedBy>Karen Hansen Kallesøe</cp:lastModifiedBy>
  <cp:revision>2</cp:revision>
  <dcterms:created xsi:type="dcterms:W3CDTF">2023-05-18T20:41:00Z</dcterms:created>
  <dcterms:modified xsi:type="dcterms:W3CDTF">2023-05-18T20:41:00Z</dcterms:modified>
</cp:coreProperties>
</file>