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87A3" w14:textId="77777777" w:rsidR="00EC6ADC" w:rsidRPr="009863C4" w:rsidRDefault="004A60E3" w:rsidP="009863C4">
      <w:pPr>
        <w:jc w:val="both"/>
        <w:rPr>
          <w:rFonts w:ascii="Palatino" w:hAnsi="Palatino" w:cs="Arial"/>
          <w:b/>
          <w:bCs/>
          <w:lang w:val="en-US"/>
        </w:rPr>
      </w:pPr>
      <w:r w:rsidRPr="009863C4">
        <w:rPr>
          <w:rFonts w:ascii="Palatino" w:hAnsi="Palatino" w:cs="Arial"/>
          <w:b/>
          <w:bCs/>
          <w:lang w:val="en-US"/>
        </w:rPr>
        <w:t>Supplementary information</w:t>
      </w:r>
    </w:p>
    <w:p w14:paraId="1229216E" w14:textId="77777777" w:rsidR="004A60E3" w:rsidRPr="009863C4" w:rsidRDefault="004A60E3" w:rsidP="009863C4">
      <w:pPr>
        <w:spacing w:line="360" w:lineRule="auto"/>
        <w:jc w:val="both"/>
        <w:rPr>
          <w:rFonts w:ascii="Palatino" w:hAnsi="Palatino" w:cs="Arial"/>
          <w:b/>
          <w:bCs/>
          <w:lang w:val="en-US"/>
        </w:rPr>
      </w:pPr>
      <w:r w:rsidRPr="009863C4">
        <w:rPr>
          <w:rFonts w:ascii="Palatino" w:hAnsi="Palatino" w:cs="Arial"/>
          <w:b/>
          <w:bCs/>
          <w:lang w:val="en-US"/>
        </w:rPr>
        <w:t xml:space="preserve">Exogenous CFH Modulates Levels of </w:t>
      </w:r>
      <w:r w:rsidRPr="009863C4">
        <w:rPr>
          <w:rFonts w:ascii="Palatino" w:eastAsia="Calibri" w:hAnsi="Palatino" w:cs="Arial"/>
          <w:b/>
          <w:bCs/>
          <w:lang w:val="en-US"/>
        </w:rPr>
        <w:t>Pro-Inflammatory Mediators to Prevent Oxidative Damage of Retinal Pigment Epithelial Cells with the At-Risk CFH Y402H Variant</w:t>
      </w:r>
    </w:p>
    <w:p w14:paraId="5E07F0B6" w14:textId="06B54039" w:rsidR="00732FE5" w:rsidRPr="009863C4" w:rsidRDefault="00732FE5" w:rsidP="009863C4">
      <w:pPr>
        <w:spacing w:line="360" w:lineRule="auto"/>
        <w:jc w:val="both"/>
        <w:rPr>
          <w:rFonts w:ascii="Palatino" w:hAnsi="Palatino" w:cs="Arial"/>
          <w:lang w:val="en-US"/>
        </w:rPr>
      </w:pPr>
      <w:r w:rsidRPr="009863C4">
        <w:rPr>
          <w:rFonts w:ascii="Palatino" w:hAnsi="Palatino"/>
          <w:noProof/>
        </w:rPr>
        <w:drawing>
          <wp:inline distT="0" distB="0" distL="0" distR="0" wp14:anchorId="541C88C4" wp14:editId="0A83DE9C">
            <wp:extent cx="5612130" cy="3156585"/>
            <wp:effectExtent l="0" t="0" r="7620" b="5715"/>
            <wp:docPr id="9025767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156585"/>
                    </a:xfrm>
                    <a:prstGeom prst="rect">
                      <a:avLst/>
                    </a:prstGeom>
                    <a:noFill/>
                    <a:ln>
                      <a:noFill/>
                    </a:ln>
                  </pic:spPr>
                </pic:pic>
              </a:graphicData>
            </a:graphic>
          </wp:inline>
        </w:drawing>
      </w:r>
    </w:p>
    <w:p w14:paraId="4EF428B1" w14:textId="13C23AAC" w:rsidR="001F07D3" w:rsidRPr="009863C4" w:rsidRDefault="001F07D3" w:rsidP="009863C4">
      <w:pPr>
        <w:spacing w:line="360" w:lineRule="auto"/>
        <w:jc w:val="both"/>
        <w:rPr>
          <w:rFonts w:ascii="Palatino" w:hAnsi="Palatino" w:cs="Arial"/>
          <w:lang w:val="en-US"/>
        </w:rPr>
      </w:pPr>
      <w:r w:rsidRPr="009863C4">
        <w:rPr>
          <w:rFonts w:ascii="Palatino" w:hAnsi="Palatino" w:cs="Arial"/>
          <w:b/>
          <w:bCs/>
          <w:lang w:val="en-US"/>
        </w:rPr>
        <w:t>Supplement</w:t>
      </w:r>
      <w:r w:rsidR="00F50AB4" w:rsidRPr="009863C4">
        <w:rPr>
          <w:rFonts w:ascii="Palatino" w:hAnsi="Palatino" w:cs="Arial"/>
          <w:b/>
          <w:bCs/>
          <w:lang w:val="en-US"/>
        </w:rPr>
        <w:t>ary</w:t>
      </w:r>
      <w:r w:rsidRPr="009863C4">
        <w:rPr>
          <w:rFonts w:ascii="Palatino" w:hAnsi="Palatino" w:cs="Arial"/>
          <w:b/>
          <w:bCs/>
          <w:lang w:val="en-US"/>
        </w:rPr>
        <w:t xml:space="preserve"> Figure 1.</w:t>
      </w:r>
      <w:r w:rsidRPr="009863C4">
        <w:rPr>
          <w:rFonts w:ascii="Palatino" w:hAnsi="Palatino" w:cs="Arial"/>
          <w:lang w:val="en-US"/>
        </w:rPr>
        <w:t xml:space="preserve"> Expression of ARPE-19 cell differentiation markers. The total RNA of ARPE-19 was extracted and the expression of RPE65 and CRALBP was determined by RT-PCR. CRALBP expression in peripheral blood monocytes was used as a negative control (-).</w:t>
      </w:r>
    </w:p>
    <w:p w14:paraId="021BC2EB" w14:textId="77777777" w:rsidR="00F50AB4" w:rsidRPr="009863C4" w:rsidRDefault="00F50AB4" w:rsidP="009863C4">
      <w:pPr>
        <w:spacing w:line="360" w:lineRule="auto"/>
        <w:jc w:val="both"/>
        <w:rPr>
          <w:rFonts w:ascii="Palatino" w:hAnsi="Palatino" w:cs="Arial"/>
          <w:lang w:val="en-US"/>
        </w:rPr>
      </w:pPr>
    </w:p>
    <w:p w14:paraId="7EA11B9E" w14:textId="77777777" w:rsidR="00F50AB4" w:rsidRPr="009863C4" w:rsidRDefault="00F50AB4" w:rsidP="009863C4">
      <w:pPr>
        <w:spacing w:line="360" w:lineRule="auto"/>
        <w:jc w:val="both"/>
        <w:rPr>
          <w:rFonts w:ascii="Palatino" w:hAnsi="Palatino" w:cs="Arial"/>
          <w:lang w:val="en-US"/>
        </w:rPr>
      </w:pPr>
    </w:p>
    <w:p w14:paraId="6AC2FB00" w14:textId="77777777" w:rsidR="00F50AB4" w:rsidRPr="009863C4" w:rsidRDefault="00F50AB4" w:rsidP="009863C4">
      <w:pPr>
        <w:spacing w:line="360" w:lineRule="auto"/>
        <w:jc w:val="both"/>
        <w:rPr>
          <w:rFonts w:ascii="Palatino" w:hAnsi="Palatino" w:cs="Arial"/>
          <w:lang w:val="en-US"/>
        </w:rPr>
      </w:pPr>
    </w:p>
    <w:p w14:paraId="1255814E" w14:textId="0C878482" w:rsidR="00732FE5" w:rsidRPr="009863C4" w:rsidRDefault="00732FE5" w:rsidP="009863C4">
      <w:pPr>
        <w:spacing w:line="360" w:lineRule="auto"/>
        <w:jc w:val="both"/>
        <w:rPr>
          <w:rFonts w:ascii="Palatino" w:hAnsi="Palatino" w:cs="Arial"/>
          <w:lang w:val="en-US"/>
        </w:rPr>
      </w:pPr>
      <w:r w:rsidRPr="009863C4">
        <w:rPr>
          <w:rFonts w:ascii="Palatino" w:hAnsi="Palatino"/>
          <w:noProof/>
        </w:rPr>
        <w:lastRenderedPageBreak/>
        <w:drawing>
          <wp:inline distT="0" distB="0" distL="0" distR="0" wp14:anchorId="7A9257BC" wp14:editId="4341B2DB">
            <wp:extent cx="5513192" cy="2537254"/>
            <wp:effectExtent l="0" t="0" r="0" b="3175"/>
            <wp:docPr id="10209386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11880" t="22329" r="9199" b="13097"/>
                    <a:stretch/>
                  </pic:blipFill>
                  <pic:spPr bwMode="auto">
                    <a:xfrm>
                      <a:off x="0" y="0"/>
                      <a:ext cx="5538352" cy="2548833"/>
                    </a:xfrm>
                    <a:prstGeom prst="rect">
                      <a:avLst/>
                    </a:prstGeom>
                    <a:noFill/>
                    <a:ln>
                      <a:noFill/>
                    </a:ln>
                    <a:extLst>
                      <a:ext uri="{53640926-AAD7-44D8-BBD7-CCE9431645EC}">
                        <a14:shadowObscured xmlns:a14="http://schemas.microsoft.com/office/drawing/2010/main"/>
                      </a:ext>
                    </a:extLst>
                  </pic:spPr>
                </pic:pic>
              </a:graphicData>
            </a:graphic>
          </wp:inline>
        </w:drawing>
      </w:r>
    </w:p>
    <w:p w14:paraId="07C9DCD4" w14:textId="440562D5" w:rsidR="001F07D3" w:rsidRPr="009863C4" w:rsidRDefault="001F07D3" w:rsidP="009863C4">
      <w:pPr>
        <w:spacing w:line="360" w:lineRule="auto"/>
        <w:jc w:val="both"/>
        <w:rPr>
          <w:rFonts w:ascii="Palatino" w:hAnsi="Palatino" w:cs="Arial"/>
          <w:lang w:val="en-US"/>
        </w:rPr>
      </w:pPr>
      <w:r w:rsidRPr="009863C4">
        <w:rPr>
          <w:rFonts w:ascii="Palatino" w:hAnsi="Palatino" w:cs="Arial"/>
          <w:b/>
          <w:bCs/>
          <w:lang w:val="en-US"/>
        </w:rPr>
        <w:t>Supplement</w:t>
      </w:r>
      <w:r w:rsidR="00F50AB4" w:rsidRPr="009863C4">
        <w:rPr>
          <w:rFonts w:ascii="Palatino" w:hAnsi="Palatino" w:cs="Arial"/>
          <w:b/>
          <w:bCs/>
          <w:lang w:val="en-US"/>
        </w:rPr>
        <w:t>ary</w:t>
      </w:r>
      <w:r w:rsidRPr="009863C4">
        <w:rPr>
          <w:rFonts w:ascii="Palatino" w:hAnsi="Palatino" w:cs="Arial"/>
          <w:b/>
          <w:bCs/>
          <w:lang w:val="en-US"/>
        </w:rPr>
        <w:t xml:space="preserve"> Figure 2</w:t>
      </w:r>
      <w:r w:rsidRPr="009863C4">
        <w:rPr>
          <w:rFonts w:ascii="Palatino" w:hAnsi="Palatino" w:cs="Arial"/>
          <w:lang w:val="en-US"/>
        </w:rPr>
        <w:t>. Molecules of immunological importance on the surface of ARPE-19 cells. The expression of TLR4, CD14 and CD86 was determined by their detection with specific antibodies coupled to different fluorochromes. Histograms are representative of three independent assays and show the relative fluorescence intensity of ARPE-19 cells without staining (negative control) or stained with APC-conjugated-Anti-TLR4, FITC-conjugated-anti-CD40 or PE-conjugated-CD86 antibodies.</w:t>
      </w:r>
    </w:p>
    <w:p w14:paraId="304B09E1" w14:textId="77777777" w:rsidR="00F50AB4" w:rsidRPr="009863C4" w:rsidRDefault="00F50AB4" w:rsidP="009863C4">
      <w:pPr>
        <w:spacing w:line="360" w:lineRule="auto"/>
        <w:jc w:val="both"/>
        <w:rPr>
          <w:rFonts w:ascii="Palatino" w:hAnsi="Palatino" w:cs="Arial"/>
          <w:lang w:val="en-US"/>
        </w:rPr>
      </w:pPr>
    </w:p>
    <w:p w14:paraId="6D05D338" w14:textId="77777777" w:rsidR="00F50AB4" w:rsidRPr="009863C4" w:rsidRDefault="00F50AB4" w:rsidP="009863C4">
      <w:pPr>
        <w:spacing w:line="360" w:lineRule="auto"/>
        <w:jc w:val="both"/>
        <w:rPr>
          <w:rFonts w:ascii="Palatino" w:hAnsi="Palatino" w:cs="Arial"/>
          <w:lang w:val="en-US"/>
        </w:rPr>
      </w:pPr>
    </w:p>
    <w:p w14:paraId="6F3BCC82" w14:textId="77777777" w:rsidR="00F50AB4" w:rsidRPr="009863C4" w:rsidRDefault="00F50AB4" w:rsidP="009863C4">
      <w:pPr>
        <w:spacing w:line="360" w:lineRule="auto"/>
        <w:jc w:val="both"/>
        <w:rPr>
          <w:rFonts w:ascii="Palatino" w:hAnsi="Palatino" w:cs="Arial"/>
          <w:lang w:val="en-US"/>
        </w:rPr>
      </w:pPr>
    </w:p>
    <w:p w14:paraId="742BF1C7" w14:textId="77777777" w:rsidR="00F50AB4" w:rsidRPr="009863C4" w:rsidRDefault="00F50AB4" w:rsidP="009863C4">
      <w:pPr>
        <w:spacing w:line="360" w:lineRule="auto"/>
        <w:jc w:val="both"/>
        <w:rPr>
          <w:rFonts w:ascii="Palatino" w:hAnsi="Palatino" w:cs="Arial"/>
          <w:lang w:val="en-US"/>
        </w:rPr>
      </w:pPr>
    </w:p>
    <w:p w14:paraId="47DAA467" w14:textId="77777777" w:rsidR="00F50AB4" w:rsidRPr="009863C4" w:rsidRDefault="00F50AB4" w:rsidP="009863C4">
      <w:pPr>
        <w:spacing w:line="360" w:lineRule="auto"/>
        <w:jc w:val="both"/>
        <w:rPr>
          <w:rFonts w:ascii="Palatino" w:hAnsi="Palatino" w:cs="Arial"/>
          <w:lang w:val="en-US"/>
        </w:rPr>
      </w:pPr>
    </w:p>
    <w:p w14:paraId="366B06EF" w14:textId="5BE834DD" w:rsidR="00732FE5" w:rsidRPr="009863C4" w:rsidRDefault="00732FE5" w:rsidP="009863C4">
      <w:pPr>
        <w:spacing w:line="360" w:lineRule="auto"/>
        <w:jc w:val="both"/>
        <w:rPr>
          <w:rFonts w:ascii="Palatino" w:hAnsi="Palatino" w:cs="Arial"/>
          <w:lang w:val="en-US"/>
        </w:rPr>
      </w:pPr>
      <w:r w:rsidRPr="009863C4">
        <w:rPr>
          <w:rFonts w:ascii="Palatino" w:hAnsi="Palatino"/>
          <w:noProof/>
        </w:rPr>
        <w:lastRenderedPageBreak/>
        <w:drawing>
          <wp:inline distT="0" distB="0" distL="0" distR="0" wp14:anchorId="0F03EC3C" wp14:editId="0C1BE2FB">
            <wp:extent cx="4943475" cy="3338069"/>
            <wp:effectExtent l="0" t="0" r="0" b="0"/>
            <wp:docPr id="11241686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11223" t="4276" r="21306" b="14722"/>
                    <a:stretch/>
                  </pic:blipFill>
                  <pic:spPr bwMode="auto">
                    <a:xfrm>
                      <a:off x="0" y="0"/>
                      <a:ext cx="4959515" cy="3348900"/>
                    </a:xfrm>
                    <a:prstGeom prst="rect">
                      <a:avLst/>
                    </a:prstGeom>
                    <a:noFill/>
                    <a:ln>
                      <a:noFill/>
                    </a:ln>
                    <a:extLst>
                      <a:ext uri="{53640926-AAD7-44D8-BBD7-CCE9431645EC}">
                        <a14:shadowObscured xmlns:a14="http://schemas.microsoft.com/office/drawing/2010/main"/>
                      </a:ext>
                    </a:extLst>
                  </pic:spPr>
                </pic:pic>
              </a:graphicData>
            </a:graphic>
          </wp:inline>
        </w:drawing>
      </w:r>
    </w:p>
    <w:p w14:paraId="66297247" w14:textId="76362A39" w:rsidR="001F07D3" w:rsidRPr="009863C4" w:rsidRDefault="001F07D3" w:rsidP="009863C4">
      <w:pPr>
        <w:spacing w:line="360" w:lineRule="auto"/>
        <w:jc w:val="both"/>
        <w:rPr>
          <w:rFonts w:ascii="Palatino" w:hAnsi="Palatino" w:cs="Arial"/>
          <w:lang w:val="en-US"/>
        </w:rPr>
      </w:pPr>
      <w:r w:rsidRPr="009863C4">
        <w:rPr>
          <w:rFonts w:ascii="Palatino" w:hAnsi="Palatino" w:cs="Arial"/>
          <w:b/>
          <w:bCs/>
          <w:lang w:val="en-US"/>
        </w:rPr>
        <w:t>Su</w:t>
      </w:r>
      <w:r w:rsidR="00F50AB4" w:rsidRPr="009863C4">
        <w:rPr>
          <w:rFonts w:ascii="Palatino" w:hAnsi="Palatino" w:cs="Arial"/>
          <w:b/>
          <w:bCs/>
          <w:lang w:val="en-US"/>
        </w:rPr>
        <w:t>p</w:t>
      </w:r>
      <w:r w:rsidRPr="009863C4">
        <w:rPr>
          <w:rFonts w:ascii="Palatino" w:hAnsi="Palatino" w:cs="Arial"/>
          <w:b/>
          <w:bCs/>
          <w:lang w:val="en-US"/>
        </w:rPr>
        <w:t>plement</w:t>
      </w:r>
      <w:r w:rsidR="00F50AB4" w:rsidRPr="009863C4">
        <w:rPr>
          <w:rFonts w:ascii="Palatino" w:hAnsi="Palatino" w:cs="Arial"/>
          <w:b/>
          <w:bCs/>
          <w:lang w:val="en-US"/>
        </w:rPr>
        <w:t>ary</w:t>
      </w:r>
      <w:r w:rsidRPr="009863C4">
        <w:rPr>
          <w:rFonts w:ascii="Palatino" w:hAnsi="Palatino" w:cs="Arial"/>
          <w:b/>
          <w:bCs/>
          <w:lang w:val="en-US"/>
        </w:rPr>
        <w:t xml:space="preserve"> </w:t>
      </w:r>
      <w:r w:rsidR="00F50AB4" w:rsidRPr="009863C4">
        <w:rPr>
          <w:rFonts w:ascii="Palatino" w:hAnsi="Palatino" w:cs="Arial"/>
          <w:b/>
          <w:bCs/>
          <w:lang w:val="en-US"/>
        </w:rPr>
        <w:t>F</w:t>
      </w:r>
      <w:r w:rsidRPr="009863C4">
        <w:rPr>
          <w:rFonts w:ascii="Palatino" w:hAnsi="Palatino" w:cs="Arial"/>
          <w:b/>
          <w:bCs/>
          <w:lang w:val="en-US"/>
        </w:rPr>
        <w:t>igure 3</w:t>
      </w:r>
      <w:r w:rsidRPr="009863C4">
        <w:rPr>
          <w:rFonts w:ascii="Palatino" w:hAnsi="Palatino" w:cs="Arial"/>
          <w:lang w:val="en-US"/>
        </w:rPr>
        <w:t>. Kinetics of cytochrome C release and NF-</w:t>
      </w:r>
      <w:proofErr w:type="spellStart"/>
      <w:r w:rsidRPr="009863C4">
        <w:rPr>
          <w:rFonts w:ascii="Palatino" w:hAnsi="Palatino" w:cs="Arial"/>
          <w:lang w:val="en-US"/>
        </w:rPr>
        <w:t>κB</w:t>
      </w:r>
      <w:proofErr w:type="spellEnd"/>
      <w:r w:rsidRPr="009863C4">
        <w:rPr>
          <w:rFonts w:ascii="Palatino" w:hAnsi="Palatino" w:cs="Arial"/>
          <w:lang w:val="en-US"/>
        </w:rPr>
        <w:t xml:space="preserve"> expression in ARPE-19 cells under oxidative stress. ARPE-19 cells were stimulated with 400μM H</w:t>
      </w:r>
      <w:r w:rsidRPr="009863C4">
        <w:rPr>
          <w:rFonts w:ascii="Palatino" w:hAnsi="Palatino" w:cs="Arial"/>
          <w:vertAlign w:val="subscript"/>
          <w:lang w:val="en-US"/>
        </w:rPr>
        <w:t>2</w:t>
      </w:r>
      <w:r w:rsidRPr="009863C4">
        <w:rPr>
          <w:rFonts w:ascii="Palatino" w:hAnsi="Palatino" w:cs="Arial"/>
          <w:lang w:val="en-US"/>
        </w:rPr>
        <w:t>0</w:t>
      </w:r>
      <w:r w:rsidRPr="009863C4">
        <w:rPr>
          <w:rFonts w:ascii="Palatino" w:hAnsi="Palatino" w:cs="Arial"/>
          <w:vertAlign w:val="subscript"/>
          <w:lang w:val="en-US"/>
        </w:rPr>
        <w:t>2</w:t>
      </w:r>
      <w:r w:rsidRPr="009863C4">
        <w:rPr>
          <w:rFonts w:ascii="Palatino" w:hAnsi="Palatino" w:cs="Arial"/>
          <w:lang w:val="en-US"/>
        </w:rPr>
        <w:t xml:space="preserve"> for 3,6,12</w:t>
      </w:r>
      <w:r w:rsidR="00E01A47" w:rsidRPr="009863C4">
        <w:rPr>
          <w:rFonts w:ascii="Palatino" w:hAnsi="Palatino" w:cs="Arial"/>
          <w:lang w:val="en-US"/>
        </w:rPr>
        <w:t>,</w:t>
      </w:r>
      <w:r w:rsidRPr="009863C4">
        <w:rPr>
          <w:rFonts w:ascii="Palatino" w:hAnsi="Palatino" w:cs="Arial"/>
          <w:lang w:val="en-US"/>
        </w:rPr>
        <w:t xml:space="preserve"> and 24 h or left unstimulated. Intracellular cytochrome C release and NF-</w:t>
      </w:r>
      <w:proofErr w:type="spellStart"/>
      <w:r w:rsidRPr="009863C4">
        <w:rPr>
          <w:rFonts w:ascii="Palatino" w:hAnsi="Palatino" w:cs="Arial"/>
          <w:lang w:val="en-US"/>
        </w:rPr>
        <w:t>κB</w:t>
      </w:r>
      <w:proofErr w:type="spellEnd"/>
      <w:r w:rsidRPr="009863C4">
        <w:rPr>
          <w:rFonts w:ascii="Palatino" w:hAnsi="Palatino" w:cs="Arial"/>
          <w:lang w:val="en-US"/>
        </w:rPr>
        <w:t xml:space="preserve"> expression were evaluated. (a) and (c) Representative histograms depicting MFI for cytochrome C and NF- </w:t>
      </w:r>
      <w:proofErr w:type="spellStart"/>
      <w:r w:rsidRPr="009863C4">
        <w:rPr>
          <w:rFonts w:ascii="Palatino" w:hAnsi="Palatino" w:cs="Arial"/>
          <w:lang w:val="en-US"/>
        </w:rPr>
        <w:t>κB</w:t>
      </w:r>
      <w:proofErr w:type="spellEnd"/>
      <w:r w:rsidRPr="009863C4">
        <w:rPr>
          <w:rFonts w:ascii="Palatino" w:hAnsi="Palatino" w:cs="Arial"/>
          <w:lang w:val="en-US"/>
        </w:rPr>
        <w:t xml:space="preserve"> respectively. Black: un-stained cells, grey: unstimulated cells, green: stimulated for 3 h, blue: stimulated for 6 h, orange: stimulated for 12 h, red: stimulated for 24h. (b) and (d) Graphic depicts the mean MFI ± SD for three independent assays for cytochrome C and NF- </w:t>
      </w:r>
      <w:proofErr w:type="spellStart"/>
      <w:r w:rsidRPr="009863C4">
        <w:rPr>
          <w:rFonts w:ascii="Palatino" w:hAnsi="Palatino" w:cs="Arial"/>
          <w:lang w:val="en-US"/>
        </w:rPr>
        <w:t>κB</w:t>
      </w:r>
      <w:proofErr w:type="spellEnd"/>
      <w:r w:rsidRPr="009863C4">
        <w:rPr>
          <w:rFonts w:ascii="Palatino" w:hAnsi="Palatino" w:cs="Arial"/>
          <w:lang w:val="en-US"/>
        </w:rPr>
        <w:t>, respectively.</w:t>
      </w:r>
    </w:p>
    <w:p w14:paraId="5F11EFA6" w14:textId="77777777" w:rsidR="004A60E3" w:rsidRPr="009863C4" w:rsidRDefault="004A60E3" w:rsidP="009863C4">
      <w:pPr>
        <w:jc w:val="both"/>
        <w:rPr>
          <w:rFonts w:ascii="Palatino" w:hAnsi="Palatino"/>
          <w:lang w:val="en-US"/>
        </w:rPr>
      </w:pPr>
    </w:p>
    <w:sectPr w:rsidR="004A60E3" w:rsidRPr="009863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E3"/>
    <w:rsid w:val="001F07D3"/>
    <w:rsid w:val="002719A2"/>
    <w:rsid w:val="002A4F62"/>
    <w:rsid w:val="004636C7"/>
    <w:rsid w:val="004A60E3"/>
    <w:rsid w:val="004E0AE7"/>
    <w:rsid w:val="00650CF7"/>
    <w:rsid w:val="00731970"/>
    <w:rsid w:val="00732FE5"/>
    <w:rsid w:val="009863C4"/>
    <w:rsid w:val="00E01A47"/>
    <w:rsid w:val="00EC6ADC"/>
    <w:rsid w:val="00F50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475F"/>
  <w15:chartTrackingRefBased/>
  <w15:docId w15:val="{E3EE5B17-D8E2-4A40-A4D1-24981A81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246</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Velazquez</dc:creator>
  <cp:keywords/>
  <dc:description/>
  <cp:lastModifiedBy>Maria C jimenez Martinez</cp:lastModifiedBy>
  <cp:revision>2</cp:revision>
  <dcterms:created xsi:type="dcterms:W3CDTF">2023-06-13T18:27:00Z</dcterms:created>
  <dcterms:modified xsi:type="dcterms:W3CDTF">2023-06-13T18:27:00Z</dcterms:modified>
</cp:coreProperties>
</file>