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10D62" w14:textId="77777777" w:rsidR="00954E3F" w:rsidRDefault="00B46704">
      <w:pPr>
        <w:rPr>
          <w:lang w:val="en-US"/>
        </w:rPr>
      </w:pPr>
      <w:r>
        <w:rPr>
          <w:lang w:val="en-US"/>
        </w:rPr>
        <w:t xml:space="preserve">Supplementary Table 1: </w:t>
      </w:r>
      <w:bookmarkStart w:id="0" w:name="_Hlk138512195"/>
      <w:r>
        <w:rPr>
          <w:lang w:val="en-US"/>
        </w:rPr>
        <w:t xml:space="preserve">Summary of current evidence </w:t>
      </w:r>
      <w:r w:rsidR="00954E3F">
        <w:rPr>
          <w:lang w:val="en-US"/>
        </w:rPr>
        <w:t xml:space="preserve">on interventions mentioned in article </w:t>
      </w:r>
      <w:r>
        <w:rPr>
          <w:lang w:val="en-US"/>
        </w:rPr>
        <w:t xml:space="preserve">for </w:t>
      </w:r>
      <w:proofErr w:type="gramStart"/>
      <w:r>
        <w:rPr>
          <w:lang w:val="en-US"/>
        </w:rPr>
        <w:t>treating</w:t>
      </w:r>
      <w:proofErr w:type="gramEnd"/>
      <w:r>
        <w:rPr>
          <w:lang w:val="en-US"/>
        </w:rPr>
        <w:t xml:space="preserve"> </w:t>
      </w:r>
    </w:p>
    <w:p w14:paraId="094392A4" w14:textId="518B1427" w:rsidR="00B46704" w:rsidRPr="00B46704" w:rsidRDefault="00B46704">
      <w:pPr>
        <w:rPr>
          <w:lang w:val="en-US"/>
        </w:rPr>
      </w:pPr>
      <w:r>
        <w:rPr>
          <w:lang w:val="en-US"/>
        </w:rPr>
        <w:t xml:space="preserve">spike protein related diseases </w:t>
      </w:r>
    </w:p>
    <w:tbl>
      <w:tblPr>
        <w:tblStyle w:val="TableGridLight"/>
        <w:tblW w:w="8412" w:type="dxa"/>
        <w:tblLook w:val="04A0" w:firstRow="1" w:lastRow="0" w:firstColumn="1" w:lastColumn="0" w:noHBand="0" w:noVBand="1"/>
      </w:tblPr>
      <w:tblGrid>
        <w:gridCol w:w="993"/>
        <w:gridCol w:w="1126"/>
        <w:gridCol w:w="2168"/>
        <w:gridCol w:w="4125"/>
      </w:tblGrid>
      <w:tr w:rsidR="00A92A05" w:rsidRPr="00903922" w14:paraId="46E4016D" w14:textId="77777777" w:rsidTr="00B46704">
        <w:trPr>
          <w:trHeight w:val="585"/>
        </w:trPr>
        <w:tc>
          <w:tcPr>
            <w:tcW w:w="993" w:type="dxa"/>
            <w:shd w:val="clear" w:color="auto" w:fill="D9D9D9" w:themeFill="background1" w:themeFillShade="D9"/>
            <w:noWrap/>
          </w:tcPr>
          <w:bookmarkEnd w:id="0"/>
          <w:p w14:paraId="001D84B7" w14:textId="1A9813A2" w:rsidR="00A92A05" w:rsidRPr="00903922" w:rsidRDefault="00A92A05" w:rsidP="00DD5124">
            <w:pPr>
              <w:rPr>
                <w:rFonts w:ascii="Times New Roman" w:eastAsia="Times New Roman" w:hAnsi="Times New Roman" w:cs="Times New Roman"/>
                <w:color w:val="000000"/>
                <w:kern w:val="0"/>
                <w:sz w:val="14"/>
                <w:szCs w:val="14"/>
                <w:lang w:val="en-US" w:eastAsia="en-NL"/>
                <w14:ligatures w14:val="none"/>
              </w:rPr>
            </w:pPr>
            <w:r w:rsidRPr="00903922">
              <w:rPr>
                <w:rFonts w:ascii="Times New Roman" w:eastAsia="Times New Roman" w:hAnsi="Times New Roman" w:cs="Times New Roman"/>
                <w:color w:val="000000"/>
                <w:kern w:val="0"/>
                <w:sz w:val="14"/>
                <w:szCs w:val="14"/>
                <w:lang w:val="en-US" w:eastAsia="en-NL"/>
                <w14:ligatures w14:val="none"/>
              </w:rPr>
              <w:t>Intervention</w:t>
            </w:r>
          </w:p>
        </w:tc>
        <w:tc>
          <w:tcPr>
            <w:tcW w:w="1126" w:type="dxa"/>
            <w:shd w:val="clear" w:color="auto" w:fill="D9D9D9" w:themeFill="background1" w:themeFillShade="D9"/>
            <w:noWrap/>
          </w:tcPr>
          <w:p w14:paraId="0779153C" w14:textId="7248B8C5" w:rsidR="00A92A05" w:rsidRPr="00903922" w:rsidRDefault="00A92A05" w:rsidP="00DD5124">
            <w:pPr>
              <w:rPr>
                <w:rFonts w:ascii="Times New Roman" w:eastAsia="Times New Roman" w:hAnsi="Times New Roman" w:cs="Times New Roman"/>
                <w:color w:val="000000"/>
                <w:kern w:val="0"/>
                <w:sz w:val="14"/>
                <w:szCs w:val="14"/>
                <w:lang w:val="en-US" w:eastAsia="en-NL"/>
                <w14:ligatures w14:val="none"/>
              </w:rPr>
            </w:pPr>
            <w:r w:rsidRPr="00903922">
              <w:rPr>
                <w:rFonts w:ascii="Times New Roman" w:eastAsia="Times New Roman" w:hAnsi="Times New Roman" w:cs="Times New Roman"/>
                <w:color w:val="000000"/>
                <w:kern w:val="0"/>
                <w:sz w:val="14"/>
                <w:szCs w:val="14"/>
                <w:lang w:val="en-US" w:eastAsia="en-NL"/>
                <w14:ligatures w14:val="none"/>
              </w:rPr>
              <w:t>Trial Identifier for Treating Spike Protein Related Diseases</w:t>
            </w:r>
          </w:p>
        </w:tc>
        <w:tc>
          <w:tcPr>
            <w:tcW w:w="2168" w:type="dxa"/>
            <w:shd w:val="clear" w:color="auto" w:fill="D9D9D9" w:themeFill="background1" w:themeFillShade="D9"/>
          </w:tcPr>
          <w:p w14:paraId="4B304D7A" w14:textId="61FA4D81" w:rsidR="00A92A05" w:rsidRPr="00903922" w:rsidRDefault="00A92A05" w:rsidP="00DD5124">
            <w:pPr>
              <w:rPr>
                <w:rFonts w:ascii="Times New Roman" w:eastAsia="Times New Roman" w:hAnsi="Times New Roman" w:cs="Times New Roman"/>
                <w:color w:val="374151"/>
                <w:kern w:val="0"/>
                <w:sz w:val="14"/>
                <w:szCs w:val="14"/>
                <w:lang w:val="en-US" w:eastAsia="en-NL"/>
                <w14:ligatures w14:val="none"/>
              </w:rPr>
            </w:pPr>
            <w:r w:rsidRPr="00903922">
              <w:rPr>
                <w:rFonts w:ascii="Times New Roman" w:eastAsia="Times New Roman" w:hAnsi="Times New Roman" w:cs="Times New Roman"/>
                <w:color w:val="374151"/>
                <w:kern w:val="0"/>
                <w:sz w:val="14"/>
                <w:szCs w:val="14"/>
                <w:lang w:val="en-US" w:eastAsia="en-NL"/>
                <w14:ligatures w14:val="none"/>
              </w:rPr>
              <w:t>Status</w:t>
            </w:r>
          </w:p>
        </w:tc>
        <w:tc>
          <w:tcPr>
            <w:tcW w:w="4125" w:type="dxa"/>
            <w:shd w:val="clear" w:color="auto" w:fill="D9D9D9" w:themeFill="background1" w:themeFillShade="D9"/>
          </w:tcPr>
          <w:p w14:paraId="1A68D458" w14:textId="77777777" w:rsidR="00A92A05" w:rsidRDefault="00A92A05" w:rsidP="00DD5124">
            <w:pPr>
              <w:rPr>
                <w:rFonts w:ascii="Times New Roman" w:eastAsia="Times New Roman" w:hAnsi="Times New Roman" w:cs="Times New Roman"/>
                <w:color w:val="374151"/>
                <w:kern w:val="0"/>
                <w:sz w:val="14"/>
                <w:szCs w:val="14"/>
                <w:lang w:val="en-US" w:eastAsia="en-NL"/>
                <w14:ligatures w14:val="none"/>
              </w:rPr>
            </w:pPr>
            <w:r>
              <w:rPr>
                <w:rFonts w:ascii="Times New Roman" w:eastAsia="Times New Roman" w:hAnsi="Times New Roman" w:cs="Times New Roman"/>
                <w:color w:val="374151"/>
                <w:kern w:val="0"/>
                <w:sz w:val="14"/>
                <w:szCs w:val="14"/>
                <w:lang w:val="en-US" w:eastAsia="en-NL"/>
                <w14:ligatures w14:val="none"/>
              </w:rPr>
              <w:t>Summary of evidence for spike protein diseases</w:t>
            </w:r>
          </w:p>
          <w:p w14:paraId="17192FC2" w14:textId="246CB732" w:rsidR="00B46704" w:rsidRPr="006078A7" w:rsidRDefault="00B46704" w:rsidP="00DD5124">
            <w:pPr>
              <w:rPr>
                <w:rFonts w:ascii="Times New Roman" w:eastAsia="Times New Roman" w:hAnsi="Times New Roman" w:cs="Times New Roman"/>
                <w:color w:val="374151"/>
                <w:kern w:val="0"/>
                <w:sz w:val="14"/>
                <w:szCs w:val="14"/>
                <w:lang w:val="en-US" w:eastAsia="en-NL"/>
                <w14:ligatures w14:val="none"/>
              </w:rPr>
            </w:pPr>
            <w:r>
              <w:rPr>
                <w:rFonts w:ascii="Times New Roman" w:eastAsia="Times New Roman" w:hAnsi="Times New Roman" w:cs="Times New Roman"/>
                <w:color w:val="374151"/>
                <w:kern w:val="0"/>
                <w:sz w:val="14"/>
                <w:szCs w:val="14"/>
                <w:lang w:val="en-US" w:eastAsia="en-NL"/>
                <w14:ligatures w14:val="none"/>
              </w:rPr>
              <w:t>(Covid-19, long covid, vaccine injury, vaccine response)</w:t>
            </w:r>
          </w:p>
        </w:tc>
      </w:tr>
      <w:tr w:rsidR="00A92A05" w:rsidRPr="00903922" w14:paraId="39FC9545" w14:textId="77777777" w:rsidTr="00B46704">
        <w:trPr>
          <w:trHeight w:val="585"/>
        </w:trPr>
        <w:tc>
          <w:tcPr>
            <w:tcW w:w="993" w:type="dxa"/>
            <w:noWrap/>
          </w:tcPr>
          <w:p w14:paraId="47985076" w14:textId="7C07AFF6" w:rsidR="00A92A05" w:rsidRPr="00903922" w:rsidRDefault="00A92A05" w:rsidP="00DD5124">
            <w:pPr>
              <w:rPr>
                <w:rFonts w:ascii="Times New Roman" w:eastAsia="Times New Roman" w:hAnsi="Times New Roman" w:cs="Times New Roman"/>
                <w:color w:val="000000"/>
                <w:kern w:val="0"/>
                <w:sz w:val="14"/>
                <w:szCs w:val="14"/>
                <w:lang w:val="en-US" w:eastAsia="en-NL"/>
                <w14:ligatures w14:val="none"/>
              </w:rPr>
            </w:pPr>
            <w:r w:rsidRPr="00903922">
              <w:rPr>
                <w:rFonts w:ascii="Times New Roman" w:eastAsia="Times New Roman" w:hAnsi="Times New Roman" w:cs="Times New Roman"/>
                <w:color w:val="000000"/>
                <w:kern w:val="0"/>
                <w:sz w:val="14"/>
                <w:szCs w:val="14"/>
                <w:lang w:val="en-US" w:eastAsia="en-NL"/>
                <w14:ligatures w14:val="none"/>
              </w:rPr>
              <w:t>Caffeine</w:t>
            </w:r>
          </w:p>
        </w:tc>
        <w:tc>
          <w:tcPr>
            <w:tcW w:w="1126" w:type="dxa"/>
            <w:noWrap/>
          </w:tcPr>
          <w:p w14:paraId="39538F57"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c>
          <w:tcPr>
            <w:tcW w:w="2168" w:type="dxa"/>
          </w:tcPr>
          <w:p w14:paraId="55AED997" w14:textId="77777777" w:rsidR="00A92A05" w:rsidRPr="00903922" w:rsidRDefault="00A92A05" w:rsidP="00DD5124">
            <w:pPr>
              <w:rPr>
                <w:rFonts w:ascii="Times New Roman" w:eastAsia="Times New Roman" w:hAnsi="Times New Roman" w:cs="Times New Roman"/>
                <w:color w:val="374151"/>
                <w:kern w:val="0"/>
                <w:sz w:val="14"/>
                <w:szCs w:val="14"/>
                <w:lang w:eastAsia="en-NL"/>
                <w14:ligatures w14:val="none"/>
              </w:rPr>
            </w:pPr>
          </w:p>
        </w:tc>
        <w:tc>
          <w:tcPr>
            <w:tcW w:w="4125" w:type="dxa"/>
          </w:tcPr>
          <w:p w14:paraId="2FDE5FA8" w14:textId="40150F0C" w:rsidR="00A92A05" w:rsidRPr="006078A7" w:rsidRDefault="00A92A05" w:rsidP="00DD5124">
            <w:pPr>
              <w:rPr>
                <w:rFonts w:ascii="Times New Roman" w:eastAsia="Times New Roman" w:hAnsi="Times New Roman" w:cs="Times New Roman"/>
                <w:color w:val="374151"/>
                <w:kern w:val="0"/>
                <w:sz w:val="14"/>
                <w:szCs w:val="14"/>
                <w:lang w:val="en-US" w:eastAsia="en-NL"/>
                <w14:ligatures w14:val="none"/>
              </w:rPr>
            </w:pPr>
            <w:r>
              <w:rPr>
                <w:rFonts w:ascii="Times New Roman" w:eastAsia="Times New Roman" w:hAnsi="Times New Roman" w:cs="Times New Roman"/>
                <w:color w:val="374151"/>
                <w:kern w:val="0"/>
                <w:sz w:val="14"/>
                <w:szCs w:val="14"/>
                <w:lang w:val="en-US" w:eastAsia="en-NL"/>
                <w14:ligatures w14:val="none"/>
              </w:rPr>
              <w:t>N/A</w:t>
            </w:r>
          </w:p>
        </w:tc>
      </w:tr>
      <w:tr w:rsidR="00A92A05" w:rsidRPr="00903922" w14:paraId="7B9058EB" w14:textId="580D1D0C" w:rsidTr="00B46704">
        <w:trPr>
          <w:trHeight w:val="585"/>
        </w:trPr>
        <w:tc>
          <w:tcPr>
            <w:tcW w:w="993" w:type="dxa"/>
            <w:noWrap/>
            <w:hideMark/>
          </w:tcPr>
          <w:p w14:paraId="68C2A26D"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val="en-US" w:eastAsia="en-NL"/>
                <w14:ligatures w14:val="none"/>
              </w:rPr>
              <w:t>Spermidine</w:t>
            </w:r>
          </w:p>
        </w:tc>
        <w:tc>
          <w:tcPr>
            <w:tcW w:w="1126" w:type="dxa"/>
            <w:noWrap/>
            <w:hideMark/>
          </w:tcPr>
          <w:p w14:paraId="0DDE2577" w14:textId="543CB79F"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NCT05421546</w:t>
            </w:r>
          </w:p>
        </w:tc>
        <w:tc>
          <w:tcPr>
            <w:tcW w:w="2168" w:type="dxa"/>
            <w:hideMark/>
          </w:tcPr>
          <w:p w14:paraId="1E4FEEFE" w14:textId="48810CD0" w:rsidR="00A92A05" w:rsidRPr="002A56A8" w:rsidRDefault="002A56A8" w:rsidP="00DD5124">
            <w:pPr>
              <w:rPr>
                <w:rFonts w:ascii="Times New Roman" w:eastAsia="Times New Roman" w:hAnsi="Times New Roman" w:cs="Times New Roman"/>
                <w:color w:val="374151"/>
                <w:kern w:val="0"/>
                <w:sz w:val="14"/>
                <w:szCs w:val="14"/>
                <w:lang w:val="en-US" w:eastAsia="en-NL"/>
                <w14:ligatures w14:val="none"/>
              </w:rPr>
            </w:pPr>
            <w:r>
              <w:rPr>
                <w:rFonts w:ascii="Times New Roman" w:eastAsia="Times New Roman" w:hAnsi="Times New Roman" w:cs="Times New Roman"/>
                <w:color w:val="374151"/>
                <w:kern w:val="0"/>
                <w:sz w:val="14"/>
                <w:szCs w:val="14"/>
                <w:lang w:val="en-US" w:eastAsia="en-NL"/>
                <w14:ligatures w14:val="none"/>
              </w:rPr>
              <w:t>RECRUITING</w:t>
            </w:r>
          </w:p>
        </w:tc>
        <w:tc>
          <w:tcPr>
            <w:tcW w:w="4125" w:type="dxa"/>
          </w:tcPr>
          <w:p w14:paraId="0A202982" w14:textId="0CC45C55" w:rsidR="00A92A05" w:rsidRPr="006078A7" w:rsidRDefault="00A92A05" w:rsidP="00DD5124">
            <w:pPr>
              <w:rPr>
                <w:rFonts w:ascii="Times New Roman" w:eastAsia="Times New Roman" w:hAnsi="Times New Roman" w:cs="Times New Roman"/>
                <w:color w:val="374151"/>
                <w:kern w:val="0"/>
                <w:sz w:val="14"/>
                <w:szCs w:val="14"/>
                <w:lang w:val="en-US" w:eastAsia="en-NL"/>
                <w14:ligatures w14:val="none"/>
              </w:rPr>
            </w:pPr>
            <w:r>
              <w:rPr>
                <w:rFonts w:ascii="Times New Roman" w:eastAsia="Times New Roman" w:hAnsi="Times New Roman" w:cs="Times New Roman"/>
                <w:color w:val="374151"/>
                <w:kern w:val="0"/>
                <w:sz w:val="14"/>
                <w:szCs w:val="14"/>
                <w:lang w:val="en-US" w:eastAsia="en-NL"/>
                <w14:ligatures w14:val="none"/>
              </w:rPr>
              <w:t>N/A</w:t>
            </w:r>
          </w:p>
        </w:tc>
      </w:tr>
      <w:tr w:rsidR="00A92A05" w:rsidRPr="00903922" w14:paraId="423D619A" w14:textId="7E0F302F" w:rsidTr="00B46704">
        <w:trPr>
          <w:trHeight w:val="585"/>
        </w:trPr>
        <w:tc>
          <w:tcPr>
            <w:tcW w:w="993" w:type="dxa"/>
            <w:noWrap/>
            <w:hideMark/>
          </w:tcPr>
          <w:p w14:paraId="6BB0169F"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Resveratrol</w:t>
            </w:r>
          </w:p>
        </w:tc>
        <w:tc>
          <w:tcPr>
            <w:tcW w:w="1126" w:type="dxa"/>
            <w:noWrap/>
            <w:hideMark/>
          </w:tcPr>
          <w:p w14:paraId="5D60B74A" w14:textId="77777777" w:rsidR="00A92A05" w:rsidRPr="00DD5124" w:rsidRDefault="00A92A05" w:rsidP="00DD5124">
            <w:pPr>
              <w:rPr>
                <w:rFonts w:ascii="Times New Roman" w:eastAsia="Times New Roman" w:hAnsi="Times New Roman" w:cs="Times New Roman"/>
                <w:color w:val="1B1B1B"/>
                <w:kern w:val="0"/>
                <w:sz w:val="14"/>
                <w:szCs w:val="14"/>
                <w:lang w:eastAsia="en-NL"/>
                <w14:ligatures w14:val="none"/>
              </w:rPr>
            </w:pPr>
            <w:r w:rsidRPr="00DD5124">
              <w:rPr>
                <w:rFonts w:ascii="Times New Roman" w:eastAsia="Times New Roman" w:hAnsi="Times New Roman" w:cs="Times New Roman"/>
                <w:color w:val="1B1B1B"/>
                <w:kern w:val="0"/>
                <w:sz w:val="14"/>
                <w:szCs w:val="14"/>
                <w:lang w:eastAsia="en-NL"/>
                <w14:ligatures w14:val="none"/>
              </w:rPr>
              <w:t>NCT04400890</w:t>
            </w:r>
          </w:p>
        </w:tc>
        <w:tc>
          <w:tcPr>
            <w:tcW w:w="2168" w:type="dxa"/>
            <w:noWrap/>
            <w:hideMark/>
          </w:tcPr>
          <w:p w14:paraId="62647084" w14:textId="27B989BD" w:rsidR="00A92A05" w:rsidRPr="002A56A8" w:rsidRDefault="002A56A8" w:rsidP="00DD5124">
            <w:pPr>
              <w:rPr>
                <w:rFonts w:ascii="Times New Roman" w:eastAsia="Times New Roman" w:hAnsi="Times New Roman" w:cs="Times New Roman"/>
                <w:color w:val="000000"/>
                <w:kern w:val="0"/>
                <w:sz w:val="14"/>
                <w:szCs w:val="14"/>
                <w:lang w:val="en-US" w:eastAsia="en-NL"/>
                <w14:ligatures w14:val="none"/>
              </w:rPr>
            </w:pPr>
            <w:r>
              <w:rPr>
                <w:rFonts w:ascii="Times New Roman" w:eastAsia="Times New Roman" w:hAnsi="Times New Roman" w:cs="Times New Roman"/>
                <w:color w:val="000000"/>
                <w:kern w:val="0"/>
                <w:sz w:val="14"/>
                <w:szCs w:val="14"/>
                <w:lang w:val="en-US" w:eastAsia="en-NL"/>
                <w14:ligatures w14:val="none"/>
              </w:rPr>
              <w:t>TERMINATED</w:t>
            </w:r>
          </w:p>
        </w:tc>
        <w:tc>
          <w:tcPr>
            <w:tcW w:w="4125" w:type="dxa"/>
          </w:tcPr>
          <w:p w14:paraId="43C4DC5C" w14:textId="77777777" w:rsidR="00A92A05" w:rsidRDefault="00A92A05" w:rsidP="00DD5124">
            <w:pPr>
              <w:rPr>
                <w:rFonts w:ascii="Times New Roman" w:eastAsia="Times New Roman" w:hAnsi="Times New Roman" w:cs="Times New Roman"/>
                <w:color w:val="000000"/>
                <w:kern w:val="0"/>
                <w:sz w:val="14"/>
                <w:szCs w:val="14"/>
                <w:lang w:val="en-US" w:eastAsia="en-NL"/>
                <w14:ligatures w14:val="none"/>
              </w:rPr>
            </w:pPr>
            <w:r>
              <w:rPr>
                <w:rFonts w:ascii="Times New Roman" w:eastAsia="Times New Roman" w:hAnsi="Times New Roman" w:cs="Times New Roman"/>
                <w:color w:val="000000"/>
                <w:kern w:val="0"/>
                <w:sz w:val="14"/>
                <w:szCs w:val="14"/>
                <w:lang w:val="en-US" w:eastAsia="en-NL"/>
                <w14:ligatures w14:val="none"/>
              </w:rPr>
              <w:t xml:space="preserve">Lower incidence of hospitalization </w:t>
            </w:r>
            <w:r>
              <w:rPr>
                <w:rFonts w:ascii="Times New Roman" w:eastAsia="Times New Roman" w:hAnsi="Times New Roman" w:cs="Times New Roman"/>
                <w:color w:val="000000"/>
                <w:kern w:val="0"/>
                <w:sz w:val="14"/>
                <w:szCs w:val="14"/>
                <w:lang w:val="en-US" w:eastAsia="en-NL"/>
                <w14:ligatures w14:val="none"/>
              </w:rPr>
              <w:fldChar w:fldCharType="begin"/>
            </w:r>
            <w:r>
              <w:rPr>
                <w:rFonts w:ascii="Times New Roman" w:eastAsia="Times New Roman" w:hAnsi="Times New Roman" w:cs="Times New Roman"/>
                <w:color w:val="000000"/>
                <w:kern w:val="0"/>
                <w:sz w:val="14"/>
                <w:szCs w:val="14"/>
                <w:lang w:val="en-US" w:eastAsia="en-NL"/>
                <w14:ligatures w14:val="none"/>
              </w:rPr>
              <w:instrText xml:space="preserve"> ADDIN ZOTERO_ITEM CSL_CITATION {"citationID":"9d6VI1Ob","properties":{"formattedCitation":"[1]","plainCitation":"[1]","noteIndex":0},"citationItems":[{"id":8427,"uris":["http://zotero.org/users/7565624/items/3ICL726C"],"itemData":{"id":8427,"type":"article-journal","abstract":"Resveratrol is a polyphenol that has been well studied and has demonstrated anti-viral and anti-inflammatory properties that might mitigate the effects of COVID-19. Outpatients (N = 105) were recruited from central Ohio in late 2020. Participants were randomly assigned to receive placebo or resveratrol. Both groups received a single dose of Vitamin D3 which was used as an adjunct. The primary outcome measure was hospitalization within 21 days of symptom onset; secondary measures were ER visits, incidence of pneumonia, and incidence of pulmonary embolism. Five patients chose not to participate after randomization. Twenty-one-day outcome was determined of all one hundred participants (mean [SD] age 55.6 [8.8] years; 61% female). There were no clinically significant adverse events attributed to resveratrol. Outpatients in this phase 2 study treated with resveratrol had a lower incidence compared to placebo of: hospitalization (2% vs. 6%, RR 0.33, 95% CI 0.04–3.10), COVID-19 related ER visits (8% vs. 14%, RR 0.57, 95% CI 0.18–1.83), and pneumonia (8% vs. 16%, RR 0.5, 95% CI 0.16–1.55). One patient (2%) in each group developed pulmonary embolism (RR 1.00, 95% CI: 0.06–15.55). This underpowered study was limited by small sample size and low incidence of primary adverse events consequently the results are statistically similar between treatment arms. A larger trial could determine efficacy.","container-title":"Scientific Reports","DOI":"10.1038/s41598-022-13920-9","ISSN":"2045-2322","issue":"1","journalAbbreviation":"Sci Rep","language":"en","license":"2022 The Author(s)","note":"number: 1\npublisher: Nature Publishing Group","page":"10978","source":"www.nature.com","title":"Randomized double-blind placebo-controlled proof-of-concept trial of resveratrol for outpatient treatment of mild coronavirus disease (COVID-19)","URL":"https://www.nature.com/articles/s41598-022-13920-9","volume":"12","author":[{"family":"McCreary","given":"Marvin R."},{"family":"Schnell","given":"Patrick M."},{"family":"Rhoda","given":"Dale A."}],"accessed":{"date-parts":[["2023",1,31]]},"issued":{"date-parts":[["2022",6,29]]}}}],"schema":"https://github.com/citation-style-language/schema/raw/master/csl-citation.json"} </w:instrText>
            </w:r>
            <w:r>
              <w:rPr>
                <w:rFonts w:ascii="Times New Roman" w:eastAsia="Times New Roman" w:hAnsi="Times New Roman" w:cs="Times New Roman"/>
                <w:color w:val="000000"/>
                <w:kern w:val="0"/>
                <w:sz w:val="14"/>
                <w:szCs w:val="14"/>
                <w:lang w:val="en-US" w:eastAsia="en-NL"/>
                <w14:ligatures w14:val="none"/>
              </w:rPr>
              <w:fldChar w:fldCharType="separate"/>
            </w:r>
            <w:r w:rsidRPr="00A07913">
              <w:rPr>
                <w:rFonts w:ascii="Times New Roman" w:hAnsi="Times New Roman" w:cs="Times New Roman"/>
                <w:sz w:val="14"/>
              </w:rPr>
              <w:t>[1]</w:t>
            </w:r>
            <w:r>
              <w:rPr>
                <w:rFonts w:ascii="Times New Roman" w:eastAsia="Times New Roman" w:hAnsi="Times New Roman" w:cs="Times New Roman"/>
                <w:color w:val="000000"/>
                <w:kern w:val="0"/>
                <w:sz w:val="14"/>
                <w:szCs w:val="14"/>
                <w:lang w:val="en-US" w:eastAsia="en-NL"/>
                <w14:ligatures w14:val="none"/>
              </w:rPr>
              <w:fldChar w:fldCharType="end"/>
            </w:r>
            <w:r>
              <w:rPr>
                <w:rFonts w:ascii="Times New Roman" w:eastAsia="Times New Roman" w:hAnsi="Times New Roman" w:cs="Times New Roman"/>
                <w:color w:val="000000"/>
                <w:kern w:val="0"/>
                <w:sz w:val="14"/>
                <w:szCs w:val="14"/>
                <w:lang w:val="en-US" w:eastAsia="en-NL"/>
                <w14:ligatures w14:val="none"/>
              </w:rPr>
              <w:t>.</w:t>
            </w:r>
          </w:p>
          <w:p w14:paraId="27B86C4B" w14:textId="6ADE6EA2" w:rsidR="00A92A05" w:rsidRPr="00A07913" w:rsidRDefault="00A92A05" w:rsidP="00DD5124">
            <w:pPr>
              <w:rPr>
                <w:rFonts w:ascii="Times New Roman" w:eastAsia="Times New Roman" w:hAnsi="Times New Roman" w:cs="Times New Roman"/>
                <w:color w:val="000000"/>
                <w:kern w:val="0"/>
                <w:sz w:val="14"/>
                <w:szCs w:val="14"/>
                <w:lang w:val="en-US" w:eastAsia="en-NL"/>
                <w14:ligatures w14:val="none"/>
              </w:rPr>
            </w:pPr>
            <w:r>
              <w:rPr>
                <w:rFonts w:ascii="Times New Roman" w:eastAsia="Times New Roman" w:hAnsi="Times New Roman" w:cs="Times New Roman"/>
                <w:color w:val="000000"/>
                <w:kern w:val="0"/>
                <w:sz w:val="14"/>
                <w:szCs w:val="14"/>
                <w:lang w:val="en-US" w:eastAsia="en-NL"/>
                <w14:ligatures w14:val="none"/>
              </w:rPr>
              <w:t xml:space="preserve">Reduction in death for those receiving resveratrol with copper </w:t>
            </w:r>
            <w:r>
              <w:rPr>
                <w:rFonts w:ascii="Times New Roman" w:eastAsia="Times New Roman" w:hAnsi="Times New Roman" w:cs="Times New Roman"/>
                <w:color w:val="000000"/>
                <w:kern w:val="0"/>
                <w:sz w:val="14"/>
                <w:szCs w:val="14"/>
                <w:lang w:val="en-US" w:eastAsia="en-NL"/>
                <w14:ligatures w14:val="none"/>
              </w:rPr>
              <w:fldChar w:fldCharType="begin"/>
            </w:r>
            <w:r>
              <w:rPr>
                <w:rFonts w:ascii="Times New Roman" w:eastAsia="Times New Roman" w:hAnsi="Times New Roman" w:cs="Times New Roman"/>
                <w:color w:val="000000"/>
                <w:kern w:val="0"/>
                <w:sz w:val="14"/>
                <w:szCs w:val="14"/>
                <w:lang w:val="en-US" w:eastAsia="en-NL"/>
                <w14:ligatures w14:val="none"/>
              </w:rPr>
              <w:instrText xml:space="preserve"> ADDIN ZOTERO_ITEM CSL_CITATION {"citationID":"1GSZvxMx","properties":{"formattedCitation":"[2]","plainCitation":"[2]","noteIndex":0},"citationItems":[{"id":11554,"uris":["http://zotero.org/users/7565624/items/ZANXNYG5"],"itemData":{"id":11554,"type":"article","abstract":"Background To be universally applicable in treatment of severe COVID-19, novel therapies, especially those with little toxicity and low cost, are urgently needed. We report here the use of one such therapeutic combination involving two commonly used nutraceuticals, namely resveratrol and copper in patients with this disease. This study was prompted by pre-clinical reports that sepsis-related cytokine storm and fatality in mice can be prevented by oral administration of small quantities of resveratrol and copper. Since cytokine storm and sepsis are major causes of death in severe COVID-19, we retrospectively analyzed outcomes of patients with this condition who had received resveratrol and copper.\nMethods &amp; Findings Our analysis comprised of 230 patients with severe COVID-19 requiring inhaled oxygen who were admitted in a single tertiary care hospital in Mumbai between April 1 and May 13 2020. Thirty of these patients received, in addition to standard care, resveratrol and copper at doses of 5.6 mg and 560 ng, respectively, orally, once every 6 hours, until discharge or death. These doses were based on our pre-clinical studies, and were nearly 50 times and 2000 times less, respectively, than those recommended as health supplements. A multivariable-adjusted analysis was used to model the outcome of death in these patients and evaluate factors associated with this event. A binary logistic regression analysis was used, with age, sex, presence of comorbidities and receipt of resveratrol-copper as covariates. Data were updated as of May 30 2020. The number of deaths in resveratrol-copper and standard care only groups were 7/30 (23.3%, 95% CI 8.1%-38.4%) and 89/200 (44.5%, 95% CI 37.6%-51.3%), respectively. In multivariable analysis, age &gt;50 years [odds ratio (OR) 2.558, 95% CI 1.454-4.302, P=0.0011] and female sex (OR 1.939, 95% CI 1.079-3.482, P=0.0267) were significantly associated, while presence of co-morbidities was not significantly associated (OR 0.713, 95% CI 0.405-1.256, P=0.2421) with death. There was a trend towards reduction in death in patients receiving resveratrol-copper (OR 0.413, 95% CI 0.164-1.039, P= 0.0604).\nConclusions We provide preliminary results of a novel approach to the treatment of severe COVID-19 using a combination of small amounts of commonly used nutraceuticals, which is non-toxic and inexpensive, and therefore could be widely accessible globally. The nearly two-fold reduction in mortality with resveratrol-copper observed in our study needs to be confirmed in a randomized controlled trial.","DOI":"10.1101/2020.07.21.20151423","language":"en","license":"© 2020, Posted by Cold Spring Harbor Laboratory. The copyright holder for this pre-print is the author. All rights reserved. The material may not be redistributed, re-used or adapted without the author's permission.","note":"page: 2020.07.21.20151423","publisher":"medRxiv","source":"medRxiv","title":"Resveratrol and Copper for treatment of severe COVID-19: an observational study (RESCU 002)","title-short":"Resveratrol and Copper for treatment of severe COVID-19","URL":"https://www.medrxiv.org/content/10.1101/2020.07.21.20151423v1","author":[{"family":"Mittra","given":"Indraneel"},{"family":"Souza","given":"Rosemarie","dropping-particle":"de"},{"family":"Bhadade","given":"Rakesh"},{"family":"Madke","given":"Tushar"},{"family":"Shankpal","given":"P. D."},{"family":"Joshi","given":"Mohan"},{"family":"Qayyumi","given":"Burhanuddin"},{"family":"Bhattacharjee","given":"Atanu"},{"family":"Gota","given":"Vikram"},{"family":"Gupta","given":"Sudeep"},{"family":"Chaturvedi","given":"Pankaj"},{"family":"Badwe","given":"Rajendra"}],"accessed":{"date-parts":[["2023",6,23]]},"issued":{"date-parts":[["2020",7,29]]}}}],"schema":"https://github.com/citation-style-language/schema/raw/master/csl-citation.json"} </w:instrText>
            </w:r>
            <w:r>
              <w:rPr>
                <w:rFonts w:ascii="Times New Roman" w:eastAsia="Times New Roman" w:hAnsi="Times New Roman" w:cs="Times New Roman"/>
                <w:color w:val="000000"/>
                <w:kern w:val="0"/>
                <w:sz w:val="14"/>
                <w:szCs w:val="14"/>
                <w:lang w:val="en-US" w:eastAsia="en-NL"/>
                <w14:ligatures w14:val="none"/>
              </w:rPr>
              <w:fldChar w:fldCharType="separate"/>
            </w:r>
            <w:r w:rsidRPr="00A07913">
              <w:rPr>
                <w:rFonts w:ascii="Times New Roman" w:hAnsi="Times New Roman" w:cs="Times New Roman"/>
                <w:sz w:val="14"/>
              </w:rPr>
              <w:t>[2]</w:t>
            </w:r>
            <w:r>
              <w:rPr>
                <w:rFonts w:ascii="Times New Roman" w:eastAsia="Times New Roman" w:hAnsi="Times New Roman" w:cs="Times New Roman"/>
                <w:color w:val="000000"/>
                <w:kern w:val="0"/>
                <w:sz w:val="14"/>
                <w:szCs w:val="14"/>
                <w:lang w:val="en-US" w:eastAsia="en-NL"/>
                <w14:ligatures w14:val="none"/>
              </w:rPr>
              <w:fldChar w:fldCharType="end"/>
            </w:r>
            <w:r>
              <w:rPr>
                <w:rFonts w:ascii="Times New Roman" w:eastAsia="Times New Roman" w:hAnsi="Times New Roman" w:cs="Times New Roman"/>
                <w:color w:val="000000"/>
                <w:kern w:val="0"/>
                <w:sz w:val="14"/>
                <w:szCs w:val="14"/>
                <w:lang w:val="en-US" w:eastAsia="en-NL"/>
                <w14:ligatures w14:val="none"/>
              </w:rPr>
              <w:t>.</w:t>
            </w:r>
          </w:p>
        </w:tc>
      </w:tr>
      <w:tr w:rsidR="00A92A05" w:rsidRPr="00903922" w14:paraId="7DBE455C" w14:textId="0743DD54" w:rsidTr="00B46704">
        <w:trPr>
          <w:trHeight w:val="585"/>
        </w:trPr>
        <w:tc>
          <w:tcPr>
            <w:tcW w:w="993" w:type="dxa"/>
            <w:noWrap/>
            <w:hideMark/>
          </w:tcPr>
          <w:p w14:paraId="47D62F21"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Curcumin</w:t>
            </w:r>
          </w:p>
        </w:tc>
        <w:tc>
          <w:tcPr>
            <w:tcW w:w="1126" w:type="dxa"/>
            <w:hideMark/>
          </w:tcPr>
          <w:p w14:paraId="7EDAEB30" w14:textId="77777777" w:rsidR="00A92A05" w:rsidRPr="00DD5124" w:rsidRDefault="00A92A05" w:rsidP="00DD5124">
            <w:pPr>
              <w:rPr>
                <w:rFonts w:ascii="Times New Roman" w:eastAsia="Times New Roman" w:hAnsi="Times New Roman" w:cs="Times New Roman"/>
                <w:color w:val="1B1B1B"/>
                <w:kern w:val="0"/>
                <w:sz w:val="14"/>
                <w:szCs w:val="14"/>
                <w:lang w:eastAsia="en-NL"/>
                <w14:ligatures w14:val="none"/>
              </w:rPr>
            </w:pPr>
            <w:r w:rsidRPr="00DD5124">
              <w:rPr>
                <w:rFonts w:ascii="Times New Roman" w:eastAsia="Times New Roman" w:hAnsi="Times New Roman" w:cs="Times New Roman"/>
                <w:color w:val="1B1B1B"/>
                <w:kern w:val="0"/>
                <w:sz w:val="14"/>
                <w:szCs w:val="14"/>
                <w:lang w:eastAsia="en-NL"/>
                <w14:ligatures w14:val="none"/>
              </w:rPr>
              <w:t>NCT04912921</w:t>
            </w:r>
          </w:p>
        </w:tc>
        <w:tc>
          <w:tcPr>
            <w:tcW w:w="2168" w:type="dxa"/>
            <w:hideMark/>
          </w:tcPr>
          <w:p w14:paraId="2F7D875A" w14:textId="2243CACB" w:rsidR="00A92A05" w:rsidRPr="002A56A8" w:rsidRDefault="002A56A8" w:rsidP="00DD5124">
            <w:pPr>
              <w:rPr>
                <w:rFonts w:ascii="Times New Roman" w:eastAsia="Times New Roman" w:hAnsi="Times New Roman" w:cs="Times New Roman"/>
                <w:color w:val="374151"/>
                <w:kern w:val="0"/>
                <w:sz w:val="14"/>
                <w:szCs w:val="14"/>
                <w:lang w:val="en-US" w:eastAsia="en-NL"/>
                <w14:ligatures w14:val="none"/>
              </w:rPr>
            </w:pPr>
            <w:r>
              <w:rPr>
                <w:rFonts w:ascii="Times New Roman" w:eastAsia="Times New Roman" w:hAnsi="Times New Roman" w:cs="Times New Roman"/>
                <w:color w:val="374151"/>
                <w:kern w:val="0"/>
                <w:sz w:val="14"/>
                <w:szCs w:val="14"/>
                <w:lang w:val="en-US" w:eastAsia="en-NL"/>
                <w14:ligatures w14:val="none"/>
              </w:rPr>
              <w:t>COMPLETED</w:t>
            </w:r>
          </w:p>
        </w:tc>
        <w:tc>
          <w:tcPr>
            <w:tcW w:w="4125" w:type="dxa"/>
          </w:tcPr>
          <w:p w14:paraId="5176CE56" w14:textId="4AC11E1A" w:rsidR="00A92A05" w:rsidRDefault="00A92A05" w:rsidP="00DD5124">
            <w:pPr>
              <w:rPr>
                <w:rFonts w:ascii="Times New Roman" w:eastAsia="Times New Roman" w:hAnsi="Times New Roman" w:cs="Times New Roman"/>
                <w:color w:val="374151"/>
                <w:kern w:val="0"/>
                <w:sz w:val="14"/>
                <w:szCs w:val="14"/>
                <w:lang w:val="en-US" w:eastAsia="en-NL"/>
                <w14:ligatures w14:val="none"/>
              </w:rPr>
            </w:pPr>
            <w:r>
              <w:rPr>
                <w:rFonts w:ascii="Times New Roman" w:eastAsia="Times New Roman" w:hAnsi="Times New Roman" w:cs="Times New Roman"/>
                <w:color w:val="374151"/>
                <w:kern w:val="0"/>
                <w:sz w:val="14"/>
                <w:szCs w:val="14"/>
                <w:lang w:val="en-US" w:eastAsia="en-NL"/>
                <w14:ligatures w14:val="none"/>
              </w:rPr>
              <w:t xml:space="preserve">Decrease in inflammation in Covid-19 patients </w:t>
            </w:r>
            <w:r>
              <w:rPr>
                <w:rFonts w:ascii="Times New Roman" w:eastAsia="Times New Roman" w:hAnsi="Times New Roman" w:cs="Times New Roman"/>
                <w:color w:val="374151"/>
                <w:kern w:val="0"/>
                <w:sz w:val="14"/>
                <w:szCs w:val="14"/>
                <w:lang w:val="en-US" w:eastAsia="en-NL"/>
                <w14:ligatures w14:val="none"/>
              </w:rPr>
              <w:fldChar w:fldCharType="begin"/>
            </w:r>
            <w:r>
              <w:rPr>
                <w:rFonts w:ascii="Times New Roman" w:eastAsia="Times New Roman" w:hAnsi="Times New Roman" w:cs="Times New Roman"/>
                <w:color w:val="374151"/>
                <w:kern w:val="0"/>
                <w:sz w:val="14"/>
                <w:szCs w:val="14"/>
                <w:lang w:val="en-US" w:eastAsia="en-NL"/>
                <w14:ligatures w14:val="none"/>
              </w:rPr>
              <w:instrText xml:space="preserve"> ADDIN ZOTERO_ITEM CSL_CITATION {"citationID":"EUkEOjwi","properties":{"formattedCitation":"[3]","plainCitation":"[3]","noteIndex":0},"citationItems":[{"id":4876,"uris":["http://zotero.org/users/7565624/items/JMJBVDDD"],"itemData":{"id":4876,"type":"article-journal","abstract":"Despite the ongoing vaccination efforts, there is still an urgent need for safe and effective treatments to help curb the debilitating effects of COVID-19 disease. This systematic review aimed to investigate the efficacy of supplemental curcumin treatment on clinical outcomes and inflammation-related biomarker profiles in COVID-19 patients. We searched PubMed, Scopus, Web of Science, EMBASE, ProQuest, and Ovid databases up to 30 June 2021 to find studies that assessed the effects of curcumin-related compounds in mild to severe COVID-19 patients. Six studies were identified which showed that curcumin supplementation led to a significant decrease in common symptoms, duration of hospitalization and deaths. In addition, all of these studies showed that the intervention led to amelioration of cytokine storm effects thought to be a driving force in severe COVID-19 cases. This was seen as a significant (p &lt; 0.05) decrease in proinflammatory cytokines such as IL1β and IL6, with a concomitant significant (p &lt; 0.05) increase in anti-inflammatory cytokines, including IL-10, IL-35 and TGF-α. Taken together, these findings suggested that curcumin exerts its beneficial effects through at least partial restoration of pro-inflammatory/anti-inflammatory balance. In conclusion, curcumin supplementation may offer an efficacious and safe option for improving COVID-19 disease outcomes. We highlight the point that future clinical studies of COVID-19 disease should employ larger cohorts of patients in different clinical settings with standardized preparations of curcumin-related compounds.","container-title":"Nutrients","DOI":"10.3390/nu14020256","ISSN":"2072-6643","issue":"2","journalAbbreviation":"Nutrients","language":"eng","note":"PMID: 35057437\nPMCID: PMC8779570","page":"256","source":"PubMed","title":"Effectiveness of Curcumin on Outcomes of Hospitalized COVID-19 Patients: A Systematic Review of Clinical Trials","title-short":"Effectiveness of Curcumin on Outcomes of Hospitalized COVID-19 Patients","volume":"14","author":[{"family":"Vahedian-Azimi","given":"Amir"},{"family":"Abbasifard","given":"Mitra"},{"family":"Rahimi-Bashar","given":"Farshid"},{"family":"Guest","given":"Paul C."},{"family":"Majeed","given":"Muhammed"},{"family":"Mohammadi","given":"Asadollah"},{"family":"Banach","given":"Maciej"},{"family":"Jamialahmadi","given":"Tannaz"},{"family":"Sahebkar","given":"Amirhossein"}],"issued":{"date-parts":[["2022",1,7]]}}}],"schema":"https://github.com/citation-style-language/schema/raw/master/csl-citation.json"} </w:instrText>
            </w:r>
            <w:r>
              <w:rPr>
                <w:rFonts w:ascii="Times New Roman" w:eastAsia="Times New Roman" w:hAnsi="Times New Roman" w:cs="Times New Roman"/>
                <w:color w:val="374151"/>
                <w:kern w:val="0"/>
                <w:sz w:val="14"/>
                <w:szCs w:val="14"/>
                <w:lang w:val="en-US" w:eastAsia="en-NL"/>
                <w14:ligatures w14:val="none"/>
              </w:rPr>
              <w:fldChar w:fldCharType="separate"/>
            </w:r>
            <w:r w:rsidRPr="00A07913">
              <w:rPr>
                <w:rFonts w:ascii="Times New Roman" w:hAnsi="Times New Roman" w:cs="Times New Roman"/>
                <w:sz w:val="14"/>
              </w:rPr>
              <w:t>[3]</w:t>
            </w:r>
            <w:r>
              <w:rPr>
                <w:rFonts w:ascii="Times New Roman" w:eastAsia="Times New Roman" w:hAnsi="Times New Roman" w:cs="Times New Roman"/>
                <w:color w:val="374151"/>
                <w:kern w:val="0"/>
                <w:sz w:val="14"/>
                <w:szCs w:val="14"/>
                <w:lang w:val="en-US" w:eastAsia="en-NL"/>
                <w14:ligatures w14:val="none"/>
              </w:rPr>
              <w:fldChar w:fldCharType="end"/>
            </w:r>
            <w:r>
              <w:rPr>
                <w:rFonts w:ascii="Times New Roman" w:eastAsia="Times New Roman" w:hAnsi="Times New Roman" w:cs="Times New Roman"/>
                <w:color w:val="374151"/>
                <w:kern w:val="0"/>
                <w:sz w:val="14"/>
                <w:szCs w:val="14"/>
                <w:lang w:val="en-US" w:eastAsia="en-NL"/>
                <w14:ligatures w14:val="none"/>
              </w:rPr>
              <w:t>.</w:t>
            </w:r>
          </w:p>
          <w:p w14:paraId="518E9324" w14:textId="799EF45E" w:rsidR="00A92A05" w:rsidRPr="00A07913" w:rsidRDefault="00A92A05" w:rsidP="00DD5124">
            <w:pPr>
              <w:rPr>
                <w:rFonts w:ascii="Times New Roman" w:eastAsia="Times New Roman" w:hAnsi="Times New Roman" w:cs="Times New Roman"/>
                <w:color w:val="374151"/>
                <w:kern w:val="0"/>
                <w:sz w:val="14"/>
                <w:szCs w:val="14"/>
                <w:lang w:val="en-US" w:eastAsia="en-NL"/>
                <w14:ligatures w14:val="none"/>
              </w:rPr>
            </w:pPr>
            <w:r>
              <w:rPr>
                <w:rFonts w:ascii="Times New Roman" w:eastAsia="Times New Roman" w:hAnsi="Times New Roman" w:cs="Times New Roman"/>
                <w:color w:val="374151"/>
                <w:kern w:val="0"/>
                <w:sz w:val="14"/>
                <w:szCs w:val="14"/>
                <w:lang w:val="en-US" w:eastAsia="en-NL"/>
                <w14:ligatures w14:val="none"/>
              </w:rPr>
              <w:t>Combined curcumin/</w:t>
            </w:r>
            <w:proofErr w:type="spellStart"/>
            <w:r>
              <w:rPr>
                <w:rFonts w:ascii="Times New Roman" w:eastAsia="Times New Roman" w:hAnsi="Times New Roman" w:cs="Times New Roman"/>
                <w:color w:val="374151"/>
                <w:kern w:val="0"/>
                <w:sz w:val="14"/>
                <w:szCs w:val="14"/>
                <w:lang w:val="en-US" w:eastAsia="en-NL"/>
                <w14:ligatures w14:val="none"/>
              </w:rPr>
              <w:t>piperine</w:t>
            </w:r>
            <w:proofErr w:type="spellEnd"/>
            <w:r>
              <w:rPr>
                <w:rFonts w:ascii="Times New Roman" w:eastAsia="Times New Roman" w:hAnsi="Times New Roman" w:cs="Times New Roman"/>
                <w:color w:val="374151"/>
                <w:kern w:val="0"/>
                <w:sz w:val="14"/>
                <w:szCs w:val="14"/>
                <w:lang w:val="en-US" w:eastAsia="en-NL"/>
                <w14:ligatures w14:val="none"/>
              </w:rPr>
              <w:t xml:space="preserve"> treatment resulted in less severe Covid-19 symptoms </w:t>
            </w:r>
            <w:r>
              <w:rPr>
                <w:rFonts w:ascii="Times New Roman" w:eastAsia="Times New Roman" w:hAnsi="Times New Roman" w:cs="Times New Roman"/>
                <w:color w:val="374151"/>
                <w:kern w:val="0"/>
                <w:sz w:val="14"/>
                <w:szCs w:val="14"/>
                <w:lang w:val="en-US" w:eastAsia="en-NL"/>
                <w14:ligatures w14:val="none"/>
              </w:rPr>
              <w:fldChar w:fldCharType="begin"/>
            </w:r>
            <w:r>
              <w:rPr>
                <w:rFonts w:ascii="Times New Roman" w:eastAsia="Times New Roman" w:hAnsi="Times New Roman" w:cs="Times New Roman"/>
                <w:color w:val="374151"/>
                <w:kern w:val="0"/>
                <w:sz w:val="14"/>
                <w:szCs w:val="14"/>
                <w:lang w:val="en-US" w:eastAsia="en-NL"/>
                <w14:ligatures w14:val="none"/>
              </w:rPr>
              <w:instrText xml:space="preserve"> ADDIN ZOTERO_ITEM CSL_CITATION {"citationID":"4ukirLpW","properties":{"formattedCitation":"[4]","plainCitation":"[4]","noteIndex":0},"citationItems":[{"id":11550,"uris":["http://zotero.org/users/7565624/items/8CGN4NMP"],"itemData":{"id":11550,"type":"article-journal","abstract":"Background: Coronavirus disease-2019 (COVID-19) has a wide range of pathophysiological effects. Curcumin, an active constituent of Curcuma longa (turmeric), has several properties, including anti-inflammatory, antioxidant, antiviral, anti-thrombotic, and anti-proliferative effects, which make it a promising candidate for the symptomatic treatment of COVID-19.Objective: We aimed to determine the effects of curcumin administered with piperine (to optimize absorption) on symptoms in patients with COVID-19 in a double-blind, randomized, controlled trial at a 30-bed dedicated COVID Health Center (DCHC) in Maharashtra, India.Methods: In addition to conventional COVID-19 treatment, patients in the control group received a dose of probiotics twice a day, and patients in the study group received curcumin (525 mg) with piperine (2.5 mg) in tablet form twice a day. The effects of curcumin/piperine treatment on primary and secondary outcomes were assessed for the duration of hospitalization.Results: Patients with mild, moderate, and severe symptoms who received curcumin/piperine treatment showed early symptomatic recovery (fever, cough, sore throat, and breathlessness), less deterioration, fewer red flag signs, better ability to maintain oxygen saturation above 94% on room air, and better clinical outcomes compared to patients of the control group. Furthermore, curcumin/piperine treatment appeared to reduce the duration of hospitalization in patients with moderate to severe symptoms, and fewer deaths were observed in the curcumin/piperine treatment group.Conclusions: Administration of oral curcumin with piperine as an adjuvant symptomatic therapy in COVID-19 treatment could substantially reduce morbidity and mortality, and ease the logistical and supply-related burdens on the healthcare system. Curcumin could be a safe and natural therapeutic option to prevent Post-Covid thromboembolic events.Clinicaltrials.gov identifier:CTRI/2020/05/025482","container-title":"Frontiers in Pharmacology","ISSN":"1663-9812","source":"Frontiers","title":"Oral Curcumin With Piperine as Adjuvant Therapy for the Treatment of COVID-19: A Randomized Clinical Trial","title-short":"Oral Curcumin With Piperine as Adjuvant Therapy for the Treatment of COVID-19","URL":"https://www.frontiersin.org/articles/10.3389/fphar.2021.669362","volume":"12","author":[{"family":"Pawar","given":"Kirti S"},{"family":"Mastud","given":"Rahul N"},{"family":"Pawar","given":"Satheesh K"},{"family":"Pawar","given":"Samragni S"},{"family":"Bhoite","given":"Rahul R"},{"family":"Bhoite","given":"Ramesh R"},{"family":"Kulkarni","given":"Meenal V"},{"family":"Deshpande","given":"Aditi R"}],"accessed":{"date-parts":[["2023",6,23]]},"issued":{"date-parts":[["2021"]]}}}],"schema":"https://github.com/citation-style-language/schema/raw/master/csl-citation.json"} </w:instrText>
            </w:r>
            <w:r>
              <w:rPr>
                <w:rFonts w:ascii="Times New Roman" w:eastAsia="Times New Roman" w:hAnsi="Times New Roman" w:cs="Times New Roman"/>
                <w:color w:val="374151"/>
                <w:kern w:val="0"/>
                <w:sz w:val="14"/>
                <w:szCs w:val="14"/>
                <w:lang w:val="en-US" w:eastAsia="en-NL"/>
                <w14:ligatures w14:val="none"/>
              </w:rPr>
              <w:fldChar w:fldCharType="separate"/>
            </w:r>
            <w:r w:rsidRPr="00A07913">
              <w:rPr>
                <w:rFonts w:ascii="Times New Roman" w:hAnsi="Times New Roman" w:cs="Times New Roman"/>
                <w:sz w:val="14"/>
              </w:rPr>
              <w:t>[4]</w:t>
            </w:r>
            <w:r>
              <w:rPr>
                <w:rFonts w:ascii="Times New Roman" w:eastAsia="Times New Roman" w:hAnsi="Times New Roman" w:cs="Times New Roman"/>
                <w:color w:val="374151"/>
                <w:kern w:val="0"/>
                <w:sz w:val="14"/>
                <w:szCs w:val="14"/>
                <w:lang w:val="en-US" w:eastAsia="en-NL"/>
                <w14:ligatures w14:val="none"/>
              </w:rPr>
              <w:fldChar w:fldCharType="end"/>
            </w:r>
          </w:p>
        </w:tc>
      </w:tr>
      <w:tr w:rsidR="00A92A05" w:rsidRPr="00903922" w14:paraId="4FF08F95" w14:textId="66BF2AF7" w:rsidTr="00B46704">
        <w:trPr>
          <w:trHeight w:val="1155"/>
        </w:trPr>
        <w:tc>
          <w:tcPr>
            <w:tcW w:w="993" w:type="dxa"/>
            <w:noWrap/>
            <w:hideMark/>
          </w:tcPr>
          <w:p w14:paraId="0777C712" w14:textId="77777777" w:rsidR="00A92A05" w:rsidRPr="00DD5124" w:rsidRDefault="00A92A05" w:rsidP="00DD5124">
            <w:pPr>
              <w:rPr>
                <w:rFonts w:ascii="Times New Roman" w:eastAsia="Times New Roman" w:hAnsi="Times New Roman" w:cs="Times New Roman"/>
                <w:color w:val="374151"/>
                <w:kern w:val="0"/>
                <w:sz w:val="14"/>
                <w:szCs w:val="14"/>
                <w:lang w:eastAsia="en-NL"/>
                <w14:ligatures w14:val="none"/>
              </w:rPr>
            </w:pPr>
          </w:p>
        </w:tc>
        <w:tc>
          <w:tcPr>
            <w:tcW w:w="1126" w:type="dxa"/>
            <w:hideMark/>
          </w:tcPr>
          <w:p w14:paraId="191CBFB4" w14:textId="385D2A06" w:rsidR="00A92A05" w:rsidRPr="00DD5124" w:rsidRDefault="00A92A05" w:rsidP="00DD5124">
            <w:pPr>
              <w:rPr>
                <w:rFonts w:ascii="Times New Roman" w:eastAsia="Times New Roman" w:hAnsi="Times New Roman" w:cs="Times New Roman"/>
                <w:color w:val="1B1B1B"/>
                <w:kern w:val="0"/>
                <w:sz w:val="14"/>
                <w:szCs w:val="14"/>
                <w:lang w:val="en-US" w:eastAsia="en-NL"/>
                <w14:ligatures w14:val="none"/>
              </w:rPr>
            </w:pPr>
            <w:r w:rsidRPr="00DD5124">
              <w:rPr>
                <w:rFonts w:ascii="Times New Roman" w:eastAsia="Times New Roman" w:hAnsi="Times New Roman" w:cs="Times New Roman"/>
                <w:color w:val="1B1B1B"/>
                <w:kern w:val="0"/>
                <w:sz w:val="14"/>
                <w:szCs w:val="14"/>
                <w:lang w:eastAsia="en-NL"/>
                <w14:ligatures w14:val="none"/>
              </w:rPr>
              <w:t>NCT05150782</w:t>
            </w:r>
          </w:p>
        </w:tc>
        <w:tc>
          <w:tcPr>
            <w:tcW w:w="2168" w:type="dxa"/>
            <w:hideMark/>
          </w:tcPr>
          <w:p w14:paraId="7EF31EC6" w14:textId="55C05CA3" w:rsidR="00A92A05" w:rsidRPr="002A56A8" w:rsidRDefault="002A56A8" w:rsidP="00DD5124">
            <w:pPr>
              <w:rPr>
                <w:rFonts w:ascii="Times New Roman" w:eastAsia="Times New Roman" w:hAnsi="Times New Roman" w:cs="Times New Roman"/>
                <w:color w:val="374151"/>
                <w:kern w:val="0"/>
                <w:sz w:val="14"/>
                <w:szCs w:val="14"/>
                <w:lang w:val="en-US" w:eastAsia="en-NL"/>
                <w14:ligatures w14:val="none"/>
              </w:rPr>
            </w:pPr>
            <w:r>
              <w:rPr>
                <w:rFonts w:ascii="Times New Roman" w:eastAsia="Times New Roman" w:hAnsi="Times New Roman" w:cs="Times New Roman"/>
                <w:color w:val="374151"/>
                <w:kern w:val="0"/>
                <w:sz w:val="14"/>
                <w:szCs w:val="14"/>
                <w:lang w:val="en-US" w:eastAsia="en-NL"/>
                <w14:ligatures w14:val="none"/>
              </w:rPr>
              <w:t>NOT_YET_RECRUITING</w:t>
            </w:r>
          </w:p>
        </w:tc>
        <w:tc>
          <w:tcPr>
            <w:tcW w:w="4125" w:type="dxa"/>
          </w:tcPr>
          <w:p w14:paraId="4EE030CD" w14:textId="77777777" w:rsidR="00A92A05" w:rsidRPr="00903922" w:rsidRDefault="00A92A05" w:rsidP="00DD5124">
            <w:pPr>
              <w:rPr>
                <w:rFonts w:ascii="Times New Roman" w:eastAsia="Times New Roman" w:hAnsi="Times New Roman" w:cs="Times New Roman"/>
                <w:color w:val="374151"/>
                <w:kern w:val="0"/>
                <w:sz w:val="14"/>
                <w:szCs w:val="14"/>
                <w:lang w:eastAsia="en-NL"/>
                <w14:ligatures w14:val="none"/>
              </w:rPr>
            </w:pPr>
          </w:p>
        </w:tc>
      </w:tr>
      <w:tr w:rsidR="00A92A05" w:rsidRPr="00903922" w14:paraId="55B7001D" w14:textId="4D1DF816" w:rsidTr="00B46704">
        <w:trPr>
          <w:trHeight w:val="585"/>
        </w:trPr>
        <w:tc>
          <w:tcPr>
            <w:tcW w:w="993" w:type="dxa"/>
            <w:noWrap/>
            <w:hideMark/>
          </w:tcPr>
          <w:p w14:paraId="5AC1387E" w14:textId="77777777" w:rsidR="00A92A05" w:rsidRPr="00DD5124" w:rsidRDefault="00A92A05" w:rsidP="00DD5124">
            <w:pPr>
              <w:rPr>
                <w:rFonts w:ascii="Times New Roman" w:eastAsia="Times New Roman" w:hAnsi="Times New Roman" w:cs="Times New Roman"/>
                <w:color w:val="374151"/>
                <w:kern w:val="0"/>
                <w:sz w:val="14"/>
                <w:szCs w:val="14"/>
                <w:lang w:eastAsia="en-NL"/>
                <w14:ligatures w14:val="none"/>
              </w:rPr>
            </w:pPr>
          </w:p>
        </w:tc>
        <w:tc>
          <w:tcPr>
            <w:tcW w:w="1126" w:type="dxa"/>
            <w:hideMark/>
          </w:tcPr>
          <w:p w14:paraId="41A13328" w14:textId="77777777" w:rsidR="00A92A05" w:rsidRPr="00DD5124" w:rsidRDefault="00A92A05" w:rsidP="00DD5124">
            <w:pPr>
              <w:rPr>
                <w:rFonts w:ascii="Times New Roman" w:eastAsia="Times New Roman" w:hAnsi="Times New Roman" w:cs="Times New Roman"/>
                <w:color w:val="1B1B1B"/>
                <w:kern w:val="0"/>
                <w:sz w:val="14"/>
                <w:szCs w:val="14"/>
                <w:lang w:eastAsia="en-NL"/>
                <w14:ligatures w14:val="none"/>
              </w:rPr>
            </w:pPr>
            <w:r w:rsidRPr="00DD5124">
              <w:rPr>
                <w:rFonts w:ascii="Times New Roman" w:eastAsia="Times New Roman" w:hAnsi="Times New Roman" w:cs="Times New Roman"/>
                <w:color w:val="1B1B1B"/>
                <w:kern w:val="0"/>
                <w:sz w:val="14"/>
                <w:szCs w:val="14"/>
                <w:lang w:eastAsia="en-NL"/>
                <w14:ligatures w14:val="none"/>
              </w:rPr>
              <w:t>NCT05130671</w:t>
            </w:r>
          </w:p>
        </w:tc>
        <w:tc>
          <w:tcPr>
            <w:tcW w:w="2168" w:type="dxa"/>
            <w:hideMark/>
          </w:tcPr>
          <w:p w14:paraId="60346942" w14:textId="48D62594" w:rsidR="00A92A05" w:rsidRPr="002A56A8" w:rsidRDefault="002A56A8" w:rsidP="00DD5124">
            <w:pPr>
              <w:rPr>
                <w:rFonts w:ascii="Times New Roman" w:eastAsia="Times New Roman" w:hAnsi="Times New Roman" w:cs="Times New Roman"/>
                <w:color w:val="374151"/>
                <w:kern w:val="0"/>
                <w:sz w:val="14"/>
                <w:szCs w:val="14"/>
                <w:lang w:val="en-US" w:eastAsia="en-NL"/>
                <w14:ligatures w14:val="none"/>
              </w:rPr>
            </w:pPr>
            <w:r>
              <w:rPr>
                <w:rFonts w:ascii="Times New Roman" w:eastAsia="Times New Roman" w:hAnsi="Times New Roman" w:cs="Times New Roman"/>
                <w:color w:val="374151"/>
                <w:kern w:val="0"/>
                <w:sz w:val="14"/>
                <w:szCs w:val="14"/>
                <w:lang w:val="en-US" w:eastAsia="en-NL"/>
                <w14:ligatures w14:val="none"/>
              </w:rPr>
              <w:t>COMPLETED</w:t>
            </w:r>
          </w:p>
        </w:tc>
        <w:tc>
          <w:tcPr>
            <w:tcW w:w="4125" w:type="dxa"/>
          </w:tcPr>
          <w:p w14:paraId="11C351C4" w14:textId="77777777" w:rsidR="00A92A05" w:rsidRPr="00903922" w:rsidRDefault="00A92A05" w:rsidP="00DD5124">
            <w:pPr>
              <w:rPr>
                <w:rFonts w:ascii="Times New Roman" w:eastAsia="Times New Roman" w:hAnsi="Times New Roman" w:cs="Times New Roman"/>
                <w:color w:val="374151"/>
                <w:kern w:val="0"/>
                <w:sz w:val="14"/>
                <w:szCs w:val="14"/>
                <w:lang w:eastAsia="en-NL"/>
                <w14:ligatures w14:val="none"/>
              </w:rPr>
            </w:pPr>
          </w:p>
        </w:tc>
      </w:tr>
      <w:tr w:rsidR="00A92A05" w:rsidRPr="00903922" w14:paraId="2A2E839B" w14:textId="17262EB3" w:rsidTr="00B46704">
        <w:trPr>
          <w:trHeight w:val="315"/>
        </w:trPr>
        <w:tc>
          <w:tcPr>
            <w:tcW w:w="993" w:type="dxa"/>
            <w:noWrap/>
            <w:hideMark/>
          </w:tcPr>
          <w:p w14:paraId="688C2B07" w14:textId="77777777" w:rsidR="00A92A05" w:rsidRPr="00DD5124" w:rsidRDefault="00A92A05" w:rsidP="00DD5124">
            <w:pPr>
              <w:rPr>
                <w:rFonts w:ascii="Times New Roman" w:eastAsia="Times New Roman" w:hAnsi="Times New Roman" w:cs="Times New Roman"/>
                <w:color w:val="374151"/>
                <w:kern w:val="0"/>
                <w:sz w:val="14"/>
                <w:szCs w:val="14"/>
                <w:lang w:eastAsia="en-NL"/>
                <w14:ligatures w14:val="none"/>
              </w:rPr>
            </w:pPr>
          </w:p>
        </w:tc>
        <w:tc>
          <w:tcPr>
            <w:tcW w:w="1126" w:type="dxa"/>
            <w:hideMark/>
          </w:tcPr>
          <w:p w14:paraId="645BAB38" w14:textId="77777777" w:rsidR="00A92A05" w:rsidRPr="00DD5124" w:rsidRDefault="00A92A05" w:rsidP="00DD5124">
            <w:pPr>
              <w:rPr>
                <w:rFonts w:ascii="Times New Roman" w:eastAsia="Times New Roman" w:hAnsi="Times New Roman" w:cs="Times New Roman"/>
                <w:color w:val="1B1B1B"/>
                <w:kern w:val="0"/>
                <w:sz w:val="14"/>
                <w:szCs w:val="14"/>
                <w:lang w:eastAsia="en-NL"/>
                <w14:ligatures w14:val="none"/>
              </w:rPr>
            </w:pPr>
            <w:r w:rsidRPr="00DD5124">
              <w:rPr>
                <w:rFonts w:ascii="Times New Roman" w:eastAsia="Times New Roman" w:hAnsi="Times New Roman" w:cs="Times New Roman"/>
                <w:color w:val="1B1B1B"/>
                <w:kern w:val="0"/>
                <w:sz w:val="14"/>
                <w:szCs w:val="14"/>
                <w:lang w:eastAsia="en-NL"/>
                <w14:ligatures w14:val="none"/>
              </w:rPr>
              <w:t>NCT04603690</w:t>
            </w:r>
          </w:p>
        </w:tc>
        <w:tc>
          <w:tcPr>
            <w:tcW w:w="2168" w:type="dxa"/>
            <w:hideMark/>
          </w:tcPr>
          <w:p w14:paraId="2BC470F7" w14:textId="07E67D80" w:rsidR="00A92A05" w:rsidRPr="002A56A8" w:rsidRDefault="002A56A8" w:rsidP="00DD5124">
            <w:pPr>
              <w:rPr>
                <w:rFonts w:ascii="Times New Roman" w:eastAsia="Times New Roman" w:hAnsi="Times New Roman" w:cs="Times New Roman"/>
                <w:color w:val="374151"/>
                <w:kern w:val="0"/>
                <w:sz w:val="14"/>
                <w:szCs w:val="14"/>
                <w:lang w:val="en-US" w:eastAsia="en-NL"/>
                <w14:ligatures w14:val="none"/>
              </w:rPr>
            </w:pPr>
            <w:r>
              <w:rPr>
                <w:rFonts w:ascii="Times New Roman" w:eastAsia="Times New Roman" w:hAnsi="Times New Roman" w:cs="Times New Roman"/>
                <w:color w:val="374151"/>
                <w:kern w:val="0"/>
                <w:sz w:val="14"/>
                <w:szCs w:val="14"/>
                <w:lang w:val="en-US" w:eastAsia="en-NL"/>
                <w14:ligatures w14:val="none"/>
              </w:rPr>
              <w:t>COMPLETED</w:t>
            </w:r>
          </w:p>
        </w:tc>
        <w:tc>
          <w:tcPr>
            <w:tcW w:w="4125" w:type="dxa"/>
          </w:tcPr>
          <w:p w14:paraId="2EDA44BF" w14:textId="77777777" w:rsidR="00A92A05" w:rsidRPr="00903922" w:rsidRDefault="00A92A05" w:rsidP="00DD5124">
            <w:pPr>
              <w:rPr>
                <w:rFonts w:ascii="Times New Roman" w:eastAsia="Times New Roman" w:hAnsi="Times New Roman" w:cs="Times New Roman"/>
                <w:color w:val="374151"/>
                <w:kern w:val="0"/>
                <w:sz w:val="14"/>
                <w:szCs w:val="14"/>
                <w:lang w:eastAsia="en-NL"/>
                <w14:ligatures w14:val="none"/>
              </w:rPr>
            </w:pPr>
          </w:p>
        </w:tc>
      </w:tr>
      <w:tr w:rsidR="00A92A05" w:rsidRPr="00903922" w14:paraId="04FBBCD3" w14:textId="14D2A86D" w:rsidTr="00B46704">
        <w:trPr>
          <w:trHeight w:val="585"/>
        </w:trPr>
        <w:tc>
          <w:tcPr>
            <w:tcW w:w="993" w:type="dxa"/>
            <w:noWrap/>
            <w:hideMark/>
          </w:tcPr>
          <w:p w14:paraId="557B9CE9" w14:textId="77777777" w:rsidR="00A92A05" w:rsidRPr="00DD5124" w:rsidRDefault="00A92A05" w:rsidP="00DD5124">
            <w:pPr>
              <w:rPr>
                <w:rFonts w:ascii="Times New Roman" w:eastAsia="Times New Roman" w:hAnsi="Times New Roman" w:cs="Times New Roman"/>
                <w:color w:val="374151"/>
                <w:kern w:val="0"/>
                <w:sz w:val="14"/>
                <w:szCs w:val="14"/>
                <w:lang w:eastAsia="en-NL"/>
                <w14:ligatures w14:val="none"/>
              </w:rPr>
            </w:pPr>
          </w:p>
        </w:tc>
        <w:tc>
          <w:tcPr>
            <w:tcW w:w="1126" w:type="dxa"/>
            <w:hideMark/>
          </w:tcPr>
          <w:p w14:paraId="023F7B0D" w14:textId="77777777" w:rsidR="00A92A05" w:rsidRPr="00DD5124" w:rsidRDefault="00A92A05" w:rsidP="00DD5124">
            <w:pPr>
              <w:rPr>
                <w:rFonts w:ascii="Times New Roman" w:eastAsia="Times New Roman" w:hAnsi="Times New Roman" w:cs="Times New Roman"/>
                <w:color w:val="1B1B1B"/>
                <w:kern w:val="0"/>
                <w:sz w:val="14"/>
                <w:szCs w:val="14"/>
                <w:lang w:eastAsia="en-NL"/>
                <w14:ligatures w14:val="none"/>
              </w:rPr>
            </w:pPr>
            <w:r w:rsidRPr="00DD5124">
              <w:rPr>
                <w:rFonts w:ascii="Times New Roman" w:eastAsia="Times New Roman" w:hAnsi="Times New Roman" w:cs="Times New Roman"/>
                <w:color w:val="1B1B1B"/>
                <w:kern w:val="0"/>
                <w:sz w:val="14"/>
                <w:szCs w:val="14"/>
                <w:lang w:eastAsia="en-NL"/>
                <w14:ligatures w14:val="none"/>
              </w:rPr>
              <w:t>NCT05037162</w:t>
            </w:r>
          </w:p>
        </w:tc>
        <w:tc>
          <w:tcPr>
            <w:tcW w:w="2168" w:type="dxa"/>
            <w:hideMark/>
          </w:tcPr>
          <w:p w14:paraId="5860647C" w14:textId="4C5F1B5E" w:rsidR="00A92A05" w:rsidRPr="002A56A8" w:rsidRDefault="002A56A8" w:rsidP="00DD5124">
            <w:pPr>
              <w:rPr>
                <w:rFonts w:ascii="Times New Roman" w:eastAsia="Times New Roman" w:hAnsi="Times New Roman" w:cs="Times New Roman"/>
                <w:color w:val="374151"/>
                <w:kern w:val="0"/>
                <w:sz w:val="14"/>
                <w:szCs w:val="14"/>
                <w:lang w:val="en-US" w:eastAsia="en-NL"/>
                <w14:ligatures w14:val="none"/>
              </w:rPr>
            </w:pPr>
            <w:r>
              <w:rPr>
                <w:rFonts w:ascii="Times New Roman" w:eastAsia="Times New Roman" w:hAnsi="Times New Roman" w:cs="Times New Roman"/>
                <w:color w:val="374151"/>
                <w:kern w:val="0"/>
                <w:sz w:val="14"/>
                <w:szCs w:val="14"/>
                <w:lang w:val="en-US" w:eastAsia="en-NL"/>
                <w14:ligatures w14:val="none"/>
              </w:rPr>
              <w:t>COMPLETED</w:t>
            </w:r>
          </w:p>
        </w:tc>
        <w:tc>
          <w:tcPr>
            <w:tcW w:w="4125" w:type="dxa"/>
          </w:tcPr>
          <w:p w14:paraId="7094259A" w14:textId="77777777" w:rsidR="00A92A05" w:rsidRPr="00903922" w:rsidRDefault="00A92A05" w:rsidP="00DD5124">
            <w:pPr>
              <w:rPr>
                <w:rFonts w:ascii="Times New Roman" w:eastAsia="Times New Roman" w:hAnsi="Times New Roman" w:cs="Times New Roman"/>
                <w:color w:val="374151"/>
                <w:kern w:val="0"/>
                <w:sz w:val="14"/>
                <w:szCs w:val="14"/>
                <w:lang w:eastAsia="en-NL"/>
                <w14:ligatures w14:val="none"/>
              </w:rPr>
            </w:pPr>
          </w:p>
        </w:tc>
      </w:tr>
      <w:tr w:rsidR="00A92A05" w:rsidRPr="00903922" w14:paraId="6EC7C861" w14:textId="34BF409B" w:rsidTr="00B46704">
        <w:trPr>
          <w:trHeight w:val="585"/>
        </w:trPr>
        <w:tc>
          <w:tcPr>
            <w:tcW w:w="993" w:type="dxa"/>
            <w:noWrap/>
            <w:hideMark/>
          </w:tcPr>
          <w:p w14:paraId="4887919D" w14:textId="77777777" w:rsidR="00A92A05" w:rsidRPr="00DD5124" w:rsidRDefault="00A92A05" w:rsidP="00DD5124">
            <w:pPr>
              <w:rPr>
                <w:rFonts w:ascii="Times New Roman" w:eastAsia="Times New Roman" w:hAnsi="Times New Roman" w:cs="Times New Roman"/>
                <w:color w:val="374151"/>
                <w:kern w:val="0"/>
                <w:sz w:val="14"/>
                <w:szCs w:val="14"/>
                <w:lang w:eastAsia="en-NL"/>
                <w14:ligatures w14:val="none"/>
              </w:rPr>
            </w:pPr>
          </w:p>
        </w:tc>
        <w:tc>
          <w:tcPr>
            <w:tcW w:w="1126" w:type="dxa"/>
            <w:hideMark/>
          </w:tcPr>
          <w:p w14:paraId="13EA1F43" w14:textId="77777777" w:rsidR="00A92A05" w:rsidRPr="00DD5124" w:rsidRDefault="00A92A05" w:rsidP="00DD5124">
            <w:pPr>
              <w:rPr>
                <w:rFonts w:ascii="Times New Roman" w:eastAsia="Times New Roman" w:hAnsi="Times New Roman" w:cs="Times New Roman"/>
                <w:color w:val="1B1B1B"/>
                <w:kern w:val="0"/>
                <w:sz w:val="14"/>
                <w:szCs w:val="14"/>
                <w:lang w:eastAsia="en-NL"/>
                <w14:ligatures w14:val="none"/>
              </w:rPr>
            </w:pPr>
            <w:r w:rsidRPr="00DD5124">
              <w:rPr>
                <w:rFonts w:ascii="Times New Roman" w:eastAsia="Times New Roman" w:hAnsi="Times New Roman" w:cs="Times New Roman"/>
                <w:color w:val="1B1B1B"/>
                <w:kern w:val="0"/>
                <w:sz w:val="14"/>
                <w:szCs w:val="14"/>
                <w:lang w:eastAsia="en-NL"/>
                <w14:ligatures w14:val="none"/>
              </w:rPr>
              <w:t>NCT04802382</w:t>
            </w:r>
          </w:p>
        </w:tc>
        <w:tc>
          <w:tcPr>
            <w:tcW w:w="2168" w:type="dxa"/>
            <w:hideMark/>
          </w:tcPr>
          <w:p w14:paraId="17BDFE0C" w14:textId="3E247846" w:rsidR="00A92A05" w:rsidRPr="002A56A8" w:rsidRDefault="002A56A8" w:rsidP="00DD5124">
            <w:pPr>
              <w:rPr>
                <w:rFonts w:ascii="Times New Roman" w:eastAsia="Times New Roman" w:hAnsi="Times New Roman" w:cs="Times New Roman"/>
                <w:color w:val="374151"/>
                <w:kern w:val="0"/>
                <w:sz w:val="14"/>
                <w:szCs w:val="14"/>
                <w:lang w:val="en-US" w:eastAsia="en-NL"/>
                <w14:ligatures w14:val="none"/>
              </w:rPr>
            </w:pPr>
            <w:r>
              <w:rPr>
                <w:rFonts w:ascii="Times New Roman" w:eastAsia="Times New Roman" w:hAnsi="Times New Roman" w:cs="Times New Roman"/>
                <w:color w:val="374151"/>
                <w:kern w:val="0"/>
                <w:sz w:val="14"/>
                <w:szCs w:val="14"/>
                <w:lang w:val="en-US" w:eastAsia="en-NL"/>
                <w14:ligatures w14:val="none"/>
              </w:rPr>
              <w:t>ACTIVE_NOT_RECRUITING</w:t>
            </w:r>
          </w:p>
        </w:tc>
        <w:tc>
          <w:tcPr>
            <w:tcW w:w="4125" w:type="dxa"/>
          </w:tcPr>
          <w:p w14:paraId="281E4730" w14:textId="77777777" w:rsidR="00A92A05" w:rsidRPr="00903922" w:rsidRDefault="00A92A05" w:rsidP="00DD5124">
            <w:pPr>
              <w:rPr>
                <w:rFonts w:ascii="Times New Roman" w:eastAsia="Times New Roman" w:hAnsi="Times New Roman" w:cs="Times New Roman"/>
                <w:color w:val="374151"/>
                <w:kern w:val="0"/>
                <w:sz w:val="14"/>
                <w:szCs w:val="14"/>
                <w:lang w:eastAsia="en-NL"/>
                <w14:ligatures w14:val="none"/>
              </w:rPr>
            </w:pPr>
          </w:p>
        </w:tc>
      </w:tr>
      <w:tr w:rsidR="00A92A05" w:rsidRPr="00903922" w14:paraId="0922926C" w14:textId="39425D44" w:rsidTr="00B46704">
        <w:trPr>
          <w:trHeight w:val="315"/>
        </w:trPr>
        <w:tc>
          <w:tcPr>
            <w:tcW w:w="993" w:type="dxa"/>
            <w:noWrap/>
            <w:hideMark/>
          </w:tcPr>
          <w:p w14:paraId="015F3005" w14:textId="77777777" w:rsidR="00A92A05" w:rsidRPr="00DD5124" w:rsidRDefault="00A92A05" w:rsidP="00DD5124">
            <w:pPr>
              <w:rPr>
                <w:rFonts w:ascii="Times New Roman" w:eastAsia="Times New Roman" w:hAnsi="Times New Roman" w:cs="Times New Roman"/>
                <w:color w:val="374151"/>
                <w:kern w:val="0"/>
                <w:sz w:val="14"/>
                <w:szCs w:val="14"/>
                <w:lang w:eastAsia="en-NL"/>
                <w14:ligatures w14:val="none"/>
              </w:rPr>
            </w:pPr>
          </w:p>
        </w:tc>
        <w:tc>
          <w:tcPr>
            <w:tcW w:w="1126" w:type="dxa"/>
            <w:hideMark/>
          </w:tcPr>
          <w:p w14:paraId="3BC1F02E" w14:textId="77777777" w:rsidR="00A92A05" w:rsidRPr="00DD5124" w:rsidRDefault="00A92A05" w:rsidP="00DD5124">
            <w:pPr>
              <w:rPr>
                <w:rFonts w:ascii="Times New Roman" w:eastAsia="Times New Roman" w:hAnsi="Times New Roman" w:cs="Times New Roman"/>
                <w:color w:val="1B1B1B"/>
                <w:kern w:val="0"/>
                <w:sz w:val="14"/>
                <w:szCs w:val="14"/>
                <w:lang w:eastAsia="en-NL"/>
                <w14:ligatures w14:val="none"/>
              </w:rPr>
            </w:pPr>
            <w:r w:rsidRPr="00DD5124">
              <w:rPr>
                <w:rFonts w:ascii="Times New Roman" w:eastAsia="Times New Roman" w:hAnsi="Times New Roman" w:cs="Times New Roman"/>
                <w:color w:val="1B1B1B"/>
                <w:kern w:val="0"/>
                <w:sz w:val="14"/>
                <w:szCs w:val="14"/>
                <w:lang w:eastAsia="en-NL"/>
                <w14:ligatures w14:val="none"/>
              </w:rPr>
              <w:t>NCT05629975</w:t>
            </w:r>
          </w:p>
        </w:tc>
        <w:tc>
          <w:tcPr>
            <w:tcW w:w="2168" w:type="dxa"/>
            <w:hideMark/>
          </w:tcPr>
          <w:p w14:paraId="1A27EFAD" w14:textId="5A23E88B" w:rsidR="00A92A05" w:rsidRPr="002A56A8" w:rsidRDefault="002A56A8" w:rsidP="00DD5124">
            <w:pPr>
              <w:rPr>
                <w:rFonts w:ascii="Times New Roman" w:eastAsia="Times New Roman" w:hAnsi="Times New Roman" w:cs="Times New Roman"/>
                <w:color w:val="374151"/>
                <w:kern w:val="0"/>
                <w:sz w:val="14"/>
                <w:szCs w:val="14"/>
                <w:lang w:val="en-US" w:eastAsia="en-NL"/>
                <w14:ligatures w14:val="none"/>
              </w:rPr>
            </w:pPr>
            <w:r>
              <w:rPr>
                <w:rFonts w:ascii="Times New Roman" w:eastAsia="Times New Roman" w:hAnsi="Times New Roman" w:cs="Times New Roman"/>
                <w:color w:val="374151"/>
                <w:kern w:val="0"/>
                <w:sz w:val="14"/>
                <w:szCs w:val="14"/>
                <w:lang w:val="en-US" w:eastAsia="en-NL"/>
                <w14:ligatures w14:val="none"/>
              </w:rPr>
              <w:t>NOT_YET_RECRUITING</w:t>
            </w:r>
          </w:p>
        </w:tc>
        <w:tc>
          <w:tcPr>
            <w:tcW w:w="4125" w:type="dxa"/>
          </w:tcPr>
          <w:p w14:paraId="4200C0E3" w14:textId="77777777" w:rsidR="00A92A05" w:rsidRPr="00903922" w:rsidRDefault="00A92A05" w:rsidP="00DD5124">
            <w:pPr>
              <w:rPr>
                <w:rFonts w:ascii="Times New Roman" w:eastAsia="Times New Roman" w:hAnsi="Times New Roman" w:cs="Times New Roman"/>
                <w:color w:val="374151"/>
                <w:kern w:val="0"/>
                <w:sz w:val="14"/>
                <w:szCs w:val="14"/>
                <w:lang w:eastAsia="en-NL"/>
                <w14:ligatures w14:val="none"/>
              </w:rPr>
            </w:pPr>
          </w:p>
        </w:tc>
      </w:tr>
      <w:tr w:rsidR="00A92A05" w:rsidRPr="00903922" w14:paraId="7F707BDE" w14:textId="77777777" w:rsidTr="00B46704">
        <w:trPr>
          <w:trHeight w:val="315"/>
        </w:trPr>
        <w:tc>
          <w:tcPr>
            <w:tcW w:w="993" w:type="dxa"/>
          </w:tcPr>
          <w:p w14:paraId="7CE7E77E" w14:textId="6E956108" w:rsidR="00A92A05" w:rsidRPr="00903922" w:rsidRDefault="00A92A05" w:rsidP="00DD5124">
            <w:pPr>
              <w:rPr>
                <w:rFonts w:ascii="Times New Roman" w:eastAsia="Times New Roman" w:hAnsi="Times New Roman" w:cs="Times New Roman"/>
                <w:color w:val="000000"/>
                <w:kern w:val="0"/>
                <w:sz w:val="14"/>
                <w:szCs w:val="14"/>
                <w:lang w:val="en-US" w:eastAsia="en-NL"/>
                <w14:ligatures w14:val="none"/>
              </w:rPr>
            </w:pPr>
            <w:r w:rsidRPr="00903922">
              <w:rPr>
                <w:rFonts w:ascii="Times New Roman" w:eastAsia="Times New Roman" w:hAnsi="Times New Roman" w:cs="Times New Roman"/>
                <w:color w:val="000000"/>
                <w:kern w:val="0"/>
                <w:sz w:val="14"/>
                <w:szCs w:val="14"/>
                <w:lang w:val="en-US" w:eastAsia="en-NL"/>
                <w14:ligatures w14:val="none"/>
              </w:rPr>
              <w:t>EGCG</w:t>
            </w:r>
          </w:p>
        </w:tc>
        <w:tc>
          <w:tcPr>
            <w:tcW w:w="1126" w:type="dxa"/>
          </w:tcPr>
          <w:p w14:paraId="67A8D30B"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c>
          <w:tcPr>
            <w:tcW w:w="2168" w:type="dxa"/>
          </w:tcPr>
          <w:p w14:paraId="52B53A04" w14:textId="77777777" w:rsidR="00A92A05" w:rsidRPr="00903922" w:rsidRDefault="00A92A05" w:rsidP="00DD5124">
            <w:pPr>
              <w:rPr>
                <w:rFonts w:ascii="Times New Roman" w:eastAsia="Times New Roman" w:hAnsi="Times New Roman" w:cs="Times New Roman"/>
                <w:color w:val="374151"/>
                <w:kern w:val="0"/>
                <w:sz w:val="14"/>
                <w:szCs w:val="14"/>
                <w:lang w:eastAsia="en-NL"/>
                <w14:ligatures w14:val="none"/>
              </w:rPr>
            </w:pPr>
          </w:p>
        </w:tc>
        <w:tc>
          <w:tcPr>
            <w:tcW w:w="4125" w:type="dxa"/>
          </w:tcPr>
          <w:p w14:paraId="0D7F904F" w14:textId="53917205" w:rsidR="00A92A05" w:rsidRPr="00192E9D" w:rsidRDefault="00A92A05" w:rsidP="00DD5124">
            <w:pPr>
              <w:rPr>
                <w:rFonts w:ascii="Times New Roman" w:eastAsia="Times New Roman" w:hAnsi="Times New Roman" w:cs="Times New Roman"/>
                <w:color w:val="374151"/>
                <w:kern w:val="0"/>
                <w:sz w:val="14"/>
                <w:szCs w:val="14"/>
                <w:lang w:val="en-US" w:eastAsia="en-NL"/>
                <w14:ligatures w14:val="none"/>
              </w:rPr>
            </w:pPr>
            <w:r w:rsidRPr="00192E9D">
              <w:rPr>
                <w:rFonts w:ascii="Times New Roman" w:eastAsia="Times New Roman" w:hAnsi="Times New Roman" w:cs="Times New Roman"/>
                <w:color w:val="374151"/>
                <w:kern w:val="0"/>
                <w:sz w:val="14"/>
                <w:szCs w:val="14"/>
                <w:lang w:val="en-US" w:eastAsia="en-NL"/>
                <w14:ligatures w14:val="none"/>
              </w:rPr>
              <w:t>Apparent positive effect on treatment out</w:t>
            </w:r>
            <w:r>
              <w:rPr>
                <w:rFonts w:ascii="Times New Roman" w:eastAsia="Times New Roman" w:hAnsi="Times New Roman" w:cs="Times New Roman"/>
                <w:color w:val="374151"/>
                <w:kern w:val="0"/>
                <w:sz w:val="14"/>
                <w:szCs w:val="14"/>
                <w:lang w:val="en-US" w:eastAsia="en-NL"/>
                <w14:ligatures w14:val="none"/>
              </w:rPr>
              <w:t>come, but no controls</w:t>
            </w:r>
            <w:r>
              <w:rPr>
                <w:rFonts w:ascii="Times New Roman" w:eastAsia="Times New Roman" w:hAnsi="Times New Roman" w:cs="Times New Roman"/>
                <w:color w:val="374151"/>
                <w:kern w:val="0"/>
                <w:sz w:val="14"/>
                <w:szCs w:val="14"/>
                <w:lang w:val="en-US" w:eastAsia="en-NL"/>
                <w14:ligatures w14:val="none"/>
              </w:rPr>
              <w:fldChar w:fldCharType="begin"/>
            </w:r>
            <w:r>
              <w:rPr>
                <w:rFonts w:ascii="Times New Roman" w:eastAsia="Times New Roman" w:hAnsi="Times New Roman" w:cs="Times New Roman"/>
                <w:color w:val="374151"/>
                <w:kern w:val="0"/>
                <w:sz w:val="14"/>
                <w:szCs w:val="14"/>
                <w:lang w:val="en-US" w:eastAsia="en-NL"/>
                <w14:ligatures w14:val="none"/>
              </w:rPr>
              <w:instrText xml:space="preserve"> ADDIN ZOTERO_ITEM CSL_CITATION {"citationID":"VxHhsT64","properties":{"formattedCitation":"[5]","plainCitation":"[5]","noteIndex":0},"citationItems":[{"id":11556,"uris":["http://zotero.org/users/7565624/items/697LPPGE"],"itemData":{"id":11556,"type":"article-journal","abstract":"The lack of therapies for moderate COVID-19 syndrome prompted us to use a standardized polyphenolic green tea extract rich in catechins during the lockdown due to the pandemic in Italy (Autumn 2020). Catechins are powerful antioxidant, anti-inflammatory and antiviral agents that are safe for human use. While awaiting hospitalization, 10 swab-positive patients, symptomatic for SARS-COV-2, were treated for 15 days at home with two sessions of inhalation plus three capsules per day (total catechins: 840 mg; total EGCG: 595 mg). All patients recovered fully and had no symptoms at a median of 9 days, with a range of 7–15 days. Seven switched to a negative SARS-COV-2 nasopharyngeal swab test at a median of 9 days, with a range of 6–13 days. Among the 3 patients still swab-positive, one had a strong decrease of infection down to a “very low” SARS-COV-2 nucleic acid load at 5 days. All patients exited quarantine at the end of therapy because they were free of symptoms. Inflammation markers α-1 anti-trypsin, C-reactive protein and eosinophils had significantly decreased. The IL-6 and erythrocyte sedimentation rate decreased in 7 out of 10 patients. To the best of our knowledge, this is the first report of the efficacy of green tea catechin against COVID-19 syndrome. These results may open new perspectives in the fight against the disease.","container-title":"COVID","DOI":"10.3390/covid1010002","ISSN":"2673-8112","issue":"1","language":"en","license":"http://creativecommons.org/licenses/by/3.0/","note":"number: 1\npublisher: Multidisciplinary Digital Publishing Institute","page":"2-12","source":"www.mdpi.com","title":"Efficacy of a Polyphenolic, Standardized Green Tea Extract for the Treatment of COVID-19 Syndrome: A Proof-of-Principle Study","title-short":"Efficacy of a Polyphenolic, Standardized Green Tea Extract for the Treatment of COVID-19 Syndrome","URL":"https://www.mdpi.com/2673-8112/1/1/2","volume":"1","author":[{"family":"Bettuzzi","given":"Saverio"},{"family":"Gabba","given":"Luigi"},{"family":"Cataldo","given":"Simona"}],"accessed":{"date-parts":[["2023",6,23]]},"issued":{"date-parts":[["2021",9]]}}}],"schema":"https://github.com/citation-style-language/schema/raw/master/csl-citation.json"} </w:instrText>
            </w:r>
            <w:r>
              <w:rPr>
                <w:rFonts w:ascii="Times New Roman" w:eastAsia="Times New Roman" w:hAnsi="Times New Roman" w:cs="Times New Roman"/>
                <w:color w:val="374151"/>
                <w:kern w:val="0"/>
                <w:sz w:val="14"/>
                <w:szCs w:val="14"/>
                <w:lang w:val="en-US" w:eastAsia="en-NL"/>
                <w14:ligatures w14:val="none"/>
              </w:rPr>
              <w:fldChar w:fldCharType="separate"/>
            </w:r>
            <w:r w:rsidRPr="00192E9D">
              <w:rPr>
                <w:rFonts w:ascii="Times New Roman" w:hAnsi="Times New Roman" w:cs="Times New Roman"/>
                <w:sz w:val="14"/>
              </w:rPr>
              <w:t>[5]</w:t>
            </w:r>
            <w:r>
              <w:rPr>
                <w:rFonts w:ascii="Times New Roman" w:eastAsia="Times New Roman" w:hAnsi="Times New Roman" w:cs="Times New Roman"/>
                <w:color w:val="374151"/>
                <w:kern w:val="0"/>
                <w:sz w:val="14"/>
                <w:szCs w:val="14"/>
                <w:lang w:val="en-US" w:eastAsia="en-NL"/>
                <w14:ligatures w14:val="none"/>
              </w:rPr>
              <w:fldChar w:fldCharType="end"/>
            </w:r>
            <w:r>
              <w:rPr>
                <w:rFonts w:ascii="Times New Roman" w:eastAsia="Times New Roman" w:hAnsi="Times New Roman" w:cs="Times New Roman"/>
                <w:color w:val="374151"/>
                <w:kern w:val="0"/>
                <w:sz w:val="14"/>
                <w:szCs w:val="14"/>
                <w:lang w:val="en-US" w:eastAsia="en-NL"/>
                <w14:ligatures w14:val="none"/>
              </w:rPr>
              <w:t>.</w:t>
            </w:r>
          </w:p>
        </w:tc>
      </w:tr>
      <w:tr w:rsidR="00A92A05" w:rsidRPr="00903922" w14:paraId="0C77FC99" w14:textId="6FCCF2D3" w:rsidTr="00B46704">
        <w:trPr>
          <w:trHeight w:val="315"/>
        </w:trPr>
        <w:tc>
          <w:tcPr>
            <w:tcW w:w="993" w:type="dxa"/>
            <w:hideMark/>
          </w:tcPr>
          <w:p w14:paraId="0E57F328"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val="en-US" w:eastAsia="en-NL"/>
                <w14:ligatures w14:val="none"/>
              </w:rPr>
              <w:t>Rapamycin</w:t>
            </w:r>
          </w:p>
        </w:tc>
        <w:tc>
          <w:tcPr>
            <w:tcW w:w="1126" w:type="dxa"/>
            <w:hideMark/>
          </w:tcPr>
          <w:p w14:paraId="5F1808AA"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NCT04948203</w:t>
            </w:r>
          </w:p>
        </w:tc>
        <w:tc>
          <w:tcPr>
            <w:tcW w:w="2168" w:type="dxa"/>
            <w:hideMark/>
          </w:tcPr>
          <w:p w14:paraId="3811585F" w14:textId="792875D1" w:rsidR="00A92A05" w:rsidRPr="002A56A8" w:rsidRDefault="002A56A8" w:rsidP="00DD5124">
            <w:pPr>
              <w:rPr>
                <w:rFonts w:ascii="Times New Roman" w:eastAsia="Times New Roman" w:hAnsi="Times New Roman" w:cs="Times New Roman"/>
                <w:color w:val="374151"/>
                <w:kern w:val="0"/>
                <w:sz w:val="14"/>
                <w:szCs w:val="14"/>
                <w:lang w:val="en-US" w:eastAsia="en-NL"/>
                <w14:ligatures w14:val="none"/>
              </w:rPr>
            </w:pPr>
            <w:r>
              <w:rPr>
                <w:rFonts w:ascii="Times New Roman" w:eastAsia="Times New Roman" w:hAnsi="Times New Roman" w:cs="Times New Roman"/>
                <w:color w:val="374151"/>
                <w:kern w:val="0"/>
                <w:sz w:val="14"/>
                <w:szCs w:val="14"/>
                <w:lang w:val="en-US" w:eastAsia="en-NL"/>
                <w14:ligatures w14:val="none"/>
              </w:rPr>
              <w:t>RECRUITING</w:t>
            </w:r>
          </w:p>
        </w:tc>
        <w:tc>
          <w:tcPr>
            <w:tcW w:w="4125" w:type="dxa"/>
          </w:tcPr>
          <w:p w14:paraId="248C754D" w14:textId="77777777" w:rsidR="00A92A05" w:rsidRPr="00903922" w:rsidRDefault="00A92A05" w:rsidP="00DD5124">
            <w:pPr>
              <w:rPr>
                <w:rFonts w:ascii="Times New Roman" w:eastAsia="Times New Roman" w:hAnsi="Times New Roman" w:cs="Times New Roman"/>
                <w:color w:val="374151"/>
                <w:kern w:val="0"/>
                <w:sz w:val="14"/>
                <w:szCs w:val="14"/>
                <w:lang w:eastAsia="en-NL"/>
                <w14:ligatures w14:val="none"/>
              </w:rPr>
            </w:pPr>
          </w:p>
        </w:tc>
      </w:tr>
      <w:tr w:rsidR="00A92A05" w:rsidRPr="00903922" w14:paraId="1496F7CE" w14:textId="77777777" w:rsidTr="00B46704">
        <w:trPr>
          <w:trHeight w:val="315"/>
        </w:trPr>
        <w:tc>
          <w:tcPr>
            <w:tcW w:w="993" w:type="dxa"/>
          </w:tcPr>
          <w:p w14:paraId="15B15D02" w14:textId="4913F8EE" w:rsidR="00A92A05" w:rsidRPr="00903922" w:rsidRDefault="00A92A05" w:rsidP="00DD5124">
            <w:pPr>
              <w:rPr>
                <w:rFonts w:ascii="Times New Roman" w:eastAsia="Times New Roman" w:hAnsi="Times New Roman" w:cs="Times New Roman"/>
                <w:color w:val="000000"/>
                <w:kern w:val="0"/>
                <w:sz w:val="14"/>
                <w:szCs w:val="14"/>
                <w:lang w:val="en-US" w:eastAsia="en-NL"/>
                <w14:ligatures w14:val="none"/>
              </w:rPr>
            </w:pPr>
            <w:r w:rsidRPr="00903922">
              <w:rPr>
                <w:rFonts w:ascii="Times New Roman" w:eastAsia="Times New Roman" w:hAnsi="Times New Roman" w:cs="Times New Roman"/>
                <w:color w:val="000000"/>
                <w:kern w:val="0"/>
                <w:sz w:val="14"/>
                <w:szCs w:val="14"/>
                <w:lang w:val="en-US" w:eastAsia="en-NL"/>
                <w14:ligatures w14:val="none"/>
              </w:rPr>
              <w:t>Resveratrol</w:t>
            </w:r>
          </w:p>
        </w:tc>
        <w:tc>
          <w:tcPr>
            <w:tcW w:w="1126" w:type="dxa"/>
          </w:tcPr>
          <w:p w14:paraId="5049E24D" w14:textId="26465DAB" w:rsidR="00A92A05" w:rsidRPr="00903922" w:rsidRDefault="00A92A05" w:rsidP="00DD5124">
            <w:pPr>
              <w:rPr>
                <w:rFonts w:ascii="Times New Roman" w:eastAsia="Times New Roman" w:hAnsi="Times New Roman" w:cs="Times New Roman"/>
                <w:color w:val="000000"/>
                <w:kern w:val="0"/>
                <w:sz w:val="14"/>
                <w:szCs w:val="14"/>
                <w:lang w:val="en-US" w:eastAsia="en-NL"/>
                <w14:ligatures w14:val="none"/>
              </w:rPr>
            </w:pPr>
            <w:r w:rsidRPr="00903922">
              <w:rPr>
                <w:rFonts w:ascii="Times New Roman" w:eastAsia="Times New Roman" w:hAnsi="Times New Roman" w:cs="Times New Roman"/>
                <w:color w:val="000000"/>
                <w:kern w:val="0"/>
                <w:sz w:val="14"/>
                <w:szCs w:val="14"/>
                <w:lang w:val="en-US" w:eastAsia="en-NL"/>
                <w14:ligatures w14:val="none"/>
              </w:rPr>
              <w:t>See above</w:t>
            </w:r>
          </w:p>
        </w:tc>
        <w:tc>
          <w:tcPr>
            <w:tcW w:w="2168" w:type="dxa"/>
          </w:tcPr>
          <w:p w14:paraId="3D7B963D" w14:textId="77777777" w:rsidR="00A92A05" w:rsidRPr="00903922" w:rsidRDefault="00A92A05" w:rsidP="00DD5124">
            <w:pPr>
              <w:rPr>
                <w:rFonts w:ascii="Times New Roman" w:eastAsia="Times New Roman" w:hAnsi="Times New Roman" w:cs="Times New Roman"/>
                <w:color w:val="374151"/>
                <w:kern w:val="0"/>
                <w:sz w:val="14"/>
                <w:szCs w:val="14"/>
                <w:lang w:eastAsia="en-NL"/>
                <w14:ligatures w14:val="none"/>
              </w:rPr>
            </w:pPr>
          </w:p>
        </w:tc>
        <w:tc>
          <w:tcPr>
            <w:tcW w:w="4125" w:type="dxa"/>
          </w:tcPr>
          <w:p w14:paraId="493F7C13" w14:textId="66E5CFA0" w:rsidR="00A92A05" w:rsidRPr="009271A4" w:rsidRDefault="00A92A05" w:rsidP="00DD5124">
            <w:pPr>
              <w:rPr>
                <w:rFonts w:ascii="Times New Roman" w:eastAsia="Times New Roman" w:hAnsi="Times New Roman" w:cs="Times New Roman"/>
                <w:color w:val="374151"/>
                <w:kern w:val="0"/>
                <w:sz w:val="14"/>
                <w:szCs w:val="14"/>
                <w:lang w:val="en-US" w:eastAsia="en-NL"/>
                <w14:ligatures w14:val="none"/>
              </w:rPr>
            </w:pPr>
            <w:r>
              <w:rPr>
                <w:rFonts w:ascii="Times New Roman" w:eastAsia="Times New Roman" w:hAnsi="Times New Roman" w:cs="Times New Roman"/>
                <w:color w:val="374151"/>
                <w:kern w:val="0"/>
                <w:sz w:val="14"/>
                <w:szCs w:val="14"/>
                <w:lang w:val="en-US" w:eastAsia="en-NL"/>
                <w14:ligatures w14:val="none"/>
              </w:rPr>
              <w:t>See above</w:t>
            </w:r>
          </w:p>
        </w:tc>
      </w:tr>
      <w:tr w:rsidR="00A92A05" w:rsidRPr="00903922" w14:paraId="6176D9B8" w14:textId="68170EBC" w:rsidTr="00B46704">
        <w:trPr>
          <w:trHeight w:val="315"/>
        </w:trPr>
        <w:tc>
          <w:tcPr>
            <w:tcW w:w="993" w:type="dxa"/>
            <w:hideMark/>
          </w:tcPr>
          <w:p w14:paraId="72222304"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roofErr w:type="spellStart"/>
            <w:r w:rsidRPr="00DD5124">
              <w:rPr>
                <w:rFonts w:ascii="Times New Roman" w:eastAsia="Times New Roman" w:hAnsi="Times New Roman" w:cs="Times New Roman"/>
                <w:color w:val="000000"/>
                <w:kern w:val="0"/>
                <w:sz w:val="14"/>
                <w:szCs w:val="14"/>
                <w:lang w:val="en-US" w:eastAsia="en-NL"/>
                <w14:ligatures w14:val="none"/>
              </w:rPr>
              <w:t>Fisetin</w:t>
            </w:r>
            <w:proofErr w:type="spellEnd"/>
          </w:p>
        </w:tc>
        <w:tc>
          <w:tcPr>
            <w:tcW w:w="1126" w:type="dxa"/>
            <w:hideMark/>
          </w:tcPr>
          <w:p w14:paraId="22A63B74"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NCT04771611</w:t>
            </w:r>
          </w:p>
        </w:tc>
        <w:tc>
          <w:tcPr>
            <w:tcW w:w="2168" w:type="dxa"/>
            <w:hideMark/>
          </w:tcPr>
          <w:p w14:paraId="5E43934D" w14:textId="49A05518" w:rsidR="00A92A05" w:rsidRPr="002A56A8" w:rsidRDefault="002A56A8" w:rsidP="00DD5124">
            <w:pPr>
              <w:rPr>
                <w:rFonts w:ascii="Times New Roman" w:eastAsia="Times New Roman" w:hAnsi="Times New Roman" w:cs="Times New Roman"/>
                <w:color w:val="374151"/>
                <w:kern w:val="0"/>
                <w:sz w:val="14"/>
                <w:szCs w:val="14"/>
                <w:lang w:val="en-US" w:eastAsia="en-NL"/>
                <w14:ligatures w14:val="none"/>
              </w:rPr>
            </w:pPr>
            <w:r>
              <w:rPr>
                <w:rFonts w:ascii="Times New Roman" w:eastAsia="Times New Roman" w:hAnsi="Times New Roman" w:cs="Times New Roman"/>
                <w:color w:val="374151"/>
                <w:kern w:val="0"/>
                <w:sz w:val="14"/>
                <w:szCs w:val="14"/>
                <w:lang w:val="en-US" w:eastAsia="en-NL"/>
                <w14:ligatures w14:val="none"/>
              </w:rPr>
              <w:t>COMPLETED</w:t>
            </w:r>
          </w:p>
        </w:tc>
        <w:tc>
          <w:tcPr>
            <w:tcW w:w="4125" w:type="dxa"/>
          </w:tcPr>
          <w:p w14:paraId="579D3396" w14:textId="2189C592" w:rsidR="00A92A05" w:rsidRPr="009271A4" w:rsidRDefault="00A92A05" w:rsidP="00DD5124">
            <w:pPr>
              <w:rPr>
                <w:rFonts w:ascii="Times New Roman" w:eastAsia="Times New Roman" w:hAnsi="Times New Roman" w:cs="Times New Roman"/>
                <w:color w:val="374151"/>
                <w:kern w:val="0"/>
                <w:sz w:val="14"/>
                <w:szCs w:val="14"/>
                <w:lang w:val="en-US" w:eastAsia="en-NL"/>
                <w14:ligatures w14:val="none"/>
              </w:rPr>
            </w:pPr>
            <w:r>
              <w:rPr>
                <w:rFonts w:ascii="Times New Roman" w:eastAsia="Times New Roman" w:hAnsi="Times New Roman" w:cs="Times New Roman"/>
                <w:color w:val="374151"/>
                <w:kern w:val="0"/>
                <w:sz w:val="14"/>
                <w:szCs w:val="14"/>
                <w:lang w:val="en-US" w:eastAsia="en-NL"/>
                <w14:ligatures w14:val="none"/>
              </w:rPr>
              <w:t>Reduce coronavirus mortality in aged mice</w:t>
            </w:r>
            <w:r>
              <w:rPr>
                <w:rFonts w:ascii="Times New Roman" w:eastAsia="Times New Roman" w:hAnsi="Times New Roman" w:cs="Times New Roman"/>
                <w:color w:val="374151"/>
                <w:kern w:val="0"/>
                <w:sz w:val="14"/>
                <w:szCs w:val="14"/>
                <w:lang w:val="en-US" w:eastAsia="en-NL"/>
                <w14:ligatures w14:val="none"/>
              </w:rPr>
              <w:fldChar w:fldCharType="begin"/>
            </w:r>
            <w:r>
              <w:rPr>
                <w:rFonts w:ascii="Times New Roman" w:eastAsia="Times New Roman" w:hAnsi="Times New Roman" w:cs="Times New Roman"/>
                <w:color w:val="374151"/>
                <w:kern w:val="0"/>
                <w:sz w:val="14"/>
                <w:szCs w:val="14"/>
                <w:lang w:val="en-US" w:eastAsia="en-NL"/>
                <w14:ligatures w14:val="none"/>
              </w:rPr>
              <w:instrText xml:space="preserve"> ADDIN ZOTERO_ITEM CSL_CITATION {"citationID":"oLz3Tsdd","properties":{"formattedCitation":"[6]","plainCitation":"[6]","noteIndex":0},"citationItems":[{"id":11565,"uris":["http://zotero.org/users/7565624/items/N68WPZSZ"],"itemData":{"id":11565,"type":"article-journal","abstract":"The COVID-19 pandemic has revealed the pronounced vulnerability of the elderly and chronically ill to severe acute respiratory syndrome coronavirus 2 (SARS-CoV-2)–induced morbidity and mortality. Cellular senescence contributes to inflammation, multiple chronic diseases, and age-related dysfunction, but effects on responses to viral infection are unclear. Here, we demonstrate that senescent cells (SnCs) become hyper-inflammatory in response to pathogen-associated molecular patterns (PAMPs), including SARS-CoV-2 spike protein-1, increasing expression of viral entry proteins and reducing antiviral gene expression in non-SnCs through a paracrine mechanism. Old mice acutely infected with pathogens that included a SARS-CoV-2–related mouse β-coronavirus experienced increased senescence and inflammation, with nearly 100% mortality. Targeting SnCs by using senolytic drugs before or after pathogen exposure significantly reduced mortality, cellular senescence, and inflammatory markers and increased antiviral antibodies. Thus, reducing the SnC burden in diseased or aged individuals should enhance resilience and reduce mortality after viral infection, including that of SARS-CoV-2.","container-title":"Science","DOI":"10.1126/science.abe4832","issue":"6552","note":"publisher: American Association for the Advancement of Science","page":"eabe4832","source":"science.org (Atypon)","title":"Senolytics reduce coronavirus-related mortality in old mice","URL":"https://www.science.org/doi/full/10.1126/science.abe4832","volume":"373","author":[{"family":"Camell","given":"Christina D."},{"family":"Yousefzadeh","given":"Matthew J."},{"family":"Zhu","given":"Yi"},{"family":"Prata","given":"Larissa G. P. Langhi"},{"family":"Huggins","given":"Matthew A."},{"family":"Pierson","given":"Mark"},{"family":"Zhang","given":"Lei"},{"family":"O’Kelly","given":"Ryan D."},{"family":"Pirtskhalava","given":"Tamar"},{"family":"Xun","given":"Pengcheng"},{"family":"Ejima","given":"Keisuke"},{"family":"Xue","given":"Ailing"},{"family":"Tripathi","given":"Utkarsh"},{"family":"Espindola-Netto","given":"Jair Machado"},{"family":"Giorgadze","given":"Nino"},{"family":"Atkinson","given":"Elizabeth J."},{"family":"Inman","given":"Christina L."},{"family":"Johnson","given":"Kurt O."},{"family":"Cholensky","given":"Stephanie H."},{"family":"Carlson","given":"Timothy W."},{"family":"LeBrasseur","given":"Nathan K."},{"family":"Khosla","given":"Sundeep"},{"family":"O’Sullivan","given":"M. Gerard"},{"family":"Allison","given":"David B."},{"family":"Jameson","given":"Stephen C."},{"family":"Meves","given":"Alexander"},{"family":"Li","given":"Ming"},{"family":"Prakash","given":"Y. S."},{"family":"Chiarella","given":"Sergio E."},{"family":"Hamilton","given":"Sara E."},{"family":"Tchkonia","given":"Tamara"},{"family":"Niedernhofer","given":"Laura J."},{"family":"Kirkland","given":"James L."},{"family":"Robbins","given":"Paul D."}],"accessed":{"date-parts":[["2023",6,23]]},"issued":{"date-parts":[["2021",7,16]]}}}],"schema":"https://github.com/citation-style-language/schema/raw/master/csl-citation.json"} </w:instrText>
            </w:r>
            <w:r>
              <w:rPr>
                <w:rFonts w:ascii="Times New Roman" w:eastAsia="Times New Roman" w:hAnsi="Times New Roman" w:cs="Times New Roman"/>
                <w:color w:val="374151"/>
                <w:kern w:val="0"/>
                <w:sz w:val="14"/>
                <w:szCs w:val="14"/>
                <w:lang w:val="en-US" w:eastAsia="en-NL"/>
                <w14:ligatures w14:val="none"/>
              </w:rPr>
              <w:fldChar w:fldCharType="separate"/>
            </w:r>
            <w:r w:rsidRPr="009271A4">
              <w:rPr>
                <w:rFonts w:ascii="Times New Roman" w:hAnsi="Times New Roman" w:cs="Times New Roman"/>
                <w:sz w:val="14"/>
              </w:rPr>
              <w:t>[6]</w:t>
            </w:r>
            <w:r>
              <w:rPr>
                <w:rFonts w:ascii="Times New Roman" w:eastAsia="Times New Roman" w:hAnsi="Times New Roman" w:cs="Times New Roman"/>
                <w:color w:val="374151"/>
                <w:kern w:val="0"/>
                <w:sz w:val="14"/>
                <w:szCs w:val="14"/>
                <w:lang w:val="en-US" w:eastAsia="en-NL"/>
                <w14:ligatures w14:val="none"/>
              </w:rPr>
              <w:fldChar w:fldCharType="end"/>
            </w:r>
          </w:p>
        </w:tc>
      </w:tr>
      <w:tr w:rsidR="00A92A05" w:rsidRPr="00903922" w14:paraId="66F0FCF0" w14:textId="27612FC0" w:rsidTr="00B46704">
        <w:trPr>
          <w:trHeight w:val="315"/>
        </w:trPr>
        <w:tc>
          <w:tcPr>
            <w:tcW w:w="993" w:type="dxa"/>
            <w:hideMark/>
          </w:tcPr>
          <w:p w14:paraId="278B6580"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 </w:t>
            </w:r>
          </w:p>
        </w:tc>
        <w:tc>
          <w:tcPr>
            <w:tcW w:w="1126" w:type="dxa"/>
            <w:hideMark/>
          </w:tcPr>
          <w:p w14:paraId="29C1AA6E" w14:textId="77777777" w:rsidR="00A92A05" w:rsidRPr="00DD5124" w:rsidRDefault="00A92A05" w:rsidP="00DD5124">
            <w:pPr>
              <w:rPr>
                <w:rFonts w:ascii="Times New Roman" w:eastAsia="Times New Roman" w:hAnsi="Times New Roman" w:cs="Times New Roman"/>
                <w:color w:val="565C65"/>
                <w:kern w:val="0"/>
                <w:sz w:val="14"/>
                <w:szCs w:val="14"/>
                <w:lang w:eastAsia="en-NL"/>
                <w14:ligatures w14:val="none"/>
              </w:rPr>
            </w:pPr>
            <w:r w:rsidRPr="00DD5124">
              <w:rPr>
                <w:rFonts w:ascii="Times New Roman" w:eastAsia="Times New Roman" w:hAnsi="Times New Roman" w:cs="Times New Roman"/>
                <w:color w:val="565C65"/>
                <w:kern w:val="0"/>
                <w:sz w:val="14"/>
                <w:szCs w:val="14"/>
                <w:lang w:eastAsia="en-NL"/>
                <w14:ligatures w14:val="none"/>
              </w:rPr>
              <w:t>NCT04476953</w:t>
            </w:r>
          </w:p>
        </w:tc>
        <w:tc>
          <w:tcPr>
            <w:tcW w:w="2168" w:type="dxa"/>
            <w:hideMark/>
          </w:tcPr>
          <w:p w14:paraId="05B40A04" w14:textId="080C9D4E" w:rsidR="00A92A05" w:rsidRPr="009271A4" w:rsidRDefault="002A56A8" w:rsidP="00DD5124">
            <w:pPr>
              <w:rPr>
                <w:rFonts w:ascii="Times New Roman" w:eastAsia="Times New Roman" w:hAnsi="Times New Roman" w:cs="Times New Roman"/>
                <w:color w:val="374151"/>
                <w:kern w:val="0"/>
                <w:sz w:val="14"/>
                <w:szCs w:val="14"/>
                <w:lang w:val="en-US" w:eastAsia="en-NL"/>
                <w14:ligatures w14:val="none"/>
              </w:rPr>
            </w:pPr>
            <w:r>
              <w:rPr>
                <w:rFonts w:ascii="Times New Roman" w:eastAsia="Times New Roman" w:hAnsi="Times New Roman" w:cs="Times New Roman"/>
                <w:color w:val="374151"/>
                <w:kern w:val="0"/>
                <w:sz w:val="14"/>
                <w:szCs w:val="14"/>
                <w:lang w:val="en-US" w:eastAsia="en-NL"/>
                <w14:ligatures w14:val="none"/>
              </w:rPr>
              <w:t>ENROLLING_BY_INVITATION</w:t>
            </w:r>
          </w:p>
        </w:tc>
        <w:tc>
          <w:tcPr>
            <w:tcW w:w="4125" w:type="dxa"/>
          </w:tcPr>
          <w:p w14:paraId="5671AEC4" w14:textId="77777777" w:rsidR="00A92A05" w:rsidRPr="00903922" w:rsidRDefault="00A92A05" w:rsidP="00DD5124">
            <w:pPr>
              <w:rPr>
                <w:rFonts w:ascii="Times New Roman" w:eastAsia="Times New Roman" w:hAnsi="Times New Roman" w:cs="Times New Roman"/>
                <w:color w:val="374151"/>
                <w:kern w:val="0"/>
                <w:sz w:val="14"/>
                <w:szCs w:val="14"/>
                <w:lang w:eastAsia="en-NL"/>
                <w14:ligatures w14:val="none"/>
              </w:rPr>
            </w:pPr>
          </w:p>
        </w:tc>
      </w:tr>
      <w:tr w:rsidR="00A92A05" w:rsidRPr="00903922" w14:paraId="0935E6C0" w14:textId="77777777" w:rsidTr="00B46704">
        <w:trPr>
          <w:trHeight w:val="315"/>
        </w:trPr>
        <w:tc>
          <w:tcPr>
            <w:tcW w:w="993" w:type="dxa"/>
          </w:tcPr>
          <w:p w14:paraId="4FAF70A9"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tcPr>
          <w:p w14:paraId="1881E0AF" w14:textId="0096E31B" w:rsidR="00A92A05" w:rsidRPr="00DD5124" w:rsidRDefault="00A92A05" w:rsidP="00DD5124">
            <w:pPr>
              <w:rPr>
                <w:rFonts w:ascii="Times New Roman" w:eastAsia="Times New Roman" w:hAnsi="Times New Roman" w:cs="Times New Roman"/>
                <w:color w:val="565C65"/>
                <w:kern w:val="0"/>
                <w:sz w:val="14"/>
                <w:szCs w:val="14"/>
                <w:lang w:eastAsia="en-NL"/>
                <w14:ligatures w14:val="none"/>
              </w:rPr>
            </w:pPr>
            <w:r w:rsidRPr="009271A4">
              <w:rPr>
                <w:rFonts w:ascii="Times New Roman" w:eastAsia="Times New Roman" w:hAnsi="Times New Roman" w:cs="Times New Roman"/>
                <w:color w:val="565C65"/>
                <w:kern w:val="0"/>
                <w:sz w:val="14"/>
                <w:szCs w:val="14"/>
                <w:lang w:eastAsia="en-NL"/>
                <w14:ligatures w14:val="none"/>
              </w:rPr>
              <w:t>NCT04537299</w:t>
            </w:r>
          </w:p>
        </w:tc>
        <w:tc>
          <w:tcPr>
            <w:tcW w:w="2168" w:type="dxa"/>
          </w:tcPr>
          <w:p w14:paraId="49955285" w14:textId="5F9D7DBA" w:rsidR="00A92A05" w:rsidRPr="009271A4" w:rsidRDefault="002A56A8" w:rsidP="00DD5124">
            <w:pPr>
              <w:rPr>
                <w:rFonts w:ascii="Times New Roman" w:eastAsia="Times New Roman" w:hAnsi="Times New Roman" w:cs="Times New Roman"/>
                <w:color w:val="374151"/>
                <w:kern w:val="0"/>
                <w:sz w:val="14"/>
                <w:szCs w:val="14"/>
                <w:lang w:val="en-US" w:eastAsia="en-NL"/>
                <w14:ligatures w14:val="none"/>
              </w:rPr>
            </w:pPr>
            <w:r>
              <w:rPr>
                <w:rFonts w:ascii="Times New Roman" w:eastAsia="Times New Roman" w:hAnsi="Times New Roman" w:cs="Times New Roman"/>
                <w:color w:val="374151"/>
                <w:kern w:val="0"/>
                <w:sz w:val="14"/>
                <w:szCs w:val="14"/>
                <w:lang w:val="en-US" w:eastAsia="en-NL"/>
                <w14:ligatures w14:val="none"/>
              </w:rPr>
              <w:t>ENROLLING_BY_INVITATION</w:t>
            </w:r>
          </w:p>
        </w:tc>
        <w:tc>
          <w:tcPr>
            <w:tcW w:w="4125" w:type="dxa"/>
          </w:tcPr>
          <w:p w14:paraId="008B93F5" w14:textId="77777777" w:rsidR="00A92A05" w:rsidRPr="00903922" w:rsidRDefault="00A92A05" w:rsidP="00DD5124">
            <w:pPr>
              <w:rPr>
                <w:rFonts w:ascii="Times New Roman" w:eastAsia="Times New Roman" w:hAnsi="Times New Roman" w:cs="Times New Roman"/>
                <w:color w:val="374151"/>
                <w:kern w:val="0"/>
                <w:sz w:val="14"/>
                <w:szCs w:val="14"/>
                <w:lang w:eastAsia="en-NL"/>
                <w14:ligatures w14:val="none"/>
              </w:rPr>
            </w:pPr>
          </w:p>
        </w:tc>
      </w:tr>
      <w:tr w:rsidR="00A92A05" w:rsidRPr="00903922" w14:paraId="17667302" w14:textId="782CB635" w:rsidTr="00B46704">
        <w:trPr>
          <w:trHeight w:val="315"/>
        </w:trPr>
        <w:tc>
          <w:tcPr>
            <w:tcW w:w="993" w:type="dxa"/>
            <w:hideMark/>
          </w:tcPr>
          <w:p w14:paraId="462479F3"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val="en-US" w:eastAsia="en-NL"/>
                <w14:ligatures w14:val="none"/>
              </w:rPr>
              <w:t>Nicotinamide</w:t>
            </w:r>
          </w:p>
        </w:tc>
        <w:tc>
          <w:tcPr>
            <w:tcW w:w="1126" w:type="dxa"/>
            <w:noWrap/>
            <w:hideMark/>
          </w:tcPr>
          <w:p w14:paraId="0067354D"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NCT04751604</w:t>
            </w:r>
          </w:p>
        </w:tc>
        <w:tc>
          <w:tcPr>
            <w:tcW w:w="2168" w:type="dxa"/>
            <w:noWrap/>
            <w:hideMark/>
          </w:tcPr>
          <w:p w14:paraId="12746C2B"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COMPLETED</w:t>
            </w:r>
          </w:p>
        </w:tc>
        <w:tc>
          <w:tcPr>
            <w:tcW w:w="4125" w:type="dxa"/>
          </w:tcPr>
          <w:p w14:paraId="6656F528" w14:textId="6C5FC0CA" w:rsidR="00A92A05" w:rsidRPr="00D356AC" w:rsidRDefault="00A92A05" w:rsidP="00DD5124">
            <w:pPr>
              <w:rPr>
                <w:rFonts w:ascii="Times New Roman" w:eastAsia="Times New Roman" w:hAnsi="Times New Roman" w:cs="Times New Roman"/>
                <w:color w:val="000000"/>
                <w:kern w:val="0"/>
                <w:sz w:val="14"/>
                <w:szCs w:val="14"/>
                <w:lang w:val="en-US" w:eastAsia="en-NL"/>
                <w14:ligatures w14:val="none"/>
              </w:rPr>
            </w:pPr>
            <w:r>
              <w:rPr>
                <w:rFonts w:ascii="Times New Roman" w:eastAsia="Times New Roman" w:hAnsi="Times New Roman" w:cs="Times New Roman"/>
                <w:color w:val="000000"/>
                <w:kern w:val="0"/>
                <w:sz w:val="14"/>
                <w:szCs w:val="14"/>
                <w:lang w:val="en-US" w:eastAsia="en-NL"/>
                <w14:ligatures w14:val="none"/>
              </w:rPr>
              <w:t xml:space="preserve">No statistically significant difference in full blood counts, lymphocyte counts or lymphocyte improvement rate </w:t>
            </w:r>
            <w:r>
              <w:rPr>
                <w:rFonts w:ascii="Times New Roman" w:eastAsia="Times New Roman" w:hAnsi="Times New Roman" w:cs="Times New Roman"/>
                <w:color w:val="000000"/>
                <w:kern w:val="0"/>
                <w:sz w:val="14"/>
                <w:szCs w:val="14"/>
                <w:lang w:val="en-US" w:eastAsia="en-NL"/>
                <w14:ligatures w14:val="none"/>
              </w:rPr>
              <w:fldChar w:fldCharType="begin"/>
            </w:r>
            <w:r>
              <w:rPr>
                <w:rFonts w:ascii="Times New Roman" w:eastAsia="Times New Roman" w:hAnsi="Times New Roman" w:cs="Times New Roman"/>
                <w:color w:val="000000"/>
                <w:kern w:val="0"/>
                <w:sz w:val="14"/>
                <w:szCs w:val="14"/>
                <w:lang w:val="en-US" w:eastAsia="en-NL"/>
                <w14:ligatures w14:val="none"/>
              </w:rPr>
              <w:instrText xml:space="preserve"> ADDIN ZOTERO_ITEM CSL_CITATION {"citationID":"FNQpqT7v","properties":{"formattedCitation":"[7,8]","plainCitation":"[7,8]","noteIndex":0},"citationItems":[{"id":11567,"uris":["http://zotero.org/users/7565624/items/5HGEMZVY"],"itemData":{"id":11567,"type":"article-journal","abstract":"BACKGROUND: This study aimed to investigate the efficiency of nicotinamide-based supportive therapy for lymphopenia in patients with coronavirus disease-2019 (COVID-19).\nMETHODS: Twenty four patients diagnosed with COVID-19 were randomly divided into 2 groups (n = 12) during hospitalization in a ratio of 1:1. Based on conventional treatment, the treatment group was administered 100 mg nicotinamide 5 times a day for 2 days. The control group received routine treatment only. The primary endpoint was the change in the absolute lymphocyte count. The secondary endpoints included both in-hospital death and the composite endpoint of aggravation, according to upgraded oxygen therapy, improved nursing level, and ward rounds of superior physicians for changes in conditions.\nRESULTS: Full blood counts before and after nicotinamide administration were comparable in each group (all P &gt; .05). Before and after receiving nicotinamide, mean absolute lymphocyte counts were similar between the two groups ([0.94 ± 0.26] × 109/L vs [0.89 ± 0.19] × 109/L, P = .565; [1.15 ± 0.48] × 109/L vs [1.02 ± 0.28] × 109/L, P = .445, respectively). Therefore, there was no statistically significant difference in the lymphocyte improvement rate between the two groups (23.08 ± 46.10 vs 16.52 ± 24.10, P = .67). There was also no statistically significant difference in the secondary endpoints between the two groups.\nCONCLUSION: Among patients with COVID-19, there was no statistically significant difference in the change of whole blood counts and absolute lymphocyte counts before and after intervention in both groups. Therefore, no new evidence has been found regarding the effect of niacinamide on lymphopenia in COVID-19 patients.","container-title":"Medicine","DOI":"10.1097/MD.0000000000031138","ISSN":"1536-5964","issue":"43","journalAbbreviation":"Medicine (Baltimore)","language":"eng","note":"PMID: 36316932\nPMCID: PMC9622579","page":"e31138","source":"PubMed","title":"Efficiency of nicotinamide-based supportive therapy in lymphopenia for patients with ordinary or severe COVID-19: A randomized controlled trial","title-short":"Efficiency of nicotinamide-based supportive therapy in lymphopenia for patients with ordinary or severe COVID-19","volume":"101","author":[{"family":"Hu","given":"Qiang"},{"family":"Zhang","given":"Quan-Yu"},{"family":"Peng","given":"Cheng-Fei"},{"family":"Ma","given":"Zhuang"},{"family":"Han","given":"Ya-Ling"}],"issued":{"date-parts":[["2022",10,28]]}}},{"id":11570,"uris":["http://zotero.org/users/7565624/items/XRYKHA85"],"itemData":{"id":11570,"type":"article-journal","abstract":"BACKGROUND: Many commonly used drugs were evaluated as repurposed treatment options since the emergence of the COVID-19 pandemic. The benefit of lipid-lowering agents has been controversial in this regard. In this systematic review, we assessed the effect of these medications as adjunctive therapy in COVID-19 by the inclusion of randomized controlled trials (RCTs).\nMETHODS: We searched four international databases including PubMed, the Web of Science, Scopus, and Embase for RCTs in April 2023. The primary outcome was mortality, while other efficacy indices were considered secondary outcomes. In order to estimate the pooled effect size of the outcomes, considering the odds ratio (OR) or standardized mean difference (SMD) and 95% confidence interval (CI), random-effect meta-analyses was conducted.\nRESULTS: Ten studies involving 2,167 COVID-19 patients using statins, omega-3 fatty acids, fenofibrate, PCSK9 inhibitors, and nicotinamide as intervention compared to control or placebo, were included. No significant difference was found in terms of mortality (OR 0.96, 95% CI 0.58 to 1.59, p-value = 0.86, I2 = 20.4%) or length of hospital stay (SMD -0.10, 95% CI -0.78 to 0.59, p-value = 0.78, I2 = 92.4%) by adding a statin to the standard of care. The trend was similar for fenofibrate and nicotinamide. PCSK9 inhibition, however, led to decreased mortality and an overall better prognosis. Omega-3 supplementation showed contradicting results in two trials, suggesting the need for further evaluation.\nCONCLUSION: Although some observational studies found improved outcomes in patients using lipid-lowering agents, our study found no benefit in adding statins, fenofibrate, or nicotinamide to COVID-19 treatment. On the other hand, PCSK9 inhibitors can be a good candidate for further assessment. Finally, there are major limitations in the use of omega-3 supplements in treating COVID-19 and more trials are warranted to evaluate this efficacy.","container-title":"Lipids in Health and Disease","DOI":"10.1186/s12944-023-01828-w","ISSN":"1476-511X","issue":"1","journalAbbreviation":"Lipids Health Dis","language":"eng","note":"PMID: 37158917\nPMCID: PMC10165571","page":"61","source":"PubMed","title":"Adjunctive therapy with lipid-lowering agents in COVID-19: a systematic review and meta-analysis of randomized controlled trials","title-short":"Adjunctive therapy with lipid-lowering agents in COVID-19","volume":"22","author":[{"family":"Khalaji","given":"Amirmohammad"},{"family":"Behnoush","given":"Amir Hossein"},{"family":"Alilou","given":"Sanam"},{"family":"Rezaee","given":"Malihe"},{"family":"Peiman","given":"Soheil"},{"family":"Sahebkar","given":"Amirhossein"}],"issued":{"date-parts":[["2023",5,8]]}}}],"schema":"https://github.com/citation-style-language/schema/raw/master/csl-citation.json"} </w:instrText>
            </w:r>
            <w:r>
              <w:rPr>
                <w:rFonts w:ascii="Times New Roman" w:eastAsia="Times New Roman" w:hAnsi="Times New Roman" w:cs="Times New Roman"/>
                <w:color w:val="000000"/>
                <w:kern w:val="0"/>
                <w:sz w:val="14"/>
                <w:szCs w:val="14"/>
                <w:lang w:val="en-US" w:eastAsia="en-NL"/>
                <w14:ligatures w14:val="none"/>
              </w:rPr>
              <w:fldChar w:fldCharType="separate"/>
            </w:r>
            <w:r w:rsidRPr="00D356AC">
              <w:rPr>
                <w:rFonts w:ascii="Times New Roman" w:hAnsi="Times New Roman" w:cs="Times New Roman"/>
                <w:sz w:val="14"/>
              </w:rPr>
              <w:t>[7,8]</w:t>
            </w:r>
            <w:r>
              <w:rPr>
                <w:rFonts w:ascii="Times New Roman" w:eastAsia="Times New Roman" w:hAnsi="Times New Roman" w:cs="Times New Roman"/>
                <w:color w:val="000000"/>
                <w:kern w:val="0"/>
                <w:sz w:val="14"/>
                <w:szCs w:val="14"/>
                <w:lang w:val="en-US" w:eastAsia="en-NL"/>
                <w14:ligatures w14:val="none"/>
              </w:rPr>
              <w:fldChar w:fldCharType="end"/>
            </w:r>
          </w:p>
        </w:tc>
      </w:tr>
      <w:tr w:rsidR="00A92A05" w:rsidRPr="00903922" w14:paraId="7C2D7F25" w14:textId="0DC0F9B8" w:rsidTr="00B46704">
        <w:trPr>
          <w:trHeight w:val="300"/>
        </w:trPr>
        <w:tc>
          <w:tcPr>
            <w:tcW w:w="993" w:type="dxa"/>
            <w:noWrap/>
            <w:hideMark/>
          </w:tcPr>
          <w:p w14:paraId="5056DD36"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2F714993"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NCT04818216</w:t>
            </w:r>
          </w:p>
        </w:tc>
        <w:tc>
          <w:tcPr>
            <w:tcW w:w="2168" w:type="dxa"/>
            <w:noWrap/>
            <w:hideMark/>
          </w:tcPr>
          <w:p w14:paraId="28205A1B"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ACTIVE_NOT_RECRUITING</w:t>
            </w:r>
          </w:p>
        </w:tc>
        <w:tc>
          <w:tcPr>
            <w:tcW w:w="4125" w:type="dxa"/>
          </w:tcPr>
          <w:p w14:paraId="3F38B5B3"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28271753" w14:textId="29DB7525" w:rsidTr="00B46704">
        <w:trPr>
          <w:trHeight w:val="300"/>
        </w:trPr>
        <w:tc>
          <w:tcPr>
            <w:tcW w:w="993" w:type="dxa"/>
            <w:noWrap/>
            <w:hideMark/>
          </w:tcPr>
          <w:p w14:paraId="78739743"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057EEA0B"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NCT04604704</w:t>
            </w:r>
          </w:p>
        </w:tc>
        <w:tc>
          <w:tcPr>
            <w:tcW w:w="2168" w:type="dxa"/>
            <w:noWrap/>
            <w:hideMark/>
          </w:tcPr>
          <w:p w14:paraId="70E54F7B"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COMPLETED</w:t>
            </w:r>
          </w:p>
        </w:tc>
        <w:tc>
          <w:tcPr>
            <w:tcW w:w="4125" w:type="dxa"/>
          </w:tcPr>
          <w:p w14:paraId="6329E1B5"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7CD10F23" w14:textId="660FDEA3" w:rsidTr="00B46704">
        <w:trPr>
          <w:trHeight w:val="300"/>
        </w:trPr>
        <w:tc>
          <w:tcPr>
            <w:tcW w:w="993" w:type="dxa"/>
            <w:noWrap/>
            <w:hideMark/>
          </w:tcPr>
          <w:p w14:paraId="7EB68585"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3B2D2C43"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NCT05175768</w:t>
            </w:r>
          </w:p>
        </w:tc>
        <w:tc>
          <w:tcPr>
            <w:tcW w:w="2168" w:type="dxa"/>
            <w:noWrap/>
            <w:hideMark/>
          </w:tcPr>
          <w:p w14:paraId="4F07E460"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RECRUITING</w:t>
            </w:r>
          </w:p>
        </w:tc>
        <w:tc>
          <w:tcPr>
            <w:tcW w:w="4125" w:type="dxa"/>
          </w:tcPr>
          <w:p w14:paraId="09DCF5F9"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2234341D" w14:textId="33B41501" w:rsidTr="00B46704">
        <w:trPr>
          <w:trHeight w:val="300"/>
        </w:trPr>
        <w:tc>
          <w:tcPr>
            <w:tcW w:w="993" w:type="dxa"/>
            <w:noWrap/>
            <w:hideMark/>
          </w:tcPr>
          <w:p w14:paraId="7B3EB0DD"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2F1417EE"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NCT04910230</w:t>
            </w:r>
          </w:p>
        </w:tc>
        <w:tc>
          <w:tcPr>
            <w:tcW w:w="2168" w:type="dxa"/>
            <w:noWrap/>
            <w:hideMark/>
          </w:tcPr>
          <w:p w14:paraId="30E6D2DD"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COMPLETED</w:t>
            </w:r>
          </w:p>
        </w:tc>
        <w:tc>
          <w:tcPr>
            <w:tcW w:w="4125" w:type="dxa"/>
          </w:tcPr>
          <w:p w14:paraId="1E96960A"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101BD8D3" w14:textId="7F805366" w:rsidTr="00B46704">
        <w:trPr>
          <w:trHeight w:val="300"/>
        </w:trPr>
        <w:tc>
          <w:tcPr>
            <w:tcW w:w="993" w:type="dxa"/>
            <w:noWrap/>
            <w:hideMark/>
          </w:tcPr>
          <w:p w14:paraId="47C00F7B"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2E1EBE72"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NCT04708340</w:t>
            </w:r>
          </w:p>
        </w:tc>
        <w:tc>
          <w:tcPr>
            <w:tcW w:w="2168" w:type="dxa"/>
            <w:noWrap/>
            <w:hideMark/>
          </w:tcPr>
          <w:p w14:paraId="6C7CF04E"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ACTIVE_NOT_RECRUITING</w:t>
            </w:r>
          </w:p>
        </w:tc>
        <w:tc>
          <w:tcPr>
            <w:tcW w:w="4125" w:type="dxa"/>
          </w:tcPr>
          <w:p w14:paraId="790C7C2B"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19F77E6F" w14:textId="727A80DA" w:rsidTr="00B46704">
        <w:trPr>
          <w:trHeight w:val="300"/>
        </w:trPr>
        <w:tc>
          <w:tcPr>
            <w:tcW w:w="993" w:type="dxa"/>
            <w:noWrap/>
            <w:hideMark/>
          </w:tcPr>
          <w:p w14:paraId="1759CD21"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6B1F207C"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NCT05703074</w:t>
            </w:r>
          </w:p>
        </w:tc>
        <w:tc>
          <w:tcPr>
            <w:tcW w:w="2168" w:type="dxa"/>
            <w:noWrap/>
            <w:hideMark/>
          </w:tcPr>
          <w:p w14:paraId="242E296A"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RECRUITING</w:t>
            </w:r>
          </w:p>
        </w:tc>
        <w:tc>
          <w:tcPr>
            <w:tcW w:w="4125" w:type="dxa"/>
          </w:tcPr>
          <w:p w14:paraId="60AE306B"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1441CD8F" w14:textId="121395F6" w:rsidTr="00B46704">
        <w:trPr>
          <w:trHeight w:val="300"/>
        </w:trPr>
        <w:tc>
          <w:tcPr>
            <w:tcW w:w="993" w:type="dxa"/>
            <w:noWrap/>
            <w:hideMark/>
          </w:tcPr>
          <w:p w14:paraId="46BA2145"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6D9B2FB4"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NCT04809974</w:t>
            </w:r>
          </w:p>
        </w:tc>
        <w:tc>
          <w:tcPr>
            <w:tcW w:w="2168" w:type="dxa"/>
            <w:noWrap/>
            <w:hideMark/>
          </w:tcPr>
          <w:p w14:paraId="7581EBD9"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RECRUITING</w:t>
            </w:r>
          </w:p>
        </w:tc>
        <w:tc>
          <w:tcPr>
            <w:tcW w:w="4125" w:type="dxa"/>
          </w:tcPr>
          <w:p w14:paraId="146CC51A"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494F06A0" w14:textId="2BE1F8EE" w:rsidTr="00B46704">
        <w:trPr>
          <w:trHeight w:val="300"/>
        </w:trPr>
        <w:tc>
          <w:tcPr>
            <w:tcW w:w="993" w:type="dxa"/>
            <w:noWrap/>
            <w:hideMark/>
          </w:tcPr>
          <w:p w14:paraId="3B77A5D1"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Melatonin</w:t>
            </w:r>
          </w:p>
        </w:tc>
        <w:tc>
          <w:tcPr>
            <w:tcW w:w="1126" w:type="dxa"/>
            <w:noWrap/>
            <w:hideMark/>
          </w:tcPr>
          <w:p w14:paraId="7821059C"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NCT05596617</w:t>
            </w:r>
          </w:p>
        </w:tc>
        <w:tc>
          <w:tcPr>
            <w:tcW w:w="2168" w:type="dxa"/>
            <w:noWrap/>
            <w:hideMark/>
          </w:tcPr>
          <w:p w14:paraId="25E124D7"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COMPLETED</w:t>
            </w:r>
          </w:p>
        </w:tc>
        <w:tc>
          <w:tcPr>
            <w:tcW w:w="4125" w:type="dxa"/>
          </w:tcPr>
          <w:p w14:paraId="17179DE0" w14:textId="5880133A" w:rsidR="00A92A05" w:rsidRPr="00D356AC" w:rsidRDefault="00A92A05" w:rsidP="00DD5124">
            <w:pPr>
              <w:rPr>
                <w:rFonts w:ascii="Times New Roman" w:eastAsia="Times New Roman" w:hAnsi="Times New Roman" w:cs="Times New Roman"/>
                <w:color w:val="000000"/>
                <w:kern w:val="0"/>
                <w:sz w:val="14"/>
                <w:szCs w:val="14"/>
                <w:lang w:val="en-US" w:eastAsia="en-NL"/>
                <w14:ligatures w14:val="none"/>
              </w:rPr>
            </w:pPr>
            <w:r>
              <w:rPr>
                <w:rFonts w:ascii="Times New Roman" w:eastAsia="Times New Roman" w:hAnsi="Times New Roman" w:cs="Times New Roman"/>
                <w:color w:val="000000"/>
                <w:kern w:val="0"/>
                <w:sz w:val="14"/>
                <w:szCs w:val="14"/>
                <w:lang w:val="en-US" w:eastAsia="en-NL"/>
                <w14:ligatures w14:val="none"/>
              </w:rPr>
              <w:t>Improvement in recovery rate, lower risk of hospitalization and death</w:t>
            </w:r>
            <w:r>
              <w:rPr>
                <w:rFonts w:ascii="Times New Roman" w:eastAsia="Times New Roman" w:hAnsi="Times New Roman" w:cs="Times New Roman"/>
                <w:color w:val="000000"/>
                <w:kern w:val="0"/>
                <w:sz w:val="14"/>
                <w:szCs w:val="14"/>
                <w:lang w:val="en-US" w:eastAsia="en-NL"/>
                <w14:ligatures w14:val="none"/>
              </w:rPr>
              <w:fldChar w:fldCharType="begin"/>
            </w:r>
            <w:r>
              <w:rPr>
                <w:rFonts w:ascii="Times New Roman" w:eastAsia="Times New Roman" w:hAnsi="Times New Roman" w:cs="Times New Roman"/>
                <w:color w:val="000000"/>
                <w:kern w:val="0"/>
                <w:sz w:val="14"/>
                <w:szCs w:val="14"/>
                <w:lang w:val="en-US" w:eastAsia="en-NL"/>
                <w14:ligatures w14:val="none"/>
              </w:rPr>
              <w:instrText xml:space="preserve"> ADDIN ZOTERO_ITEM CSL_CITATION {"citationID":"I8epq0uH","properties":{"formattedCitation":"[9]","plainCitation":"[9]","noteIndex":0},"citationItems":[{"id":8418,"uris":["http://zotero.org/users/7565624/items/CIS6APT6"],"itemData":{"id":8418,"type":"article-journal","abstract":"This study investigated the effect of melatonin on clinical outcomes in patients with coronavirus disease 2019 (COVID-19). We searched PubMed, the Web of Science, the Cochrane Library, Ovid MEDLINE, and Clinicaltrials.gov for randomized controlled trials (RCTs) published before September 11, 2021. Only RCTs that compared the clinical efficacy of melatonin with a placebo in the treatment of patients with COVID-19 were included. The primary outcome measure was the clinical recovery rate. We included three RCTs in this meta-analysis. Melatonin 3 mg three times daily was administered in one RCT, and 3 or 6 mg daily before bedtime in the other two trials. Treatment duration was 14 days in two RCTs and 7 days in one trial. The clinical recovery rates were 94.2% (81/86) and 82.4% (70/85) in the melatonin and control groups, respectively. Overall, patients receiving melatonin had a higher clinical recovery rate than did the controls (odds ratio [OR]: 3.67; 95% CI: 1.21−11.12; I2 = 0%, p = 0.02). The risk of intensive care unit admission was numerically lower in the melatonin group than in the control group (8.3% [6/72] vs. 17.6% [12/68], OR: 0.45; 95% CI: 0.16−1.25; I2 = 0%, p = 0.13), and the risk of mortality was numerically lower in the melatonin group than in the control group (1.4% [1/72] vs. 4.4% [3/68], OR: 0.32; 95% CI: 0.03−3.18; I2 = 0%, p = 0.33). In conclusion, melatonin may help improve the clinical outcomes of patients with COVID-19.","container-title":"Journal of Medical Virology","DOI":"10.1002/jmv.27595","ISSN":"1096-9071","issue":"5","language":"en","note":"_eprint: https://onlinelibrary.wiley.com/doi/pdf/10.1002/jmv.27595","page":"2102-2107","source":"Wiley Online Library","title":"Efficacy of melatonin in the treatment of patients with COVID-19: A systematic review and meta-analysis of randomized controlled trials","title-short":"Efficacy of melatonin in the treatment of patients with COVID-19","URL":"https://onlinelibrary.wiley.com/doi/abs/10.1002/jmv.27595","volume":"94","author":[{"family":"Lan","given":"Shao-Huan"},{"family":"Lee","given":"Hong-Zin"},{"family":"Chao","given":"Chien-Ming"},{"family":"Chang","given":"Shen-Peng"},{"family":"Lu","given":"Li-Chin"},{"family":"Lai","given":"Chih-Cheng"}],"accessed":{"date-parts":[["2023",1,31]]},"issued":{"date-parts":[["2022"]]}}}],"schema":"https://github.com/citation-style-language/schema/raw/master/csl-citation.json"} </w:instrText>
            </w:r>
            <w:r>
              <w:rPr>
                <w:rFonts w:ascii="Times New Roman" w:eastAsia="Times New Roman" w:hAnsi="Times New Roman" w:cs="Times New Roman"/>
                <w:color w:val="000000"/>
                <w:kern w:val="0"/>
                <w:sz w:val="14"/>
                <w:szCs w:val="14"/>
                <w:lang w:val="en-US" w:eastAsia="en-NL"/>
                <w14:ligatures w14:val="none"/>
              </w:rPr>
              <w:fldChar w:fldCharType="separate"/>
            </w:r>
            <w:r w:rsidRPr="00D356AC">
              <w:rPr>
                <w:rFonts w:ascii="Times New Roman" w:hAnsi="Times New Roman" w:cs="Times New Roman"/>
                <w:sz w:val="14"/>
              </w:rPr>
              <w:t>[9]</w:t>
            </w:r>
            <w:r>
              <w:rPr>
                <w:rFonts w:ascii="Times New Roman" w:eastAsia="Times New Roman" w:hAnsi="Times New Roman" w:cs="Times New Roman"/>
                <w:color w:val="000000"/>
                <w:kern w:val="0"/>
                <w:sz w:val="14"/>
                <w:szCs w:val="14"/>
                <w:lang w:val="en-US" w:eastAsia="en-NL"/>
                <w14:ligatures w14:val="none"/>
              </w:rPr>
              <w:fldChar w:fldCharType="end"/>
            </w:r>
          </w:p>
        </w:tc>
      </w:tr>
      <w:tr w:rsidR="00A92A05" w:rsidRPr="00903922" w14:paraId="66D9DEE6" w14:textId="7079055C" w:rsidTr="00B46704">
        <w:trPr>
          <w:trHeight w:val="300"/>
        </w:trPr>
        <w:tc>
          <w:tcPr>
            <w:tcW w:w="993" w:type="dxa"/>
            <w:noWrap/>
            <w:hideMark/>
          </w:tcPr>
          <w:p w14:paraId="77BDFCA4"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4E921B95"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NCT04409522</w:t>
            </w:r>
          </w:p>
        </w:tc>
        <w:tc>
          <w:tcPr>
            <w:tcW w:w="2168" w:type="dxa"/>
            <w:noWrap/>
            <w:hideMark/>
          </w:tcPr>
          <w:p w14:paraId="563914A5"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UNKNOWN</w:t>
            </w:r>
          </w:p>
        </w:tc>
        <w:tc>
          <w:tcPr>
            <w:tcW w:w="4125" w:type="dxa"/>
          </w:tcPr>
          <w:p w14:paraId="6DCF9CF7"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50AEDD08" w14:textId="77B0BA59" w:rsidTr="00B46704">
        <w:trPr>
          <w:trHeight w:val="300"/>
        </w:trPr>
        <w:tc>
          <w:tcPr>
            <w:tcW w:w="993" w:type="dxa"/>
            <w:noWrap/>
            <w:hideMark/>
          </w:tcPr>
          <w:p w14:paraId="4F48F90B"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3D86EC85"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NCT04353128</w:t>
            </w:r>
          </w:p>
        </w:tc>
        <w:tc>
          <w:tcPr>
            <w:tcW w:w="2168" w:type="dxa"/>
            <w:noWrap/>
            <w:hideMark/>
          </w:tcPr>
          <w:p w14:paraId="7C2C75C4"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COMPLETED</w:t>
            </w:r>
          </w:p>
        </w:tc>
        <w:tc>
          <w:tcPr>
            <w:tcW w:w="4125" w:type="dxa"/>
          </w:tcPr>
          <w:p w14:paraId="51E9DBA5"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38B62068" w14:textId="7955554A" w:rsidTr="00B46704">
        <w:trPr>
          <w:trHeight w:val="300"/>
        </w:trPr>
        <w:tc>
          <w:tcPr>
            <w:tcW w:w="993" w:type="dxa"/>
            <w:noWrap/>
            <w:hideMark/>
          </w:tcPr>
          <w:p w14:paraId="5F626D6C"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5E0CA931"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NCT04568863</w:t>
            </w:r>
          </w:p>
        </w:tc>
        <w:tc>
          <w:tcPr>
            <w:tcW w:w="2168" w:type="dxa"/>
            <w:noWrap/>
            <w:hideMark/>
          </w:tcPr>
          <w:p w14:paraId="26C3984A"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COMPLETED</w:t>
            </w:r>
          </w:p>
        </w:tc>
        <w:tc>
          <w:tcPr>
            <w:tcW w:w="4125" w:type="dxa"/>
          </w:tcPr>
          <w:p w14:paraId="59B5E25B"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23509AC7" w14:textId="7481D31E" w:rsidTr="00B46704">
        <w:trPr>
          <w:trHeight w:val="300"/>
        </w:trPr>
        <w:tc>
          <w:tcPr>
            <w:tcW w:w="993" w:type="dxa"/>
            <w:noWrap/>
            <w:hideMark/>
          </w:tcPr>
          <w:p w14:paraId="3E06013C"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076A3145"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NCT04530539</w:t>
            </w:r>
          </w:p>
        </w:tc>
        <w:tc>
          <w:tcPr>
            <w:tcW w:w="2168" w:type="dxa"/>
            <w:noWrap/>
            <w:hideMark/>
          </w:tcPr>
          <w:p w14:paraId="0FF0C8B6"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COMPLETED</w:t>
            </w:r>
          </w:p>
        </w:tc>
        <w:tc>
          <w:tcPr>
            <w:tcW w:w="4125" w:type="dxa"/>
          </w:tcPr>
          <w:p w14:paraId="338D09DB"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49FFD54A" w14:textId="3E4C0172" w:rsidTr="00B46704">
        <w:trPr>
          <w:trHeight w:val="300"/>
        </w:trPr>
        <w:tc>
          <w:tcPr>
            <w:tcW w:w="993" w:type="dxa"/>
            <w:noWrap/>
            <w:hideMark/>
          </w:tcPr>
          <w:p w14:paraId="664E81A8"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6CD1012A"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NCT04470297</w:t>
            </w:r>
          </w:p>
        </w:tc>
        <w:tc>
          <w:tcPr>
            <w:tcW w:w="2168" w:type="dxa"/>
            <w:noWrap/>
            <w:hideMark/>
          </w:tcPr>
          <w:p w14:paraId="2926A11E"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UNKNOWN</w:t>
            </w:r>
          </w:p>
        </w:tc>
        <w:tc>
          <w:tcPr>
            <w:tcW w:w="4125" w:type="dxa"/>
          </w:tcPr>
          <w:p w14:paraId="04E05639"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1F8EACA8" w14:textId="465A2BD6" w:rsidTr="00B46704">
        <w:trPr>
          <w:trHeight w:val="300"/>
        </w:trPr>
        <w:tc>
          <w:tcPr>
            <w:tcW w:w="993" w:type="dxa"/>
            <w:noWrap/>
            <w:hideMark/>
          </w:tcPr>
          <w:p w14:paraId="76A6461B"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63DC6BEC"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NCT05318144</w:t>
            </w:r>
          </w:p>
        </w:tc>
        <w:tc>
          <w:tcPr>
            <w:tcW w:w="2168" w:type="dxa"/>
            <w:noWrap/>
            <w:hideMark/>
          </w:tcPr>
          <w:p w14:paraId="1A252F27"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COMPLETED</w:t>
            </w:r>
          </w:p>
        </w:tc>
        <w:tc>
          <w:tcPr>
            <w:tcW w:w="4125" w:type="dxa"/>
          </w:tcPr>
          <w:p w14:paraId="0C509AD8"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3C358868" w14:textId="00835484" w:rsidTr="00B46704">
        <w:trPr>
          <w:trHeight w:val="300"/>
        </w:trPr>
        <w:tc>
          <w:tcPr>
            <w:tcW w:w="993" w:type="dxa"/>
            <w:noWrap/>
            <w:hideMark/>
          </w:tcPr>
          <w:p w14:paraId="3F82796E"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0B7946FB"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NCT04570254</w:t>
            </w:r>
          </w:p>
        </w:tc>
        <w:tc>
          <w:tcPr>
            <w:tcW w:w="2168" w:type="dxa"/>
            <w:noWrap/>
            <w:hideMark/>
          </w:tcPr>
          <w:p w14:paraId="46A4D2BD"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COMPLETED</w:t>
            </w:r>
          </w:p>
        </w:tc>
        <w:tc>
          <w:tcPr>
            <w:tcW w:w="4125" w:type="dxa"/>
          </w:tcPr>
          <w:p w14:paraId="494DF46A"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0AD09E77" w14:textId="00D0E729" w:rsidTr="00B46704">
        <w:trPr>
          <w:trHeight w:val="300"/>
        </w:trPr>
        <w:tc>
          <w:tcPr>
            <w:tcW w:w="993" w:type="dxa"/>
            <w:noWrap/>
            <w:hideMark/>
          </w:tcPr>
          <w:p w14:paraId="6CBEDF43"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7187F33D"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NCT05670444</w:t>
            </w:r>
          </w:p>
        </w:tc>
        <w:tc>
          <w:tcPr>
            <w:tcW w:w="2168" w:type="dxa"/>
            <w:noWrap/>
            <w:hideMark/>
          </w:tcPr>
          <w:p w14:paraId="078B6C91"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COMPLETED</w:t>
            </w:r>
          </w:p>
        </w:tc>
        <w:tc>
          <w:tcPr>
            <w:tcW w:w="4125" w:type="dxa"/>
          </w:tcPr>
          <w:p w14:paraId="6940B788"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6BE65869" w14:textId="77777777" w:rsidTr="00B46704">
        <w:trPr>
          <w:trHeight w:val="300"/>
        </w:trPr>
        <w:tc>
          <w:tcPr>
            <w:tcW w:w="993" w:type="dxa"/>
            <w:noWrap/>
          </w:tcPr>
          <w:p w14:paraId="45926E15" w14:textId="5FAA0DE6" w:rsidR="00A92A05" w:rsidRPr="00903922" w:rsidRDefault="00A92A05" w:rsidP="00DD5124">
            <w:pPr>
              <w:rPr>
                <w:rFonts w:ascii="Times New Roman" w:eastAsia="Times New Roman" w:hAnsi="Times New Roman" w:cs="Times New Roman"/>
                <w:color w:val="000000"/>
                <w:kern w:val="0"/>
                <w:sz w:val="14"/>
                <w:szCs w:val="14"/>
                <w:lang w:val="en-US" w:eastAsia="en-NL"/>
                <w14:ligatures w14:val="none"/>
              </w:rPr>
            </w:pPr>
            <w:r w:rsidRPr="00903922">
              <w:rPr>
                <w:rFonts w:ascii="Times New Roman" w:eastAsia="Times New Roman" w:hAnsi="Times New Roman" w:cs="Times New Roman"/>
                <w:color w:val="000000"/>
                <w:kern w:val="0"/>
                <w:sz w:val="14"/>
                <w:szCs w:val="14"/>
                <w:lang w:val="en-US" w:eastAsia="en-NL"/>
                <w14:ligatures w14:val="none"/>
              </w:rPr>
              <w:t>PQQ</w:t>
            </w:r>
          </w:p>
        </w:tc>
        <w:tc>
          <w:tcPr>
            <w:tcW w:w="1126" w:type="dxa"/>
            <w:noWrap/>
          </w:tcPr>
          <w:p w14:paraId="1D95EA02"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c>
          <w:tcPr>
            <w:tcW w:w="2168" w:type="dxa"/>
            <w:noWrap/>
          </w:tcPr>
          <w:p w14:paraId="1B3F020E"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c>
          <w:tcPr>
            <w:tcW w:w="4125" w:type="dxa"/>
          </w:tcPr>
          <w:p w14:paraId="5B3E96D2" w14:textId="0BEAE59E" w:rsidR="00A92A05" w:rsidRPr="00D356AC" w:rsidRDefault="00A92A05" w:rsidP="00DD5124">
            <w:pPr>
              <w:rPr>
                <w:rFonts w:ascii="Times New Roman" w:eastAsia="Times New Roman" w:hAnsi="Times New Roman" w:cs="Times New Roman"/>
                <w:color w:val="000000"/>
                <w:kern w:val="0"/>
                <w:sz w:val="14"/>
                <w:szCs w:val="14"/>
                <w:lang w:val="en-US" w:eastAsia="en-NL"/>
                <w14:ligatures w14:val="none"/>
              </w:rPr>
            </w:pPr>
            <w:r>
              <w:rPr>
                <w:rFonts w:ascii="Times New Roman" w:eastAsia="Times New Roman" w:hAnsi="Times New Roman" w:cs="Times New Roman"/>
                <w:color w:val="000000"/>
                <w:kern w:val="0"/>
                <w:sz w:val="14"/>
                <w:szCs w:val="14"/>
                <w:lang w:val="en-US" w:eastAsia="en-NL"/>
                <w14:ligatures w14:val="none"/>
              </w:rPr>
              <w:t xml:space="preserve">Improves measures in a mouse model of COPD induced endothelial damage </w:t>
            </w:r>
            <w:r>
              <w:rPr>
                <w:rFonts w:ascii="Times New Roman" w:eastAsia="Times New Roman" w:hAnsi="Times New Roman" w:cs="Times New Roman"/>
                <w:color w:val="000000"/>
                <w:kern w:val="0"/>
                <w:sz w:val="14"/>
                <w:szCs w:val="14"/>
                <w:lang w:val="en-US" w:eastAsia="en-NL"/>
                <w14:ligatures w14:val="none"/>
              </w:rPr>
              <w:fldChar w:fldCharType="begin"/>
            </w:r>
            <w:r>
              <w:rPr>
                <w:rFonts w:ascii="Times New Roman" w:eastAsia="Times New Roman" w:hAnsi="Times New Roman" w:cs="Times New Roman"/>
                <w:color w:val="000000"/>
                <w:kern w:val="0"/>
                <w:sz w:val="14"/>
                <w:szCs w:val="14"/>
                <w:lang w:val="en-US" w:eastAsia="en-NL"/>
                <w14:ligatures w14:val="none"/>
              </w:rPr>
              <w:instrText xml:space="preserve"> ADDIN ZOTERO_ITEM CSL_CITATION {"citationID":"tGn0thxj","properties":{"formattedCitation":"[10]","plainCitation":"[10]","noteIndex":0},"citationItems":[{"id":11576,"uris":["http://zotero.org/users/7565624/items/FPMPEFT9"],"itemData":{"id":11576,"type":"article-journal","abstract":"Background: Oxidative stress-mediated mitochondrial dysfunction is a key determinant of epithelial injury in COPD patients. Mitochondrial dysfunction as a drug target for COPD treatment is relatively under-explored.\nObjective: This study aimed to investigate the therapeutic potential of FDA-approved mitochondria-targeted antioxidant and neutraceutical, pyrroloquinoline quinone (PQQ) in COPD conditions.\nMethods: The therapeutic benefits of PQQ were evaluated in cigarette smoke extract (CSE) treated bronchial epithelial cells by examining epithelial cell integrity. Further, the effect of PQQ was evaluated in the mice model of COPD by giving PQQ orally. Finally, an open-labeled randomized clinical trial (RCT) was performed at the outpatient department of AIIMS, New Delhi. One group received standard therapy and the other received PQQ supplement along with standard therapy. The primary endpoint was the mean change from baseline in the SGRQ scores at the end of 12 weeks.\nResults: In CSE-treated epithelial cells, treatment with PQQ was found to restore the mitochondrial function, and reduce epithelial injury. Naïve mice treated with cigarette and biomass smoke exhibited inflammation and emphysematous changes. PQQ-mediated restoration of mitochondrial homeostasis attenuated smoke-induced emphysematous changes. In the case of RCT, PQQ treatment was associated with significant improvement in total SGRQ score after 12 weeks.\nConclusions: Our results suggest the benefits of a mitochondrial-specific antioxidant therapy in COPD conditions. Hence the anti-inflammatory nature of mitochondria-targeted neutraceuticals could be a potential add-on treatment in patients with COPD.","container-title":"European Respiratory Journal","DOI":"10.1183/13993003.congress-2022.1661","ISSN":"0903-1936, 1399-3003","issue":"suppl 66","language":"en","license":"Copyright ©the authors 2022","note":"publisher: European Respiratory Society\nsection: 05.01 - Airway pharmacology and treatment","source":"erj.ersjournals.com","title":"Effect of a nutraceutical drug in COPD condition: A pilot study of in vitro, in vivo and Clinical Trial","title-short":"Effect of a nutraceutical drug in COPD condition","URL":"https://erj.ersjournals.com/content/60/suppl_66/1661","volume":"60","author":[{"family":"Pattnaik","given":"B. R."},{"family":"Bhatraju","given":"N."},{"family":"Kashyap","given":"S."},{"family":"Verma","given":"U."},{"family":"Madan","given":"K."},{"family":"Guleria","given":"R."},{"family":"Agrawal","given":"A."},{"family":"Mohan","given":"A."}],"accessed":{"date-parts":[["2023",6,23]]},"issued":{"date-parts":[["2022",9,4]]}}}],"schema":"https://github.com/citation-style-language/schema/raw/master/csl-citation.json"} </w:instrText>
            </w:r>
            <w:r>
              <w:rPr>
                <w:rFonts w:ascii="Times New Roman" w:eastAsia="Times New Roman" w:hAnsi="Times New Roman" w:cs="Times New Roman"/>
                <w:color w:val="000000"/>
                <w:kern w:val="0"/>
                <w:sz w:val="14"/>
                <w:szCs w:val="14"/>
                <w:lang w:val="en-US" w:eastAsia="en-NL"/>
                <w14:ligatures w14:val="none"/>
              </w:rPr>
              <w:fldChar w:fldCharType="separate"/>
            </w:r>
            <w:r w:rsidRPr="00D356AC">
              <w:rPr>
                <w:rFonts w:ascii="Times New Roman" w:hAnsi="Times New Roman" w:cs="Times New Roman"/>
                <w:sz w:val="14"/>
              </w:rPr>
              <w:t>[10]</w:t>
            </w:r>
            <w:r>
              <w:rPr>
                <w:rFonts w:ascii="Times New Roman" w:eastAsia="Times New Roman" w:hAnsi="Times New Roman" w:cs="Times New Roman"/>
                <w:color w:val="000000"/>
                <w:kern w:val="0"/>
                <w:sz w:val="14"/>
                <w:szCs w:val="14"/>
                <w:lang w:val="en-US" w:eastAsia="en-NL"/>
                <w14:ligatures w14:val="none"/>
              </w:rPr>
              <w:fldChar w:fldCharType="end"/>
            </w:r>
          </w:p>
        </w:tc>
      </w:tr>
      <w:tr w:rsidR="00A92A05" w:rsidRPr="00903922" w14:paraId="3B898423" w14:textId="77777777" w:rsidTr="00B46704">
        <w:trPr>
          <w:trHeight w:val="300"/>
        </w:trPr>
        <w:tc>
          <w:tcPr>
            <w:tcW w:w="993" w:type="dxa"/>
            <w:noWrap/>
          </w:tcPr>
          <w:p w14:paraId="2F9D9808" w14:textId="715AB715" w:rsidR="00A92A05" w:rsidRPr="00903922" w:rsidRDefault="00A92A05" w:rsidP="00DD5124">
            <w:pPr>
              <w:rPr>
                <w:rFonts w:ascii="Times New Roman" w:eastAsia="Times New Roman" w:hAnsi="Times New Roman" w:cs="Times New Roman"/>
                <w:color w:val="000000"/>
                <w:kern w:val="0"/>
                <w:sz w:val="14"/>
                <w:szCs w:val="14"/>
                <w:lang w:val="en-US" w:eastAsia="en-NL"/>
                <w14:ligatures w14:val="none"/>
              </w:rPr>
            </w:pPr>
            <w:r w:rsidRPr="00903922">
              <w:rPr>
                <w:rFonts w:ascii="Times New Roman" w:eastAsia="Times New Roman" w:hAnsi="Times New Roman" w:cs="Times New Roman"/>
                <w:color w:val="000000"/>
                <w:kern w:val="0"/>
                <w:sz w:val="14"/>
                <w:szCs w:val="14"/>
                <w:lang w:val="en-US" w:eastAsia="en-NL"/>
                <w14:ligatures w14:val="none"/>
              </w:rPr>
              <w:lastRenderedPageBreak/>
              <w:t>Cold Exposure</w:t>
            </w:r>
          </w:p>
        </w:tc>
        <w:tc>
          <w:tcPr>
            <w:tcW w:w="1126" w:type="dxa"/>
            <w:noWrap/>
          </w:tcPr>
          <w:p w14:paraId="4BDE36E2"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c>
          <w:tcPr>
            <w:tcW w:w="2168" w:type="dxa"/>
            <w:noWrap/>
          </w:tcPr>
          <w:p w14:paraId="26EC5CFC"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c>
          <w:tcPr>
            <w:tcW w:w="4125" w:type="dxa"/>
          </w:tcPr>
          <w:p w14:paraId="54B80411" w14:textId="750C9ED6" w:rsidR="00A92A05" w:rsidRPr="00A92A05" w:rsidRDefault="00A92A05" w:rsidP="00DD5124">
            <w:pPr>
              <w:rPr>
                <w:rFonts w:ascii="Times New Roman" w:eastAsia="Times New Roman" w:hAnsi="Times New Roman" w:cs="Times New Roman"/>
                <w:color w:val="000000"/>
                <w:kern w:val="0"/>
                <w:sz w:val="14"/>
                <w:szCs w:val="14"/>
                <w:lang w:val="en-US" w:eastAsia="en-NL"/>
                <w14:ligatures w14:val="none"/>
              </w:rPr>
            </w:pPr>
            <w:r>
              <w:rPr>
                <w:rFonts w:ascii="Times New Roman" w:eastAsia="Times New Roman" w:hAnsi="Times New Roman" w:cs="Times New Roman"/>
                <w:color w:val="000000"/>
                <w:kern w:val="0"/>
                <w:sz w:val="14"/>
                <w:szCs w:val="14"/>
                <w:lang w:val="en-US" w:eastAsia="en-NL"/>
                <w14:ligatures w14:val="none"/>
              </w:rPr>
              <w:t>N/A</w:t>
            </w:r>
          </w:p>
        </w:tc>
      </w:tr>
      <w:tr w:rsidR="00A92A05" w:rsidRPr="00903922" w14:paraId="08DD24CD" w14:textId="77777777" w:rsidTr="00B46704">
        <w:trPr>
          <w:trHeight w:val="300"/>
        </w:trPr>
        <w:tc>
          <w:tcPr>
            <w:tcW w:w="993" w:type="dxa"/>
            <w:noWrap/>
          </w:tcPr>
          <w:p w14:paraId="60292699" w14:textId="541D17CC" w:rsidR="00A92A05" w:rsidRPr="00903922" w:rsidRDefault="00A92A05" w:rsidP="00DD5124">
            <w:pPr>
              <w:rPr>
                <w:rFonts w:ascii="Times New Roman" w:eastAsia="Times New Roman" w:hAnsi="Times New Roman" w:cs="Times New Roman"/>
                <w:color w:val="000000"/>
                <w:kern w:val="0"/>
                <w:sz w:val="14"/>
                <w:szCs w:val="14"/>
                <w:lang w:val="en-US" w:eastAsia="en-NL"/>
                <w14:ligatures w14:val="none"/>
              </w:rPr>
            </w:pPr>
            <w:r w:rsidRPr="00903922">
              <w:rPr>
                <w:rFonts w:ascii="Times New Roman" w:eastAsia="Times New Roman" w:hAnsi="Times New Roman" w:cs="Times New Roman"/>
                <w:color w:val="000000"/>
                <w:kern w:val="0"/>
                <w:sz w:val="14"/>
                <w:szCs w:val="14"/>
                <w:lang w:val="en-US" w:eastAsia="en-NL"/>
                <w14:ligatures w14:val="none"/>
              </w:rPr>
              <w:t>Exercise</w:t>
            </w:r>
          </w:p>
        </w:tc>
        <w:tc>
          <w:tcPr>
            <w:tcW w:w="1126" w:type="dxa"/>
            <w:noWrap/>
          </w:tcPr>
          <w:p w14:paraId="374CC323" w14:textId="77777777" w:rsidR="00A92A05" w:rsidRPr="00903922" w:rsidRDefault="00A92A05" w:rsidP="00DD5124">
            <w:pPr>
              <w:rPr>
                <w:rFonts w:ascii="Times New Roman" w:eastAsia="Times New Roman" w:hAnsi="Times New Roman" w:cs="Times New Roman"/>
                <w:color w:val="000000"/>
                <w:kern w:val="0"/>
                <w:sz w:val="14"/>
                <w:szCs w:val="14"/>
                <w:lang w:val="en-US" w:eastAsia="en-NL"/>
                <w14:ligatures w14:val="none"/>
              </w:rPr>
            </w:pPr>
            <w:r w:rsidRPr="00903922">
              <w:rPr>
                <w:rFonts w:ascii="Times New Roman" w:eastAsia="Times New Roman" w:hAnsi="Times New Roman" w:cs="Times New Roman"/>
                <w:color w:val="000000"/>
                <w:kern w:val="0"/>
                <w:sz w:val="14"/>
                <w:szCs w:val="14"/>
                <w:lang w:val="en-US" w:eastAsia="en-NL"/>
                <w14:ligatures w14:val="none"/>
              </w:rPr>
              <w:t>517 Studies for all spike protein related diseases</w:t>
            </w:r>
          </w:p>
          <w:p w14:paraId="25BAACCD" w14:textId="3EC533D0" w:rsidR="00A92A05" w:rsidRPr="00903922" w:rsidRDefault="00A92A05" w:rsidP="00DD5124">
            <w:pPr>
              <w:rPr>
                <w:rFonts w:ascii="Times New Roman" w:eastAsia="Times New Roman" w:hAnsi="Times New Roman" w:cs="Times New Roman"/>
                <w:color w:val="000000"/>
                <w:kern w:val="0"/>
                <w:sz w:val="14"/>
                <w:szCs w:val="14"/>
                <w:lang w:val="en-US" w:eastAsia="en-NL"/>
                <w14:ligatures w14:val="none"/>
              </w:rPr>
            </w:pPr>
            <w:r w:rsidRPr="00903922">
              <w:rPr>
                <w:rFonts w:ascii="Times New Roman" w:eastAsia="Times New Roman" w:hAnsi="Times New Roman" w:cs="Times New Roman"/>
                <w:color w:val="000000"/>
                <w:kern w:val="0"/>
                <w:sz w:val="14"/>
                <w:szCs w:val="14"/>
                <w:lang w:val="en-US" w:eastAsia="en-NL"/>
                <w14:ligatures w14:val="none"/>
              </w:rPr>
              <w:t>61 Studies for long covid or vaccine injury</w:t>
            </w:r>
          </w:p>
        </w:tc>
        <w:tc>
          <w:tcPr>
            <w:tcW w:w="2168" w:type="dxa"/>
            <w:noWrap/>
          </w:tcPr>
          <w:p w14:paraId="0583F98F" w14:textId="7F628655" w:rsidR="00A92A05" w:rsidRPr="00903922" w:rsidRDefault="00A92A05" w:rsidP="00DD5124">
            <w:pPr>
              <w:rPr>
                <w:rFonts w:ascii="Times New Roman" w:eastAsia="Times New Roman" w:hAnsi="Times New Roman" w:cs="Times New Roman"/>
                <w:color w:val="000000"/>
                <w:kern w:val="0"/>
                <w:sz w:val="14"/>
                <w:szCs w:val="14"/>
                <w:lang w:val="en-US" w:eastAsia="en-NL"/>
                <w14:ligatures w14:val="none"/>
              </w:rPr>
            </w:pPr>
            <w:r w:rsidRPr="00903922">
              <w:rPr>
                <w:rFonts w:ascii="Times New Roman" w:eastAsia="Times New Roman" w:hAnsi="Times New Roman" w:cs="Times New Roman"/>
                <w:color w:val="000000"/>
                <w:kern w:val="0"/>
                <w:sz w:val="14"/>
                <w:szCs w:val="14"/>
                <w:lang w:val="en-US" w:eastAsia="en-NL"/>
                <w14:ligatures w14:val="none"/>
              </w:rPr>
              <w:t>Of 61 Studies, 11 completed</w:t>
            </w:r>
          </w:p>
        </w:tc>
        <w:tc>
          <w:tcPr>
            <w:tcW w:w="4125" w:type="dxa"/>
          </w:tcPr>
          <w:p w14:paraId="3309A88F" w14:textId="360FB624" w:rsidR="00A92A05" w:rsidRPr="00D356AC" w:rsidRDefault="00A92A05" w:rsidP="00DD5124">
            <w:pPr>
              <w:rPr>
                <w:rFonts w:ascii="Times New Roman" w:eastAsia="Times New Roman" w:hAnsi="Times New Roman" w:cs="Times New Roman"/>
                <w:color w:val="000000"/>
                <w:kern w:val="0"/>
                <w:sz w:val="14"/>
                <w:szCs w:val="14"/>
                <w:lang w:val="en-US" w:eastAsia="en-NL"/>
                <w14:ligatures w14:val="none"/>
              </w:rPr>
            </w:pPr>
            <w:r>
              <w:rPr>
                <w:rFonts w:ascii="Times New Roman" w:eastAsia="Times New Roman" w:hAnsi="Times New Roman" w:cs="Times New Roman"/>
                <w:color w:val="000000"/>
                <w:kern w:val="0"/>
                <w:sz w:val="14"/>
                <w:szCs w:val="14"/>
                <w:lang w:val="en-US" w:eastAsia="en-NL"/>
                <w14:ligatures w14:val="none"/>
              </w:rPr>
              <w:t>Improvement in cardiorespiratory fitness in long covid</w:t>
            </w:r>
            <w:r>
              <w:rPr>
                <w:rFonts w:ascii="Times New Roman" w:eastAsia="Times New Roman" w:hAnsi="Times New Roman" w:cs="Times New Roman"/>
                <w:color w:val="000000"/>
                <w:kern w:val="0"/>
                <w:sz w:val="14"/>
                <w:szCs w:val="14"/>
                <w:lang w:val="en-US" w:eastAsia="en-NL"/>
                <w14:ligatures w14:val="none"/>
              </w:rPr>
              <w:fldChar w:fldCharType="begin"/>
            </w:r>
            <w:r>
              <w:rPr>
                <w:rFonts w:ascii="Times New Roman" w:eastAsia="Times New Roman" w:hAnsi="Times New Roman" w:cs="Times New Roman"/>
                <w:color w:val="000000"/>
                <w:kern w:val="0"/>
                <w:sz w:val="14"/>
                <w:szCs w:val="14"/>
                <w:lang w:val="en-US" w:eastAsia="en-NL"/>
                <w14:ligatures w14:val="none"/>
              </w:rPr>
              <w:instrText xml:space="preserve"> ADDIN ZOTERO_ITEM CSL_CITATION {"citationID":"htb2Sa5a","properties":{"formattedCitation":"[11\\uc0\\u8211{}13]","plainCitation":"[11–13]","noteIndex":0},"citationItems":[{"id":11578,"uris":["http://zotero.org/users/7565624/items/JE88BLDP"],"itemData":{"id":11578,"type":"article-journal","abstract":"In the first phase of the coronavirus disease 2019 (COVID-19) pandemic early in 2020, the main scientific effort was devoted to find the best way to treat the acute phase of the disease. Subsequently, partially because of the availability of long-term follow-up data, there has been an increased attention to chronic consequences of COVID-19 infection. Since follow-up data up to more than 1 year are now available, long COVID-19 has been increasingly recognized, with symptoms lasting several months.1,2According to a recent meta-analysis including 47 910 patients (age 17–87), more than 50 long-term effects of COVID-19 are recognized. The five most common symptoms of long COVID-19 were fatigue (58%), headache (44%), attention disorder (27%), hair loss (25%), and dyspnoea (24%).3 At 6 months after acute infection, COVID-19 survivors were mainly troubled with fatigue or muscle weakness (63%), sleep difficulties (26%), and anxiety or depression (23%).4 In our recent study, at 3 months after hospital discharge, half of the COVID-19 survivors showed a significant reduction in cardiorespiratory fitness, mainly explained by muscular impairment of the legs.5 Furthermore, patients who experienced persistent symptoms after COVID-19 demonstrated a significantly decreased distance at 6-min walking test 6 months after the onset of symptoms.6 The exact mechanisms underlying this exercise capacity reduction and functional limitation are not clear in long COVID-19 patients, but it seems that muscle impairment is an important determinant of this condition.","container-title":"European Journal of Preventive Cardiology","DOI":"10.1093/eurjpc/zwac019","ISSN":"2047-4873","issue":"7","journalAbbreviation":"European Journal of Preventive Cardiology","page":"e258-e260","source":"Silverchair","title":"Effects of exercise rehabilitation in patients with long coronavirus disease 2019","URL":"https://doi.org/10.1093/eurjpc/zwac019","volume":"29","author":[{"family":"Barbara","given":"Cristina"},{"family":"Clavario","given":"Piero"},{"family":"De Marzo","given":"Vincenzo"},{"family":"Lotti","given":"Roberta"},{"family":"Guglielmi","given":"Giulia"},{"family":"Porcile","given":"Annalisa"},{"family":"Russo","given":"Carmelo"},{"family":"Griffo","given":"Raffaele"},{"family":"Mäkikallio","given":"Timo"},{"family":"Hautala","given":"Arto Jorma"},{"family":"Porto","given":"Italo"}],"accessed":{"date-parts":[["2023",6,23]]},"issued":{"date-parts":[["2022",5,1]]}}},{"id":11580,"uris":["http://zotero.org/users/7565624/items/L7685BFH"],"itemData":{"id":11580,"type":"article-journal","abstract":"Background: COVID-19 survivors face the risk of long-term sequelae including fatigue, breathlessness, and functional limitations. Pulmonary rehabilitation has been recommended, although formal studies quantifying the effect of rehabilitation in COVID-19 patients are lacking. Methods: We conducted a prospective observational cohort study including consecutive patients admitted to an outpatient pulmonary rehabilitation center due to persistent symptoms after COVID-19. The primary endpoint was change in 6-min walk distance (6MWD) after undergoing a 6-week interdisciplinary individualized pulmonary rehabilitation program. Secondary endpoints included change in the post-COVID-19 functional status (PCFS) scale, Borg dyspnea scale, Fatigue Assessment Scale, and quality of life. Further, changes in pulmonary function tests were explored. Results: Of 64 patients undergoing rehabilitation, 58 patients (mean age 47 years, 43% women, 38% severe/critical COVID-19) were included in the per-protocol-analysis. At baseline (i.e., in mean 4.4 months after infection onset), mean 6MWD was 584.1 m (±95.0), and functional impairment was graded in median at 2 (IQR, 2–3) on the PCFS. On average, patients improved their 6MWD by 62.9 m (±48.2, p &amp;lt; 0.001) and reported an improvement of 1 grade on the PCFS scale. Accordingly, we observed significant improvements across secondary endpoints including presence of dyspnea (p &amp;lt; 0.001), fatigue (p &amp;lt; 0.001), and quality of life (p &amp;lt; 0.001). Also, pulmonary function parameters (forced expiratory volume in 1 s, lung diffusion capacity, inspiratory muscle pressure) significantly increased during rehabilitation. Conclusion: In patients with long COVID, exercise capacity, functional status, dyspnea, fatigue, and quality of life improved after 6 weeks of personalized interdisciplinary pulmonary rehabilitation. Future studies are needed to establish the optimal protocol, duration, and long-term benefits as well as cost-effectiveness of rehabilitation.","container-title":"Respiration","DOI":"10.1159/000522118","ISSN":"0025-7931","issue":"6","journalAbbreviation":"Respiration","page":"593-601","source":"Silverchair","title":"Outpatient Pulmonary Rehabilitation in Patients with Long COVID Improves Exercise Capacity, Functional Status, Dyspnea, Fatigue, and Quality of Life","URL":"https://doi.org/10.1159/000522118","volume":"101","author":[{"family":"Nopp","given":"Stephan"},{"family":"Moik","given":"Florian"},{"family":"Klok","given":"Frederikus A."},{"family":"Gattinger","given":"Dietlinde"},{"family":"Petrovic","given":"Milos"},{"family":"Vonbank","given":"Karin"},{"family":"Koczulla","given":"Andreas R."},{"family":"Ay","given":"Cihan"},{"family":"Zwick","given":"Ralf Harun"}],"accessed":{"date-parts":[["2023",6,23]]},"issued":{"date-parts":[["2022",2,24]]}}},{"id":11581,"uris":["http://zotero.org/users/7565624/items/5AGUCLE8"],"itemData":{"id":11581,"type":"article-journal","abstract":"Background\nCOVID-19-related acute respiratory distress syndrome (CARDS) is a severe evolution of the Sars-Cov-2 infection and necessitates intensive care. COVID-19 may subsequently be associated with long COVID, whose symptoms can include persistent respiratory symptoms up to 1 year later. Rehabilitation is currently recommended by most guidelines for people with this condition.\nObjectives\nTo evaluate the effects of exercise training rehabilitation (ETR) on dyspnoea and health-related quality of life measures in people with continuing respiratory discomfort following CARDS.\nMethods\nIn this multicentre, two-arm, parallel, open, assessor-blinded, randomised controlled trial, we enroled adults previously admitted with CARDS to 3 French intensive care units who had been discharged at least 3 months earlier and who presented with an mMRC dyspnoea scale score &gt; 1. Participants received either ETR or standard physiotherapy (SP) for 90 days. The primary outcome was dyspnoea, as measured by the Multidimensional Dyspnoea Profile (MDP), at day 0 (inclusion) and after 90 days of physiotherapy. Secondary outcomes were the mMRC and 12-item Short-Form Survey scores.\nResults\nBetween August 7, 2020, and January 26, 2022, 487 participants with CARDS were screened for inclusion, of whom 60 were randomly assigned to receive either ETR (n = 27) or SP (n = 33). Mean MDP following ETR was 42% lower than after SP (26.15 vs. 44.76); a difference of -18.61 (95% CI -27.78 to -9.44; p&lt;10−4).\nConclusion\nPeople who were still suffering from breathlessness three months after being discharged from hospital with CARDS had significantly improved dyspnoea scores when treated with ETR therapy for 90 days unlike those who only received SP. Study registered 29/09/2020 on Clinicaltrials.gov (NCT04569266).","container-title":"Annals of Physical and Rehabilitation Medicine","DOI":"10.1016/j.rehab.2023.101765","ISSN":"1877-0657","issue":"5","journalAbbreviation":"Annals of Physical and Rehabilitation Medicine","language":"en","page":"101765","source":"ScienceDirect","title":"Effectiveness of exercise training on the dyspnoea of individuals with long COVID: A randomised controlled multicentre trial","title-short":"Effectiveness of exercise training on the dyspnoea of individuals with long COVID","URL":"https://www.sciencedirect.com/science/article/pii/S1877065723000362","volume":"66","author":[{"family":"Romanet","given":"Christophe"},{"family":"Wormser","given":"Johan"},{"family":"Fels","given":"Audrey"},{"family":"Lucas","given":"Pauline"},{"family":"Prudat","given":"Camille"},{"family":"Sacco","given":"Emmanuelle"},{"family":"Bruel","given":"Cédric"},{"family":"Plantefève","given":"Gaëtan"},{"family":"Pene","given":"Frédéric"},{"family":"Chatellier","given":"Gilles"},{"family":"Philippart","given":"François"}],"accessed":{"date-parts":[["2023",6,23]]},"issued":{"date-parts":[["2023",6,1]]}}}],"schema":"https://github.com/citation-style-language/schema/raw/master/csl-citation.json"} </w:instrText>
            </w:r>
            <w:r>
              <w:rPr>
                <w:rFonts w:ascii="Times New Roman" w:eastAsia="Times New Roman" w:hAnsi="Times New Roman" w:cs="Times New Roman"/>
                <w:color w:val="000000"/>
                <w:kern w:val="0"/>
                <w:sz w:val="14"/>
                <w:szCs w:val="14"/>
                <w:lang w:val="en-US" w:eastAsia="en-NL"/>
                <w14:ligatures w14:val="none"/>
              </w:rPr>
              <w:fldChar w:fldCharType="separate"/>
            </w:r>
            <w:r w:rsidRPr="008224C5">
              <w:rPr>
                <w:rFonts w:ascii="Times New Roman" w:hAnsi="Times New Roman" w:cs="Times New Roman"/>
                <w:kern w:val="0"/>
                <w:sz w:val="14"/>
                <w:szCs w:val="24"/>
              </w:rPr>
              <w:t>[11–13]</w:t>
            </w:r>
            <w:r>
              <w:rPr>
                <w:rFonts w:ascii="Times New Roman" w:eastAsia="Times New Roman" w:hAnsi="Times New Roman" w:cs="Times New Roman"/>
                <w:color w:val="000000"/>
                <w:kern w:val="0"/>
                <w:sz w:val="14"/>
                <w:szCs w:val="14"/>
                <w:lang w:val="en-US" w:eastAsia="en-NL"/>
                <w14:ligatures w14:val="none"/>
              </w:rPr>
              <w:fldChar w:fldCharType="end"/>
            </w:r>
          </w:p>
        </w:tc>
      </w:tr>
      <w:tr w:rsidR="00A92A05" w:rsidRPr="00903922" w14:paraId="5F81BA5C" w14:textId="70FE90A1" w:rsidTr="00B46704">
        <w:trPr>
          <w:trHeight w:val="300"/>
        </w:trPr>
        <w:tc>
          <w:tcPr>
            <w:tcW w:w="993" w:type="dxa"/>
            <w:noWrap/>
            <w:hideMark/>
          </w:tcPr>
          <w:p w14:paraId="005C0005"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Nitric Oxide</w:t>
            </w:r>
          </w:p>
        </w:tc>
        <w:tc>
          <w:tcPr>
            <w:tcW w:w="1126" w:type="dxa"/>
            <w:noWrap/>
            <w:hideMark/>
          </w:tcPr>
          <w:p w14:paraId="6479698D"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NCT04421508</w:t>
            </w:r>
          </w:p>
        </w:tc>
        <w:tc>
          <w:tcPr>
            <w:tcW w:w="2168" w:type="dxa"/>
            <w:noWrap/>
            <w:hideMark/>
          </w:tcPr>
          <w:p w14:paraId="20D326BC"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TERMINATED</w:t>
            </w:r>
          </w:p>
        </w:tc>
        <w:tc>
          <w:tcPr>
            <w:tcW w:w="4125" w:type="dxa"/>
          </w:tcPr>
          <w:p w14:paraId="70FF6539" w14:textId="64BAC374" w:rsidR="00A92A05" w:rsidRPr="008224C5" w:rsidRDefault="00A92A05" w:rsidP="00DD5124">
            <w:pPr>
              <w:rPr>
                <w:rFonts w:ascii="Times New Roman" w:eastAsia="Times New Roman" w:hAnsi="Times New Roman" w:cs="Times New Roman"/>
                <w:color w:val="000000"/>
                <w:kern w:val="0"/>
                <w:sz w:val="14"/>
                <w:szCs w:val="14"/>
                <w:lang w:val="en-US" w:eastAsia="en-NL"/>
                <w14:ligatures w14:val="none"/>
              </w:rPr>
            </w:pPr>
            <w:r>
              <w:rPr>
                <w:rFonts w:ascii="Times New Roman" w:eastAsia="Times New Roman" w:hAnsi="Times New Roman" w:cs="Times New Roman"/>
                <w:color w:val="000000"/>
                <w:kern w:val="0"/>
                <w:sz w:val="14"/>
                <w:szCs w:val="14"/>
                <w:lang w:val="en-US" w:eastAsia="en-NL"/>
                <w14:ligatures w14:val="none"/>
              </w:rPr>
              <w:t>Reduced viral load in Covid-19 infection</w:t>
            </w:r>
            <w:r>
              <w:rPr>
                <w:rFonts w:ascii="Times New Roman" w:eastAsia="Times New Roman" w:hAnsi="Times New Roman" w:cs="Times New Roman"/>
                <w:color w:val="000000"/>
                <w:kern w:val="0"/>
                <w:sz w:val="14"/>
                <w:szCs w:val="14"/>
                <w:lang w:val="en-US" w:eastAsia="en-NL"/>
                <w14:ligatures w14:val="none"/>
              </w:rPr>
              <w:fldChar w:fldCharType="begin"/>
            </w:r>
            <w:r>
              <w:rPr>
                <w:rFonts w:ascii="Times New Roman" w:eastAsia="Times New Roman" w:hAnsi="Times New Roman" w:cs="Times New Roman"/>
                <w:color w:val="000000"/>
                <w:kern w:val="0"/>
                <w:sz w:val="14"/>
                <w:szCs w:val="14"/>
                <w:lang w:val="en-US" w:eastAsia="en-NL"/>
                <w14:ligatures w14:val="none"/>
              </w:rPr>
              <w:instrText xml:space="preserve"> ADDIN ZOTERO_ITEM CSL_CITATION {"citationID":"6uqF9HMU","properties":{"formattedCitation":"[14]","plainCitation":"[14]","noteIndex":0},"citationItems":[{"id":11586,"uris":["http://zotero.org/users/7565624/items/XGICEHFD"],"itemData":{"id":11586,"type":"article-journal","abstract":"Baek et al.1 investigated the duration of COVID-19 virus shedding in infected patients and demonstrated that even in patients demonstrating prolonged viral clearance, the virus was no longer viable after 15 days post onset of symptoms. Our study aimed to measure whether nitric oxide nasal spray (NONS) further accelerates this reduction in SARS-CoV-2 RNA load versus a control arm with saline spray. Our study recruited 80 participants who were divided into a NONS treatment arm or a placebo arm to test the efficacy of NONS as a treatment for mild COVID-19 infection.","container-title":"Journal of Infection","DOI":"10.1016/j.jinf.2021.05.009","ISSN":"0163-4453","issue":"2","journalAbbreviation":"Journal of Infection","language":"en","page":"237-279","source":"ScienceDirect","title":"Clinical efficacy of nitric oxide nasal spray (NONS) for the treatment of mild COVID-19 infection","URL":"https://www.sciencedirect.com/science/article/pii/S0163445321002516","volume":"83","author":[{"family":"Winchester","given":"Stephen"},{"family":"John","given":"Sarah"},{"family":"Jabbar","given":"Kashif"},{"family":"John","given":"Isaac"}],"accessed":{"date-parts":[["2023",6,23]]},"issued":{"date-parts":[["2021",8,1]]}}}],"schema":"https://github.com/citation-style-language/schema/raw/master/csl-citation.json"} </w:instrText>
            </w:r>
            <w:r>
              <w:rPr>
                <w:rFonts w:ascii="Times New Roman" w:eastAsia="Times New Roman" w:hAnsi="Times New Roman" w:cs="Times New Roman"/>
                <w:color w:val="000000"/>
                <w:kern w:val="0"/>
                <w:sz w:val="14"/>
                <w:szCs w:val="14"/>
                <w:lang w:val="en-US" w:eastAsia="en-NL"/>
                <w14:ligatures w14:val="none"/>
              </w:rPr>
              <w:fldChar w:fldCharType="separate"/>
            </w:r>
            <w:r w:rsidRPr="008224C5">
              <w:rPr>
                <w:rFonts w:ascii="Times New Roman" w:hAnsi="Times New Roman" w:cs="Times New Roman"/>
                <w:sz w:val="14"/>
              </w:rPr>
              <w:t>[14]</w:t>
            </w:r>
            <w:r>
              <w:rPr>
                <w:rFonts w:ascii="Times New Roman" w:eastAsia="Times New Roman" w:hAnsi="Times New Roman" w:cs="Times New Roman"/>
                <w:color w:val="000000"/>
                <w:kern w:val="0"/>
                <w:sz w:val="14"/>
                <w:szCs w:val="14"/>
                <w:lang w:val="en-US" w:eastAsia="en-NL"/>
                <w14:ligatures w14:val="none"/>
              </w:rPr>
              <w:fldChar w:fldCharType="end"/>
            </w:r>
          </w:p>
        </w:tc>
      </w:tr>
      <w:tr w:rsidR="00A92A05" w:rsidRPr="00903922" w14:paraId="4B6B2D56" w14:textId="2D0B7BB0" w:rsidTr="00B46704">
        <w:trPr>
          <w:trHeight w:val="300"/>
        </w:trPr>
        <w:tc>
          <w:tcPr>
            <w:tcW w:w="993" w:type="dxa"/>
            <w:noWrap/>
            <w:hideMark/>
          </w:tcPr>
          <w:p w14:paraId="0ED740E1"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72E0A8F7"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NCT03331445</w:t>
            </w:r>
          </w:p>
        </w:tc>
        <w:tc>
          <w:tcPr>
            <w:tcW w:w="2168" w:type="dxa"/>
            <w:noWrap/>
            <w:hideMark/>
          </w:tcPr>
          <w:p w14:paraId="2FBEF289"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TERMINATED</w:t>
            </w:r>
          </w:p>
        </w:tc>
        <w:tc>
          <w:tcPr>
            <w:tcW w:w="4125" w:type="dxa"/>
          </w:tcPr>
          <w:p w14:paraId="2C94D90B"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4A04EBFC" w14:textId="065C74E9" w:rsidTr="00B46704">
        <w:trPr>
          <w:trHeight w:val="300"/>
        </w:trPr>
        <w:tc>
          <w:tcPr>
            <w:tcW w:w="993" w:type="dxa"/>
            <w:noWrap/>
            <w:hideMark/>
          </w:tcPr>
          <w:p w14:paraId="69B72597"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3229FA88"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NCT04306393</w:t>
            </w:r>
          </w:p>
        </w:tc>
        <w:tc>
          <w:tcPr>
            <w:tcW w:w="2168" w:type="dxa"/>
            <w:noWrap/>
            <w:hideMark/>
          </w:tcPr>
          <w:p w14:paraId="0F7D03BC"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COMPLETED</w:t>
            </w:r>
          </w:p>
        </w:tc>
        <w:tc>
          <w:tcPr>
            <w:tcW w:w="4125" w:type="dxa"/>
          </w:tcPr>
          <w:p w14:paraId="23FDBEAD"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1EF24B37" w14:textId="25A0D4E1" w:rsidTr="00B46704">
        <w:trPr>
          <w:trHeight w:val="300"/>
        </w:trPr>
        <w:tc>
          <w:tcPr>
            <w:tcW w:w="993" w:type="dxa"/>
            <w:noWrap/>
            <w:hideMark/>
          </w:tcPr>
          <w:p w14:paraId="39DDEE3A"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1208EC15"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NCT05109611</w:t>
            </w:r>
          </w:p>
        </w:tc>
        <w:tc>
          <w:tcPr>
            <w:tcW w:w="2168" w:type="dxa"/>
            <w:noWrap/>
            <w:hideMark/>
          </w:tcPr>
          <w:p w14:paraId="7B55A044"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ACTIVE_NOT_RECRUITING</w:t>
            </w:r>
          </w:p>
        </w:tc>
        <w:tc>
          <w:tcPr>
            <w:tcW w:w="4125" w:type="dxa"/>
          </w:tcPr>
          <w:p w14:paraId="26139009"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20D6DA9F" w14:textId="502C223C" w:rsidTr="00B46704">
        <w:trPr>
          <w:trHeight w:val="300"/>
        </w:trPr>
        <w:tc>
          <w:tcPr>
            <w:tcW w:w="993" w:type="dxa"/>
            <w:noWrap/>
            <w:hideMark/>
          </w:tcPr>
          <w:p w14:paraId="65103643"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39FEA612"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NCT04388683</w:t>
            </w:r>
          </w:p>
        </w:tc>
        <w:tc>
          <w:tcPr>
            <w:tcW w:w="2168" w:type="dxa"/>
            <w:noWrap/>
            <w:hideMark/>
          </w:tcPr>
          <w:p w14:paraId="7935D26F"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TERMINATED</w:t>
            </w:r>
          </w:p>
        </w:tc>
        <w:tc>
          <w:tcPr>
            <w:tcW w:w="4125" w:type="dxa"/>
          </w:tcPr>
          <w:p w14:paraId="482A4977"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3532688A" w14:textId="5BEC2C43" w:rsidTr="00B46704">
        <w:trPr>
          <w:trHeight w:val="300"/>
        </w:trPr>
        <w:tc>
          <w:tcPr>
            <w:tcW w:w="993" w:type="dxa"/>
            <w:noWrap/>
            <w:hideMark/>
          </w:tcPr>
          <w:p w14:paraId="6D8DC79F"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73301200"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NCT04460183</w:t>
            </w:r>
          </w:p>
        </w:tc>
        <w:tc>
          <w:tcPr>
            <w:tcW w:w="2168" w:type="dxa"/>
            <w:noWrap/>
            <w:hideMark/>
          </w:tcPr>
          <w:p w14:paraId="162F71EE"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COMPLETED</w:t>
            </w:r>
          </w:p>
        </w:tc>
        <w:tc>
          <w:tcPr>
            <w:tcW w:w="4125" w:type="dxa"/>
          </w:tcPr>
          <w:p w14:paraId="0E6AF11E"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596940D4" w14:textId="74B05A52" w:rsidTr="00B46704">
        <w:trPr>
          <w:trHeight w:val="300"/>
        </w:trPr>
        <w:tc>
          <w:tcPr>
            <w:tcW w:w="993" w:type="dxa"/>
            <w:noWrap/>
            <w:hideMark/>
          </w:tcPr>
          <w:p w14:paraId="69E14EFF"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03A076D0"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NCT04606407</w:t>
            </w:r>
          </w:p>
        </w:tc>
        <w:tc>
          <w:tcPr>
            <w:tcW w:w="2168" w:type="dxa"/>
            <w:noWrap/>
            <w:hideMark/>
          </w:tcPr>
          <w:p w14:paraId="3DFACBCD"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COMPLETED</w:t>
            </w:r>
          </w:p>
        </w:tc>
        <w:tc>
          <w:tcPr>
            <w:tcW w:w="4125" w:type="dxa"/>
          </w:tcPr>
          <w:p w14:paraId="2C85F7A6"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1ECDCBD5" w14:textId="2AFFD5B1" w:rsidTr="00B46704">
        <w:trPr>
          <w:trHeight w:val="300"/>
        </w:trPr>
        <w:tc>
          <w:tcPr>
            <w:tcW w:w="993" w:type="dxa"/>
            <w:noWrap/>
            <w:hideMark/>
          </w:tcPr>
          <w:p w14:paraId="35E8D830"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40BA74BE"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NCT05430503</w:t>
            </w:r>
          </w:p>
        </w:tc>
        <w:tc>
          <w:tcPr>
            <w:tcW w:w="2168" w:type="dxa"/>
            <w:noWrap/>
            <w:hideMark/>
          </w:tcPr>
          <w:p w14:paraId="4C1D658E"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COMPLETED</w:t>
            </w:r>
          </w:p>
        </w:tc>
        <w:tc>
          <w:tcPr>
            <w:tcW w:w="4125" w:type="dxa"/>
          </w:tcPr>
          <w:p w14:paraId="33B5BFDE"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0ADCEC38" w14:textId="0038CDDC" w:rsidTr="00B46704">
        <w:trPr>
          <w:trHeight w:val="300"/>
        </w:trPr>
        <w:tc>
          <w:tcPr>
            <w:tcW w:w="993" w:type="dxa"/>
            <w:noWrap/>
            <w:hideMark/>
          </w:tcPr>
          <w:p w14:paraId="58117CA6"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31E7D714"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NCT04610554</w:t>
            </w:r>
          </w:p>
        </w:tc>
        <w:tc>
          <w:tcPr>
            <w:tcW w:w="2168" w:type="dxa"/>
            <w:noWrap/>
            <w:hideMark/>
          </w:tcPr>
          <w:p w14:paraId="2632EDE3"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COMPLETED</w:t>
            </w:r>
          </w:p>
        </w:tc>
        <w:tc>
          <w:tcPr>
            <w:tcW w:w="4125" w:type="dxa"/>
          </w:tcPr>
          <w:p w14:paraId="1E3E2BD1"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71FE14C3" w14:textId="0A908CD7" w:rsidTr="00B46704">
        <w:trPr>
          <w:trHeight w:val="300"/>
        </w:trPr>
        <w:tc>
          <w:tcPr>
            <w:tcW w:w="993" w:type="dxa"/>
            <w:noWrap/>
            <w:hideMark/>
          </w:tcPr>
          <w:p w14:paraId="585ED026"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4864174C"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NCT04312243</w:t>
            </w:r>
          </w:p>
        </w:tc>
        <w:tc>
          <w:tcPr>
            <w:tcW w:w="2168" w:type="dxa"/>
            <w:noWrap/>
            <w:hideMark/>
          </w:tcPr>
          <w:p w14:paraId="42DEA21D"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ACTIVE_NOT_RECRUITING</w:t>
            </w:r>
          </w:p>
        </w:tc>
        <w:tc>
          <w:tcPr>
            <w:tcW w:w="4125" w:type="dxa"/>
          </w:tcPr>
          <w:p w14:paraId="6677C482"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66A2162E" w14:textId="5F06B132" w:rsidTr="00B46704">
        <w:trPr>
          <w:trHeight w:val="300"/>
        </w:trPr>
        <w:tc>
          <w:tcPr>
            <w:tcW w:w="993" w:type="dxa"/>
            <w:noWrap/>
            <w:hideMark/>
          </w:tcPr>
          <w:p w14:paraId="3B6F8210"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3FDD7827"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NCT04728919</w:t>
            </w:r>
          </w:p>
        </w:tc>
        <w:tc>
          <w:tcPr>
            <w:tcW w:w="2168" w:type="dxa"/>
            <w:noWrap/>
            <w:hideMark/>
          </w:tcPr>
          <w:p w14:paraId="2E574FED"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ACTIVE_NOT_RECRUITING</w:t>
            </w:r>
          </w:p>
        </w:tc>
        <w:tc>
          <w:tcPr>
            <w:tcW w:w="4125" w:type="dxa"/>
          </w:tcPr>
          <w:p w14:paraId="1EC8B437"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05727657" w14:textId="5A57D5C8" w:rsidTr="00B46704">
        <w:trPr>
          <w:trHeight w:val="300"/>
        </w:trPr>
        <w:tc>
          <w:tcPr>
            <w:tcW w:w="993" w:type="dxa"/>
            <w:noWrap/>
            <w:hideMark/>
          </w:tcPr>
          <w:p w14:paraId="7339CFCE"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0BE5FDA9"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NCT04397692</w:t>
            </w:r>
          </w:p>
        </w:tc>
        <w:tc>
          <w:tcPr>
            <w:tcW w:w="2168" w:type="dxa"/>
            <w:noWrap/>
            <w:hideMark/>
          </w:tcPr>
          <w:p w14:paraId="1140FE8F"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TERMINATED</w:t>
            </w:r>
          </w:p>
        </w:tc>
        <w:tc>
          <w:tcPr>
            <w:tcW w:w="4125" w:type="dxa"/>
          </w:tcPr>
          <w:p w14:paraId="76B1336B"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1D7F041E" w14:textId="7A4204BF" w:rsidTr="00B46704">
        <w:trPr>
          <w:trHeight w:val="300"/>
        </w:trPr>
        <w:tc>
          <w:tcPr>
            <w:tcW w:w="993" w:type="dxa"/>
            <w:noWrap/>
            <w:hideMark/>
          </w:tcPr>
          <w:p w14:paraId="13329889"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17128AB3"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NCT05715788</w:t>
            </w:r>
          </w:p>
        </w:tc>
        <w:tc>
          <w:tcPr>
            <w:tcW w:w="2168" w:type="dxa"/>
            <w:noWrap/>
            <w:hideMark/>
          </w:tcPr>
          <w:p w14:paraId="3D5FC114"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RECRUITING</w:t>
            </w:r>
          </w:p>
        </w:tc>
        <w:tc>
          <w:tcPr>
            <w:tcW w:w="4125" w:type="dxa"/>
          </w:tcPr>
          <w:p w14:paraId="51BD04E7"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7A5D69D1" w14:textId="477A97B3" w:rsidTr="00B46704">
        <w:trPr>
          <w:trHeight w:val="300"/>
        </w:trPr>
        <w:tc>
          <w:tcPr>
            <w:tcW w:w="993" w:type="dxa"/>
            <w:noWrap/>
            <w:hideMark/>
          </w:tcPr>
          <w:p w14:paraId="2CCDC34C"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6CCA10A0"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NCT04476992</w:t>
            </w:r>
          </w:p>
        </w:tc>
        <w:tc>
          <w:tcPr>
            <w:tcW w:w="2168" w:type="dxa"/>
            <w:noWrap/>
            <w:hideMark/>
          </w:tcPr>
          <w:p w14:paraId="1EECB80C"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COMPLETED</w:t>
            </w:r>
          </w:p>
        </w:tc>
        <w:tc>
          <w:tcPr>
            <w:tcW w:w="4125" w:type="dxa"/>
          </w:tcPr>
          <w:p w14:paraId="451A79DB"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1DF9BAB2" w14:textId="6512BD04" w:rsidTr="00B46704">
        <w:trPr>
          <w:trHeight w:val="300"/>
        </w:trPr>
        <w:tc>
          <w:tcPr>
            <w:tcW w:w="993" w:type="dxa"/>
            <w:noWrap/>
            <w:hideMark/>
          </w:tcPr>
          <w:p w14:paraId="6CB15F60"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6BA4C7CE"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NCT04601077</w:t>
            </w:r>
          </w:p>
        </w:tc>
        <w:tc>
          <w:tcPr>
            <w:tcW w:w="2168" w:type="dxa"/>
            <w:noWrap/>
            <w:hideMark/>
          </w:tcPr>
          <w:p w14:paraId="2B921343"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TERMINATED</w:t>
            </w:r>
          </w:p>
        </w:tc>
        <w:tc>
          <w:tcPr>
            <w:tcW w:w="4125" w:type="dxa"/>
          </w:tcPr>
          <w:p w14:paraId="1AEA3AF1"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34899C14" w14:textId="5D9783FF" w:rsidTr="00B46704">
        <w:trPr>
          <w:trHeight w:val="300"/>
        </w:trPr>
        <w:tc>
          <w:tcPr>
            <w:tcW w:w="993" w:type="dxa"/>
            <w:noWrap/>
            <w:hideMark/>
          </w:tcPr>
          <w:p w14:paraId="107C11D6"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02C50A0D"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NCT05012319</w:t>
            </w:r>
          </w:p>
        </w:tc>
        <w:tc>
          <w:tcPr>
            <w:tcW w:w="2168" w:type="dxa"/>
            <w:noWrap/>
            <w:hideMark/>
          </w:tcPr>
          <w:p w14:paraId="5C1F36E3"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RECRUITING</w:t>
            </w:r>
          </w:p>
        </w:tc>
        <w:tc>
          <w:tcPr>
            <w:tcW w:w="4125" w:type="dxa"/>
          </w:tcPr>
          <w:p w14:paraId="18AFAADA"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453F0F15" w14:textId="626AEA1B" w:rsidTr="00B46704">
        <w:trPr>
          <w:trHeight w:val="300"/>
        </w:trPr>
        <w:tc>
          <w:tcPr>
            <w:tcW w:w="993" w:type="dxa"/>
            <w:noWrap/>
            <w:hideMark/>
          </w:tcPr>
          <w:p w14:paraId="1E356E2E"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02D0960F"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NCT05599919</w:t>
            </w:r>
          </w:p>
        </w:tc>
        <w:tc>
          <w:tcPr>
            <w:tcW w:w="2168" w:type="dxa"/>
            <w:noWrap/>
            <w:hideMark/>
          </w:tcPr>
          <w:p w14:paraId="17196B88"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COMPLETED</w:t>
            </w:r>
          </w:p>
        </w:tc>
        <w:tc>
          <w:tcPr>
            <w:tcW w:w="4125" w:type="dxa"/>
          </w:tcPr>
          <w:p w14:paraId="3AA3FAE8"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74AEE98C" w14:textId="0DC8F5F5" w:rsidTr="00B46704">
        <w:trPr>
          <w:trHeight w:val="300"/>
        </w:trPr>
        <w:tc>
          <w:tcPr>
            <w:tcW w:w="993" w:type="dxa"/>
            <w:noWrap/>
            <w:hideMark/>
          </w:tcPr>
          <w:p w14:paraId="1F327ED5"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6F3881ED"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NCT04383002</w:t>
            </w:r>
          </w:p>
        </w:tc>
        <w:tc>
          <w:tcPr>
            <w:tcW w:w="2168" w:type="dxa"/>
            <w:noWrap/>
            <w:hideMark/>
          </w:tcPr>
          <w:p w14:paraId="65DD450D"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COMPLETED</w:t>
            </w:r>
          </w:p>
        </w:tc>
        <w:tc>
          <w:tcPr>
            <w:tcW w:w="4125" w:type="dxa"/>
          </w:tcPr>
          <w:p w14:paraId="71906D0D"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39526FF4" w14:textId="019DE123" w:rsidTr="00B46704">
        <w:trPr>
          <w:trHeight w:val="300"/>
        </w:trPr>
        <w:tc>
          <w:tcPr>
            <w:tcW w:w="993" w:type="dxa"/>
            <w:noWrap/>
            <w:hideMark/>
          </w:tcPr>
          <w:p w14:paraId="75429A4A"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17260198"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NCT04445246</w:t>
            </w:r>
          </w:p>
        </w:tc>
        <w:tc>
          <w:tcPr>
            <w:tcW w:w="2168" w:type="dxa"/>
            <w:noWrap/>
            <w:hideMark/>
          </w:tcPr>
          <w:p w14:paraId="2817EFAC"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COMPLETED</w:t>
            </w:r>
          </w:p>
        </w:tc>
        <w:tc>
          <w:tcPr>
            <w:tcW w:w="4125" w:type="dxa"/>
          </w:tcPr>
          <w:p w14:paraId="20D29FC2"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4AA4FEEE" w14:textId="1EDCA1FA" w:rsidTr="00B46704">
        <w:trPr>
          <w:trHeight w:val="300"/>
        </w:trPr>
        <w:tc>
          <w:tcPr>
            <w:tcW w:w="993" w:type="dxa"/>
            <w:noWrap/>
            <w:hideMark/>
          </w:tcPr>
          <w:p w14:paraId="2A9DAEA5"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7E41C2F5"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NCT05715762</w:t>
            </w:r>
          </w:p>
        </w:tc>
        <w:tc>
          <w:tcPr>
            <w:tcW w:w="2168" w:type="dxa"/>
            <w:noWrap/>
            <w:hideMark/>
          </w:tcPr>
          <w:p w14:paraId="3BE13B19"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RECRUITING</w:t>
            </w:r>
          </w:p>
        </w:tc>
        <w:tc>
          <w:tcPr>
            <w:tcW w:w="4125" w:type="dxa"/>
          </w:tcPr>
          <w:p w14:paraId="113EACD8"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6F5AC616" w14:textId="06CD0F18" w:rsidTr="00B46704">
        <w:trPr>
          <w:trHeight w:val="300"/>
        </w:trPr>
        <w:tc>
          <w:tcPr>
            <w:tcW w:w="993" w:type="dxa"/>
            <w:noWrap/>
            <w:hideMark/>
          </w:tcPr>
          <w:p w14:paraId="36D4C9ED"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1C535E4B"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NCT04337918</w:t>
            </w:r>
          </w:p>
        </w:tc>
        <w:tc>
          <w:tcPr>
            <w:tcW w:w="2168" w:type="dxa"/>
            <w:noWrap/>
            <w:hideMark/>
          </w:tcPr>
          <w:p w14:paraId="45552AE1"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COMPLETED</w:t>
            </w:r>
          </w:p>
        </w:tc>
        <w:tc>
          <w:tcPr>
            <w:tcW w:w="4125" w:type="dxa"/>
          </w:tcPr>
          <w:p w14:paraId="03C8B90E"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6490FBE3" w14:textId="1E3C56F4" w:rsidTr="00B46704">
        <w:trPr>
          <w:trHeight w:val="300"/>
        </w:trPr>
        <w:tc>
          <w:tcPr>
            <w:tcW w:w="993" w:type="dxa"/>
            <w:noWrap/>
            <w:hideMark/>
          </w:tcPr>
          <w:p w14:paraId="086E3DB8"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08427BE9"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NCT04338828</w:t>
            </w:r>
          </w:p>
        </w:tc>
        <w:tc>
          <w:tcPr>
            <w:tcW w:w="2168" w:type="dxa"/>
            <w:noWrap/>
            <w:hideMark/>
          </w:tcPr>
          <w:p w14:paraId="799858BB"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TERMINATED</w:t>
            </w:r>
          </w:p>
        </w:tc>
        <w:tc>
          <w:tcPr>
            <w:tcW w:w="4125" w:type="dxa"/>
          </w:tcPr>
          <w:p w14:paraId="0BE08844"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6B46F167" w14:textId="2C62E6D0" w:rsidTr="00B46704">
        <w:trPr>
          <w:trHeight w:val="300"/>
        </w:trPr>
        <w:tc>
          <w:tcPr>
            <w:tcW w:w="993" w:type="dxa"/>
            <w:noWrap/>
            <w:hideMark/>
          </w:tcPr>
          <w:p w14:paraId="291C1A58"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362B6482"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NCT04305457</w:t>
            </w:r>
          </w:p>
        </w:tc>
        <w:tc>
          <w:tcPr>
            <w:tcW w:w="2168" w:type="dxa"/>
            <w:noWrap/>
            <w:hideMark/>
          </w:tcPr>
          <w:p w14:paraId="39BB8E18"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ACTIVE_NOT_RECRUITING</w:t>
            </w:r>
          </w:p>
        </w:tc>
        <w:tc>
          <w:tcPr>
            <w:tcW w:w="4125" w:type="dxa"/>
          </w:tcPr>
          <w:p w14:paraId="693D9772"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79464950" w14:textId="03877FA4" w:rsidTr="00B46704">
        <w:trPr>
          <w:trHeight w:val="300"/>
        </w:trPr>
        <w:tc>
          <w:tcPr>
            <w:tcW w:w="993" w:type="dxa"/>
            <w:noWrap/>
            <w:hideMark/>
          </w:tcPr>
          <w:p w14:paraId="1BA7EF96"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149F0804"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NCT05721144</w:t>
            </w:r>
          </w:p>
        </w:tc>
        <w:tc>
          <w:tcPr>
            <w:tcW w:w="2168" w:type="dxa"/>
            <w:noWrap/>
            <w:hideMark/>
          </w:tcPr>
          <w:p w14:paraId="34032F9C"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RECRUITING</w:t>
            </w:r>
          </w:p>
        </w:tc>
        <w:tc>
          <w:tcPr>
            <w:tcW w:w="4125" w:type="dxa"/>
          </w:tcPr>
          <w:p w14:paraId="00386497"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0F2702C5" w14:textId="0AE96D71" w:rsidTr="00B46704">
        <w:trPr>
          <w:trHeight w:val="345"/>
        </w:trPr>
        <w:tc>
          <w:tcPr>
            <w:tcW w:w="993" w:type="dxa"/>
            <w:noWrap/>
            <w:hideMark/>
          </w:tcPr>
          <w:p w14:paraId="18777382"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Lipoic Acid</w:t>
            </w:r>
          </w:p>
        </w:tc>
        <w:tc>
          <w:tcPr>
            <w:tcW w:w="1126" w:type="dxa"/>
            <w:noWrap/>
            <w:hideMark/>
          </w:tcPr>
          <w:p w14:paraId="3996F601" w14:textId="77777777" w:rsidR="00A92A05" w:rsidRPr="00DD5124" w:rsidRDefault="00A92A05" w:rsidP="00DD5124">
            <w:pPr>
              <w:rPr>
                <w:rFonts w:ascii="Times New Roman" w:eastAsia="Times New Roman" w:hAnsi="Times New Roman" w:cs="Times New Roman"/>
                <w:color w:val="495057"/>
                <w:kern w:val="0"/>
                <w:sz w:val="14"/>
                <w:szCs w:val="14"/>
                <w:lang w:eastAsia="en-NL"/>
                <w14:ligatures w14:val="none"/>
              </w:rPr>
            </w:pPr>
            <w:r w:rsidRPr="00DD5124">
              <w:rPr>
                <w:rFonts w:ascii="Times New Roman" w:eastAsia="Times New Roman" w:hAnsi="Times New Roman" w:cs="Times New Roman"/>
                <w:color w:val="495057"/>
                <w:kern w:val="0"/>
                <w:sz w:val="14"/>
                <w:szCs w:val="14"/>
                <w:lang w:eastAsia="en-NL"/>
                <w14:ligatures w14:val="none"/>
              </w:rPr>
              <w:t>NCT05371288</w:t>
            </w:r>
          </w:p>
        </w:tc>
        <w:tc>
          <w:tcPr>
            <w:tcW w:w="2168" w:type="dxa"/>
            <w:noWrap/>
            <w:hideMark/>
          </w:tcPr>
          <w:p w14:paraId="6F684B8B" w14:textId="2AE92470" w:rsidR="00A92A05" w:rsidRPr="002A56A8" w:rsidRDefault="002A56A8" w:rsidP="00DD5124">
            <w:pPr>
              <w:rPr>
                <w:rFonts w:ascii="Times New Roman" w:eastAsia="Times New Roman" w:hAnsi="Times New Roman" w:cs="Times New Roman"/>
                <w:color w:val="000000"/>
                <w:kern w:val="0"/>
                <w:sz w:val="14"/>
                <w:szCs w:val="14"/>
                <w:lang w:val="en-US" w:eastAsia="en-NL"/>
                <w14:ligatures w14:val="none"/>
              </w:rPr>
            </w:pPr>
            <w:r>
              <w:rPr>
                <w:rFonts w:ascii="Times New Roman" w:eastAsia="Times New Roman" w:hAnsi="Times New Roman" w:cs="Times New Roman"/>
                <w:color w:val="000000"/>
                <w:kern w:val="0"/>
                <w:sz w:val="14"/>
                <w:szCs w:val="14"/>
                <w:lang w:val="en-US" w:eastAsia="en-NL"/>
                <w14:ligatures w14:val="none"/>
              </w:rPr>
              <w:t>NOT_YET_RECRUITING</w:t>
            </w:r>
          </w:p>
        </w:tc>
        <w:tc>
          <w:tcPr>
            <w:tcW w:w="4125" w:type="dxa"/>
          </w:tcPr>
          <w:p w14:paraId="38184B6A" w14:textId="439DB985"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r>
              <w:rPr>
                <w:rFonts w:ascii="Times New Roman" w:eastAsia="Times New Roman" w:hAnsi="Times New Roman" w:cs="Times New Roman"/>
                <w:color w:val="000000"/>
                <w:kern w:val="0"/>
                <w:sz w:val="14"/>
                <w:szCs w:val="14"/>
                <w:lang w:val="en-US" w:eastAsia="en-NL"/>
                <w14:ligatures w14:val="none"/>
              </w:rPr>
              <w:t xml:space="preserve">Lower mortality and lower rates of organ failure in severe Covid-19 </w:t>
            </w:r>
            <w:r>
              <w:rPr>
                <w:rFonts w:ascii="Times New Roman" w:eastAsia="Times New Roman" w:hAnsi="Times New Roman" w:cs="Times New Roman"/>
                <w:color w:val="000000"/>
                <w:kern w:val="0"/>
                <w:sz w:val="14"/>
                <w:szCs w:val="14"/>
                <w:lang w:eastAsia="en-NL"/>
                <w14:ligatures w14:val="none"/>
              </w:rPr>
              <w:fldChar w:fldCharType="begin"/>
            </w:r>
            <w:r>
              <w:rPr>
                <w:rFonts w:ascii="Times New Roman" w:eastAsia="Times New Roman" w:hAnsi="Times New Roman" w:cs="Times New Roman"/>
                <w:color w:val="000000"/>
                <w:kern w:val="0"/>
                <w:sz w:val="14"/>
                <w:szCs w:val="14"/>
                <w:lang w:eastAsia="en-NL"/>
                <w14:ligatures w14:val="none"/>
              </w:rPr>
              <w:instrText xml:space="preserve"> ADDIN ZOTERO_ITEM CSL_CITATION {"citationID":"s2P68Ix1","properties":{"formattedCitation":"[15]","plainCitation":"[15]","noteIndex":0},"citationItems":[{"id":11589,"uris":["http://zotero.org/users/7565624/items/RB5FIFJT"],"itemData":{"id":11589,"type":"article-journal","abstract":"ObjectTo evaluate the clinical efficacy and safety of α-Lipoic acid (ALA) for critically ill patients with coronavirus disease 2019 (COVID-19).MethodsA randomized, single-blind, group sequential, active-controlled trial was performed at JinYinTan Hospital, Wuhan, China. Between February 2020 and March 2020, 17 patients with critically ill COVID-19 were enrolled in our study. Eligible patients were randomly assigned in a 1:1 ratio to receive either ALA (1200 mg/d, intravenous infusion) once daily plus standard care or standard care plus equal volume saline infusion (placebo) for 7 days. All patients were monitored within the 7 days therapy and followed up to day 30 after therapy. The primary outcome of this study was the Sequential Organ Failure Estimate (SOFA) score, and the secondary outcome was the all-cause mortality within 30 days.ResultNine patients were randomized to placebo group and 8 patients were randomized to ALA group. SOFA score was similar at baseline, increased from 4.3 to 6.0 in the placebo group and increased from 3.8 to 4.0 in the ALA group (P = 0.36) after 7 days. The 30-day all-cause mortality tended to be lower in the ALA group (3/8, 37.5%) compared to that in the placebo group (7/9, 77.8%, P = 0.09).ConclusionIn our study, ALA use is associated with lower SOFA score increase and lower 30-day all-cause mortality as compared with the placebo group. Although the mortality rate was two-folds higher in placebo group than in ALA group, only borderline statistical difference was evidenced due to the limited patient number. Future studies with larger patient cohort are warranted to validate the role of ALA in critically ill patients with COVID-19.Clinical Trial Registrationhttp://www.chictr.org.cn/showproj.aspx?proj=49534.","container-title":"Frontiers in Medicine","ISSN":"2296-858X","source":"Frontiers","title":"A Randomized, Single-Blind, Group Sequential, Active-Controlled Study to Evaluate the Clinical Efficacy and Safety of α-Lipoic Acid for Critically Ill Patients With Coronavirus Disease 2019 (COVID-19)","URL":"https://www.frontiersin.org/articles/10.3389/fmed.2021.566609","volume":"8","author":[{"family":"Zhong","given":"Ming"},{"family":"Sun","given":"Aijun"},{"family":"Xiao","given":"Ting"},{"family":"Yao","given":"Ge"},{"family":"Sang","given":"Ling"},{"family":"Zheng","given":"Xia"},{"family":"Zhang","given":"Jinyan"},{"family":"Jin","given":"Xuejuan"},{"family":"Xu","given":"Lei"},{"family":"Yang","given":"Wenlong"},{"family":"Wang","given":"Peng"},{"family":"Hu","given":"Kai"},{"family":"Zhang","given":"Dingyu"},{"family":"Ge","given":"Junbo"}],"accessed":{"date-parts":[["2023",6,23]]},"issued":{"date-parts":[["2022"]]}}}],"schema":"https://github.com/citation-style-language/schema/raw/master/csl-citation.json"} </w:instrText>
            </w:r>
            <w:r>
              <w:rPr>
                <w:rFonts w:ascii="Times New Roman" w:eastAsia="Times New Roman" w:hAnsi="Times New Roman" w:cs="Times New Roman"/>
                <w:color w:val="000000"/>
                <w:kern w:val="0"/>
                <w:sz w:val="14"/>
                <w:szCs w:val="14"/>
                <w:lang w:eastAsia="en-NL"/>
                <w14:ligatures w14:val="none"/>
              </w:rPr>
              <w:fldChar w:fldCharType="separate"/>
            </w:r>
            <w:r w:rsidRPr="008224C5">
              <w:rPr>
                <w:rFonts w:ascii="Times New Roman" w:hAnsi="Times New Roman" w:cs="Times New Roman"/>
                <w:sz w:val="14"/>
              </w:rPr>
              <w:t>[15]</w:t>
            </w:r>
            <w:r>
              <w:rPr>
                <w:rFonts w:ascii="Times New Roman" w:eastAsia="Times New Roman" w:hAnsi="Times New Roman" w:cs="Times New Roman"/>
                <w:color w:val="000000"/>
                <w:kern w:val="0"/>
                <w:sz w:val="14"/>
                <w:szCs w:val="14"/>
                <w:lang w:eastAsia="en-NL"/>
                <w14:ligatures w14:val="none"/>
              </w:rPr>
              <w:fldChar w:fldCharType="end"/>
            </w:r>
          </w:p>
        </w:tc>
      </w:tr>
      <w:tr w:rsidR="00A92A05" w:rsidRPr="00903922" w14:paraId="795697B7" w14:textId="7C9F4838" w:rsidTr="00B46704">
        <w:trPr>
          <w:trHeight w:val="360"/>
        </w:trPr>
        <w:tc>
          <w:tcPr>
            <w:tcW w:w="993" w:type="dxa"/>
            <w:noWrap/>
            <w:hideMark/>
          </w:tcPr>
          <w:p w14:paraId="66A1E900"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Acetyl L-carnitine</w:t>
            </w:r>
          </w:p>
        </w:tc>
        <w:tc>
          <w:tcPr>
            <w:tcW w:w="1126" w:type="dxa"/>
            <w:hideMark/>
          </w:tcPr>
          <w:p w14:paraId="6C748FFF" w14:textId="77777777" w:rsidR="00A92A05" w:rsidRPr="00DD5124" w:rsidRDefault="00A92A05" w:rsidP="00DD5124">
            <w:pPr>
              <w:rPr>
                <w:rFonts w:ascii="Times New Roman" w:eastAsia="Times New Roman" w:hAnsi="Times New Roman" w:cs="Times New Roman"/>
                <w:color w:val="495057"/>
                <w:kern w:val="0"/>
                <w:sz w:val="14"/>
                <w:szCs w:val="14"/>
                <w:lang w:eastAsia="en-NL"/>
                <w14:ligatures w14:val="none"/>
              </w:rPr>
            </w:pPr>
            <w:r w:rsidRPr="00DD5124">
              <w:rPr>
                <w:rFonts w:ascii="Times New Roman" w:eastAsia="Times New Roman" w:hAnsi="Times New Roman" w:cs="Times New Roman"/>
                <w:color w:val="495057"/>
                <w:kern w:val="0"/>
                <w:sz w:val="14"/>
                <w:szCs w:val="14"/>
                <w:lang w:eastAsia="en-NL"/>
                <w14:ligatures w14:val="none"/>
              </w:rPr>
              <w:t>NCT04623619</w:t>
            </w:r>
          </w:p>
        </w:tc>
        <w:tc>
          <w:tcPr>
            <w:tcW w:w="2168" w:type="dxa"/>
            <w:noWrap/>
            <w:hideMark/>
          </w:tcPr>
          <w:p w14:paraId="4EC51229" w14:textId="64ADACBF" w:rsidR="00A92A05" w:rsidRPr="002A56A8" w:rsidRDefault="002A56A8" w:rsidP="00DD5124">
            <w:pPr>
              <w:rPr>
                <w:rFonts w:ascii="Times New Roman" w:eastAsia="Times New Roman" w:hAnsi="Times New Roman" w:cs="Times New Roman"/>
                <w:color w:val="000000"/>
                <w:kern w:val="0"/>
                <w:sz w:val="14"/>
                <w:szCs w:val="14"/>
                <w:lang w:val="en-US" w:eastAsia="en-NL"/>
                <w14:ligatures w14:val="none"/>
              </w:rPr>
            </w:pPr>
            <w:r>
              <w:rPr>
                <w:rFonts w:ascii="Times New Roman" w:eastAsia="Times New Roman" w:hAnsi="Times New Roman" w:cs="Times New Roman"/>
                <w:color w:val="000000"/>
                <w:kern w:val="0"/>
                <w:sz w:val="14"/>
                <w:szCs w:val="14"/>
                <w:lang w:val="en-US" w:eastAsia="en-NL"/>
                <w14:ligatures w14:val="none"/>
              </w:rPr>
              <w:t>UNKNOWN</w:t>
            </w:r>
          </w:p>
        </w:tc>
        <w:tc>
          <w:tcPr>
            <w:tcW w:w="4125" w:type="dxa"/>
          </w:tcPr>
          <w:p w14:paraId="4CF0AE17" w14:textId="77777777" w:rsidR="00A92A05" w:rsidRDefault="00A92A05" w:rsidP="00DD5124">
            <w:pPr>
              <w:rPr>
                <w:rFonts w:ascii="Times New Roman" w:eastAsia="Times New Roman" w:hAnsi="Times New Roman" w:cs="Times New Roman"/>
                <w:color w:val="000000"/>
                <w:kern w:val="0"/>
                <w:sz w:val="14"/>
                <w:szCs w:val="14"/>
                <w:lang w:val="en-US" w:eastAsia="en-NL"/>
                <w14:ligatures w14:val="none"/>
              </w:rPr>
            </w:pPr>
            <w:r>
              <w:rPr>
                <w:rFonts w:ascii="Times New Roman" w:eastAsia="Times New Roman" w:hAnsi="Times New Roman" w:cs="Times New Roman"/>
                <w:color w:val="000000"/>
                <w:kern w:val="0"/>
                <w:sz w:val="14"/>
                <w:szCs w:val="14"/>
                <w:lang w:val="en-US" w:eastAsia="en-NL"/>
                <w14:ligatures w14:val="none"/>
              </w:rPr>
              <w:t xml:space="preserve">Shorter time to recovery when combined with </w:t>
            </w:r>
            <w:r w:rsidRPr="008224C5">
              <w:rPr>
                <w:rFonts w:ascii="Times New Roman" w:eastAsia="Times New Roman" w:hAnsi="Times New Roman" w:cs="Times New Roman"/>
                <w:color w:val="000000"/>
                <w:kern w:val="0"/>
                <w:sz w:val="14"/>
                <w:szCs w:val="14"/>
                <w:lang w:eastAsia="en-NL"/>
                <w14:ligatures w14:val="none"/>
              </w:rPr>
              <w:t>l-serine (serine), NAC, NR, and l-carnitine tartrate (LCAT, the salt form of l-carnitine) </w:t>
            </w:r>
            <w:r>
              <w:rPr>
                <w:rFonts w:ascii="Times New Roman" w:eastAsia="Times New Roman" w:hAnsi="Times New Roman" w:cs="Times New Roman"/>
                <w:color w:val="000000"/>
                <w:kern w:val="0"/>
                <w:sz w:val="14"/>
                <w:szCs w:val="14"/>
                <w:lang w:eastAsia="en-NL"/>
                <w14:ligatures w14:val="none"/>
              </w:rPr>
              <w:fldChar w:fldCharType="begin"/>
            </w:r>
            <w:r>
              <w:rPr>
                <w:rFonts w:ascii="Times New Roman" w:eastAsia="Times New Roman" w:hAnsi="Times New Roman" w:cs="Times New Roman"/>
                <w:color w:val="000000"/>
                <w:kern w:val="0"/>
                <w:sz w:val="14"/>
                <w:szCs w:val="14"/>
                <w:lang w:eastAsia="en-NL"/>
                <w14:ligatures w14:val="none"/>
              </w:rPr>
              <w:instrText xml:space="preserve"> ADDIN ZOTERO_ITEM CSL_CITATION {"citationID":"TYqWr507","properties":{"formattedCitation":"[16]","plainCitation":"[16]","noteIndex":0},"citationItems":[{"id":11591,"uris":["http://zotero.org/users/7565624/items/7PQCXP2A"],"itemData":{"id":11591,"type":"article-journal","abstract":"COVID-19 is associated with mitochondrial dysfunction and metabolic abnormalities, including the deficiencies in nicotinamide adenine dinucleotide (NAD+) and glutathione metabolism. Here it is investigated if administration of a mixture of combined metabolic activators (CMAs) consisting of glutathione and NAD+ precursors can restore metabolic function and thus aid the recovery of COVID-19 patients. CMAs include l-serine, N-acetyl-l-cysteine, nicotinamide riboside, and l-carnitine tartrate, salt form of l-carnitine. Placebo-controlled, open-label phase 2 study and double-blinded phase 3 clinical trials are conducted to investigate the time of symptom-free recovery on ambulatory patients using CMAs. The results of both studies show that the time to complete recovery is significantly shorter in the CMA group (6.6 vs 9.3 d) in phase 2 and (5.7 vs 9.2 d) in phase 3 trials compared to placebo group. A comprehensive analysis of the plasma metabolome and proteome reveals major metabolic changes. Plasma levels of proteins and metabolites associated with inflammation and antioxidant metabolism are significantly improved in patients treated with CMAs as compared to placebo. The results show that treating patients infected with COVID-19 with CMAs lead to a more rapid symptom-free recovery, suggesting a role for such a therapeutic regime in the treatment of infections leading to respiratory problems.","container-title":"Advanced Science","DOI":"10.1002/advs.202101222","ISSN":"2198-3844","issue":"17","language":"en","license":"© 2021 The Authors. Advanced Science published by Wiley-VCH GmbH","note":"_eprint: https://onlinelibrary.wiley.com/doi/pdf/10.1002/advs.202101222","page":"2101222","source":"Wiley Online Library","title":"Combined Metabolic Activators Accelerates Recovery in Mild-to-Moderate COVID-19","URL":"https://onlinelibrary.wiley.com/doi/abs/10.1002/advs.202101222","volume":"8","author":[{"family":"Altay","given":"Ozlem"},{"family":"Arif","given":"Muhammad"},{"family":"Li","given":"Xiangyu"},{"family":"Yang","given":"Hong"},{"family":"Aydın","given":"Mehtap"},{"family":"Alkurt","given":"Gizem"},{"family":"Kim","given":"Woonghee"},{"family":"Akyol","given":"Dogukan"},{"family":"Zhang","given":"Cheng"},{"family":"Dinler-Doganay","given":"Gizem"},{"family":"Turkez","given":"Hasan"},{"family":"Shoaie","given":"Saeed"},{"family":"Nielsen","given":"Jens"},{"family":"Borén","given":"Jan"},{"family":"Olmuscelik","given":"Oktay"},{"family":"Doganay","given":"Levent"},{"family":"Uhlén","given":"Mathias"},{"family":"Mardinoglu","given":"Adil"}],"accessed":{"date-parts":[["2023",6,23]]},"issued":{"date-parts":[["2021"]]}}}],"schema":"https://github.com/citation-style-language/schema/raw/master/csl-citation.json"} </w:instrText>
            </w:r>
            <w:r>
              <w:rPr>
                <w:rFonts w:ascii="Times New Roman" w:eastAsia="Times New Roman" w:hAnsi="Times New Roman" w:cs="Times New Roman"/>
                <w:color w:val="000000"/>
                <w:kern w:val="0"/>
                <w:sz w:val="14"/>
                <w:szCs w:val="14"/>
                <w:lang w:eastAsia="en-NL"/>
                <w14:ligatures w14:val="none"/>
              </w:rPr>
              <w:fldChar w:fldCharType="separate"/>
            </w:r>
            <w:r w:rsidRPr="008224C5">
              <w:rPr>
                <w:rFonts w:ascii="Times New Roman" w:hAnsi="Times New Roman" w:cs="Times New Roman"/>
                <w:sz w:val="14"/>
              </w:rPr>
              <w:t>[16]</w:t>
            </w:r>
            <w:r>
              <w:rPr>
                <w:rFonts w:ascii="Times New Roman" w:eastAsia="Times New Roman" w:hAnsi="Times New Roman" w:cs="Times New Roman"/>
                <w:color w:val="000000"/>
                <w:kern w:val="0"/>
                <w:sz w:val="14"/>
                <w:szCs w:val="14"/>
                <w:lang w:eastAsia="en-NL"/>
                <w14:ligatures w14:val="none"/>
              </w:rPr>
              <w:fldChar w:fldCharType="end"/>
            </w:r>
            <w:r>
              <w:rPr>
                <w:rFonts w:ascii="Times New Roman" w:eastAsia="Times New Roman" w:hAnsi="Times New Roman" w:cs="Times New Roman"/>
                <w:color w:val="000000"/>
                <w:kern w:val="0"/>
                <w:sz w:val="14"/>
                <w:szCs w:val="14"/>
                <w:lang w:val="en-US" w:eastAsia="en-NL"/>
                <w14:ligatures w14:val="none"/>
              </w:rPr>
              <w:t>.</w:t>
            </w:r>
          </w:p>
          <w:p w14:paraId="05A29325" w14:textId="036A3969" w:rsidR="00A92A05" w:rsidRPr="008224C5" w:rsidRDefault="00A92A05" w:rsidP="00DD5124">
            <w:pPr>
              <w:rPr>
                <w:rFonts w:ascii="Times New Roman" w:eastAsia="Times New Roman" w:hAnsi="Times New Roman" w:cs="Times New Roman"/>
                <w:color w:val="000000"/>
                <w:kern w:val="0"/>
                <w:sz w:val="14"/>
                <w:szCs w:val="14"/>
                <w:lang w:val="en-US" w:eastAsia="en-NL"/>
                <w14:ligatures w14:val="none"/>
              </w:rPr>
            </w:pPr>
            <w:r>
              <w:rPr>
                <w:rFonts w:ascii="Times New Roman" w:eastAsia="Times New Roman" w:hAnsi="Times New Roman" w:cs="Times New Roman"/>
                <w:color w:val="000000"/>
                <w:kern w:val="0"/>
                <w:sz w:val="14"/>
                <w:szCs w:val="14"/>
                <w:lang w:val="en-US" w:eastAsia="en-NL"/>
                <w14:ligatures w14:val="none"/>
              </w:rPr>
              <w:t>Those with higher carnitine levels due to genetics had significantly lower susceptibility to Covid-19</w:t>
            </w:r>
            <w:r>
              <w:rPr>
                <w:rFonts w:ascii="Times New Roman" w:eastAsia="Times New Roman" w:hAnsi="Times New Roman" w:cs="Times New Roman"/>
                <w:color w:val="000000"/>
                <w:kern w:val="0"/>
                <w:sz w:val="14"/>
                <w:szCs w:val="14"/>
                <w:lang w:val="en-US" w:eastAsia="en-NL"/>
                <w14:ligatures w14:val="none"/>
              </w:rPr>
              <w:fldChar w:fldCharType="begin"/>
            </w:r>
            <w:r>
              <w:rPr>
                <w:rFonts w:ascii="Times New Roman" w:eastAsia="Times New Roman" w:hAnsi="Times New Roman" w:cs="Times New Roman"/>
                <w:color w:val="000000"/>
                <w:kern w:val="0"/>
                <w:sz w:val="14"/>
                <w:szCs w:val="14"/>
                <w:lang w:val="en-US" w:eastAsia="en-NL"/>
                <w14:ligatures w14:val="none"/>
              </w:rPr>
              <w:instrText xml:space="preserve"> ADDIN ZOTERO_ITEM CSL_CITATION {"citationID":"8SHS6AHR","properties":{"formattedCitation":"[17]","plainCitation":"[17]","noteIndex":0},"citationItems":[{"id":11595,"uris":["http://zotero.org/users/7565624/items/ZVASR4TX"],"itemData":{"id":11595,"type":"article-journal","abstract":"Background: Carnitine, a potential substitute or supplementation for dexamethasone, might protect against COVID-19 based on its molecular functions. However, the correlation between carnitine and COVID-19 has not been explored yet, and whether there exists causation is unknown.Methods: A two-sample Mendelian randomization (MR) analysis was conducted to explore the causal relationship between carnitine level and COVID-19. Significant single nucleotide polymorphisms from genome-wide association study on carnitine (N = 7,824) were utilized as exposure instruments, and summary statistics of the susceptibility (N = 1,467,264), severity (N = 714,592) and hospitalization (N = 1,887,658) of COVID-19 were utilized as the outcome. The causal relationship was evaluated by multiplicative random effects inverse variance weighted (IVW) method, and further verified by another three MR methods including MR Egger, weighted median, and weighted mode, as well as extensive sensitivity analyses.Results: Genetically determined one standard deviation increase in carnitine amount was associated with lower susceptibility (OR: 0.38, 95% CI: 0.19–0.74, P: 4.77E−03) of COVID-19. Carnitine amount was also associated with lower severity and hospitalization of COVID-19 using another three MR methods, though the association was not significant using the IVW method but showed the same direction of effect. The results were robust under all sensitivity analyses.Conclusions: A genetic predisposition to high carnitine levels might reduce the susceptibility and severity of COVID-19. These results provide better understandings on the role of carnitine in the COVID-19 pathogenesis, and facilitate novel therapeutic targets for COVID-19 in future clinical trials.","container-title":"Frontiers in Nutrition","ISSN":"2296-861X","source":"Frontiers","title":"Carnitine and COVID-19 Susceptibility and Severity: A Mendelian Randomization Study","title-short":"Carnitine and COVID-19 Susceptibility and Severity","URL":"https://www.frontiersin.org/articles/10.3389/fnut.2021.780205","volume":"8","author":[{"family":"Li","given":"Chunyu"},{"family":"Ou","given":"Ruwei"},{"family":"Wei","given":"Qianqian"},{"family":"Shang","given":"Huifang"}],"accessed":{"date-parts":[["2023",6,23]]},"issued":{"date-parts":[["2021"]]}}}],"schema":"https://github.com/citation-style-language/schema/raw/master/csl-citation.json"} </w:instrText>
            </w:r>
            <w:r>
              <w:rPr>
                <w:rFonts w:ascii="Times New Roman" w:eastAsia="Times New Roman" w:hAnsi="Times New Roman" w:cs="Times New Roman"/>
                <w:color w:val="000000"/>
                <w:kern w:val="0"/>
                <w:sz w:val="14"/>
                <w:szCs w:val="14"/>
                <w:lang w:val="en-US" w:eastAsia="en-NL"/>
                <w14:ligatures w14:val="none"/>
              </w:rPr>
              <w:fldChar w:fldCharType="separate"/>
            </w:r>
            <w:r w:rsidRPr="008224C5">
              <w:rPr>
                <w:rFonts w:ascii="Times New Roman" w:hAnsi="Times New Roman" w:cs="Times New Roman"/>
                <w:sz w:val="14"/>
              </w:rPr>
              <w:t>[17]</w:t>
            </w:r>
            <w:r>
              <w:rPr>
                <w:rFonts w:ascii="Times New Roman" w:eastAsia="Times New Roman" w:hAnsi="Times New Roman" w:cs="Times New Roman"/>
                <w:color w:val="000000"/>
                <w:kern w:val="0"/>
                <w:sz w:val="14"/>
                <w:szCs w:val="14"/>
                <w:lang w:val="en-US" w:eastAsia="en-NL"/>
                <w14:ligatures w14:val="none"/>
              </w:rPr>
              <w:fldChar w:fldCharType="end"/>
            </w:r>
            <w:r>
              <w:rPr>
                <w:rFonts w:ascii="Times New Roman" w:eastAsia="Times New Roman" w:hAnsi="Times New Roman" w:cs="Times New Roman"/>
                <w:color w:val="000000"/>
                <w:kern w:val="0"/>
                <w:sz w:val="14"/>
                <w:szCs w:val="14"/>
                <w:lang w:val="en-US" w:eastAsia="en-NL"/>
                <w14:ligatures w14:val="none"/>
              </w:rPr>
              <w:t>.</w:t>
            </w:r>
          </w:p>
        </w:tc>
      </w:tr>
      <w:tr w:rsidR="00A92A05" w:rsidRPr="00903922" w14:paraId="20B2A9C4" w14:textId="680D5611" w:rsidTr="00B46704">
        <w:trPr>
          <w:trHeight w:val="300"/>
        </w:trPr>
        <w:tc>
          <w:tcPr>
            <w:tcW w:w="993" w:type="dxa"/>
            <w:noWrap/>
            <w:hideMark/>
          </w:tcPr>
          <w:p w14:paraId="0A074C1B"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Nebivolol</w:t>
            </w:r>
          </w:p>
        </w:tc>
        <w:tc>
          <w:tcPr>
            <w:tcW w:w="1126" w:type="dxa"/>
            <w:hideMark/>
          </w:tcPr>
          <w:p w14:paraId="54FF6EC4"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NCT04631536</w:t>
            </w:r>
          </w:p>
        </w:tc>
        <w:tc>
          <w:tcPr>
            <w:tcW w:w="2168" w:type="dxa"/>
            <w:noWrap/>
            <w:hideMark/>
          </w:tcPr>
          <w:p w14:paraId="66492F91" w14:textId="40C830CF" w:rsidR="00A92A05" w:rsidRPr="002A56A8" w:rsidRDefault="002A56A8" w:rsidP="00DD5124">
            <w:pPr>
              <w:rPr>
                <w:rFonts w:ascii="Times New Roman" w:eastAsia="Times New Roman" w:hAnsi="Times New Roman" w:cs="Times New Roman"/>
                <w:color w:val="000000"/>
                <w:kern w:val="0"/>
                <w:sz w:val="14"/>
                <w:szCs w:val="14"/>
                <w:lang w:val="en-US" w:eastAsia="en-NL"/>
                <w14:ligatures w14:val="none"/>
              </w:rPr>
            </w:pPr>
            <w:r>
              <w:rPr>
                <w:rFonts w:ascii="Times New Roman" w:eastAsia="Times New Roman" w:hAnsi="Times New Roman" w:cs="Times New Roman"/>
                <w:color w:val="000000"/>
                <w:kern w:val="0"/>
                <w:sz w:val="14"/>
                <w:szCs w:val="14"/>
                <w:lang w:val="en-US" w:eastAsia="en-NL"/>
                <w14:ligatures w14:val="none"/>
              </w:rPr>
              <w:t>ACTIVE_NOT_RECRUITING</w:t>
            </w:r>
          </w:p>
        </w:tc>
        <w:tc>
          <w:tcPr>
            <w:tcW w:w="4125" w:type="dxa"/>
          </w:tcPr>
          <w:p w14:paraId="62ABB9AB" w14:textId="5444B283" w:rsidR="00A92A05" w:rsidRPr="00B401AF" w:rsidRDefault="00A92A05" w:rsidP="00DD5124">
            <w:pPr>
              <w:rPr>
                <w:rFonts w:ascii="Times New Roman" w:eastAsia="Times New Roman" w:hAnsi="Times New Roman" w:cs="Times New Roman"/>
                <w:color w:val="000000"/>
                <w:kern w:val="0"/>
                <w:sz w:val="14"/>
                <w:szCs w:val="14"/>
                <w:lang w:val="en-US" w:eastAsia="en-NL"/>
                <w14:ligatures w14:val="none"/>
              </w:rPr>
            </w:pPr>
            <w:r>
              <w:rPr>
                <w:rFonts w:ascii="Times New Roman" w:eastAsia="Times New Roman" w:hAnsi="Times New Roman" w:cs="Times New Roman"/>
                <w:color w:val="000000"/>
                <w:kern w:val="0"/>
                <w:sz w:val="14"/>
                <w:szCs w:val="14"/>
                <w:lang w:val="en-US" w:eastAsia="en-NL"/>
                <w14:ligatures w14:val="none"/>
              </w:rPr>
              <w:t xml:space="preserve">Improves </w:t>
            </w:r>
            <w:proofErr w:type="spellStart"/>
            <w:r>
              <w:rPr>
                <w:rFonts w:ascii="Times New Roman" w:eastAsia="Times New Roman" w:hAnsi="Times New Roman" w:cs="Times New Roman"/>
                <w:color w:val="000000"/>
                <w:kern w:val="0"/>
                <w:sz w:val="14"/>
                <w:szCs w:val="14"/>
                <w:lang w:val="en-US" w:eastAsia="en-NL"/>
                <w14:ligatures w14:val="none"/>
              </w:rPr>
              <w:t>dyspnoea</w:t>
            </w:r>
            <w:proofErr w:type="spellEnd"/>
            <w:r>
              <w:rPr>
                <w:rFonts w:ascii="Times New Roman" w:eastAsia="Times New Roman" w:hAnsi="Times New Roman" w:cs="Times New Roman"/>
                <w:color w:val="000000"/>
                <w:kern w:val="0"/>
                <w:sz w:val="14"/>
                <w:szCs w:val="14"/>
                <w:lang w:val="en-US" w:eastAsia="en-NL"/>
                <w14:ligatures w14:val="none"/>
              </w:rPr>
              <w:t xml:space="preserve"> score and capillary blood volume in long covid </w:t>
            </w:r>
            <w:r>
              <w:rPr>
                <w:rFonts w:ascii="Times New Roman" w:eastAsia="Times New Roman" w:hAnsi="Times New Roman" w:cs="Times New Roman"/>
                <w:color w:val="000000"/>
                <w:kern w:val="0"/>
                <w:sz w:val="14"/>
                <w:szCs w:val="14"/>
                <w:lang w:val="en-US" w:eastAsia="en-NL"/>
                <w14:ligatures w14:val="none"/>
              </w:rPr>
              <w:fldChar w:fldCharType="begin"/>
            </w:r>
            <w:r>
              <w:rPr>
                <w:rFonts w:ascii="Times New Roman" w:eastAsia="Times New Roman" w:hAnsi="Times New Roman" w:cs="Times New Roman"/>
                <w:color w:val="000000"/>
                <w:kern w:val="0"/>
                <w:sz w:val="14"/>
                <w:szCs w:val="14"/>
                <w:lang w:val="en-US" w:eastAsia="en-NL"/>
                <w14:ligatures w14:val="none"/>
              </w:rPr>
              <w:instrText xml:space="preserve"> ADDIN ZOTERO_ITEM CSL_CITATION {"citationID":"2Ze6k7Nv","properties":{"formattedCitation":"[18]","plainCitation":"[18]","noteIndex":0},"citationItems":[{"id":11597,"uris":["http://zotero.org/users/7565624/items/PWLN6ZGH"],"itemData":{"id":11597,"type":"article-journal","abstract":"Background: Pulmonary microvascular occlusions can aggravate SARS-CoV-2 pneumonia and result in a variable decrease in capillary blood volume (Vc). Dyspnoea may persist for several weeks after hospital discharge in many patients who have \"radiologically recovered\" from COVID-19 pneumonia. Dyspnoea is frequently \"unexplained\" in these cases because abnormalities in lung vasculature are understudied. Furthermore, even when they are identified, therapeutic options are still lacking in clinical practice, with nitric oxide (NO) supplementation being used only for severe respiratory failure in the hospital setting. Nebivolol is the only selective β1 adrenoceptor antagonist capable of inducing nitric oxide-mediated vasodilation by stimulating endothelial NO synthase via β3 agonism. The purpose of this study was to compare the effect of nebivolol versus placebo in patients who had low Vc and complained of dyspnoea for several weeks after COVID-19 pneumonia. Methods: Patients of both genders, aged ≥18 years, non-smokers, who had a CT scan that revealed no COVID-related parenchymal lesions but still complained of dyspnoea 12-16 weeks after hospital discharge, were recruited. Spirometrical volumes, blood haemoglobin, SpO2, simultaneous diffusing capacity for carbon monoxide (CO) and NO (DLCO and DLNO, respectively), DLNO/DLCO ratio, Vc and exhaled NO (eNO) were measured together with their dyspnoea score (DS), heart frequency (HF), and blood arterial pressure (BAP). Data were collected before and one week after both phosphorus (P) and nitrogen (N) (2.5 mg od) double-blind cross-over administered at a two-week interval. Data were statistically compared, and p&amp;lt;0.05 assumed as statistically significant.Results: Eight patients (3 males) were investigated. In baseline, their mean DS was 2.5±0.6 sd, despite the normality of lung volumes. DLCO and DLNO mean values were lower than predicted, while mean DLNO/DLCO ratio was higher. Mean Vc proved substantially reduced. Placebo did not modify any variable (all p=ns) while N improved DLCO and Vc significantly (+8.5%, p&amp;lt;0.04 and +17.7%, p&amp;lt;0.003, respectively). Also eNO was significantly increased (+17.6%, p&amp;lt;0.002). Only N lowered the dyspnoea score (-76%, p&amp;lt;0.001). Systolic and diastolic BAP were slightly lowered (-7.5%, p&amp;lt; 0.02 and -5.1% p&amp;lt; 0.04, respectively), together with HF (-16.8%, p&amp;lt;0.03).Conclusions: The simultaneous assessment of DLNO, DLCO, DLNO/DLCO ratio, and Vc confirmed that long-lasting dyspnoea is related to hidden abnormalities in the lung capillary vasculature. These abnormalities can persist even after the complete resolution of parenchymal lesions regardless of the normality of lung volumes. Nebivolol, but not placebo, improves DS and Vc significantly. The mechanism suggested is the NO-mediated vasodilation via the β3 adrenoceptor stimulation of endothelial NO synthase. This hypothesis is supported by the substantial increase of eNO only assessed after nebivolol. As the nebivolol tolerability in these post-COVID normotensive patients was very good, the therapeutic use of nebivolol against residual and symptomatic signs of long-COVID can be suggested in out-patients.","container-title":"Multidisciplinary Respiratory Medicine","DOI":"10.4081/mrm.2022.886","ISSN":"2049-6958","language":"en","license":"Copyright (c) 2022 The Author(s)","source":"www.mrmjournal.org","title":"Nebivolol: an effective option against long-lasting dyspnoea following COVID-19 pneumonia - a pivotal double-blind, cross-over controlled study","title-short":"Nebivolol","URL":"https://www.mrmjournal.org/mrm/article/view/886","volume":"17","author":[{"family":"Negro","given":"Roberto W. Dal"},{"family":"Turco","given":"Paola"},{"family":"Povero","given":"Massimiliano"}],"accessed":{"date-parts":[["2023",6,23]]},"issued":{"date-parts":[["2022",12,23]]}}}],"schema":"https://github.com/citation-style-language/schema/raw/master/csl-citation.json"} </w:instrText>
            </w:r>
            <w:r>
              <w:rPr>
                <w:rFonts w:ascii="Times New Roman" w:eastAsia="Times New Roman" w:hAnsi="Times New Roman" w:cs="Times New Roman"/>
                <w:color w:val="000000"/>
                <w:kern w:val="0"/>
                <w:sz w:val="14"/>
                <w:szCs w:val="14"/>
                <w:lang w:val="en-US" w:eastAsia="en-NL"/>
                <w14:ligatures w14:val="none"/>
              </w:rPr>
              <w:fldChar w:fldCharType="separate"/>
            </w:r>
            <w:r w:rsidRPr="00B401AF">
              <w:rPr>
                <w:rFonts w:ascii="Times New Roman" w:hAnsi="Times New Roman" w:cs="Times New Roman"/>
                <w:sz w:val="14"/>
              </w:rPr>
              <w:t>[18]</w:t>
            </w:r>
            <w:r>
              <w:rPr>
                <w:rFonts w:ascii="Times New Roman" w:eastAsia="Times New Roman" w:hAnsi="Times New Roman" w:cs="Times New Roman"/>
                <w:color w:val="000000"/>
                <w:kern w:val="0"/>
                <w:sz w:val="14"/>
                <w:szCs w:val="14"/>
                <w:lang w:val="en-US" w:eastAsia="en-NL"/>
                <w14:ligatures w14:val="none"/>
              </w:rPr>
              <w:fldChar w:fldCharType="end"/>
            </w:r>
          </w:p>
        </w:tc>
      </w:tr>
      <w:tr w:rsidR="00A92A05" w:rsidRPr="00903922" w14:paraId="0CEE7600" w14:textId="741D1A6D" w:rsidTr="00B46704">
        <w:trPr>
          <w:trHeight w:val="345"/>
        </w:trPr>
        <w:tc>
          <w:tcPr>
            <w:tcW w:w="993" w:type="dxa"/>
            <w:noWrap/>
            <w:hideMark/>
          </w:tcPr>
          <w:p w14:paraId="012780C0"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6382F03C" w14:textId="77777777" w:rsidR="00A92A05" w:rsidRPr="00DD5124" w:rsidRDefault="00A92A05" w:rsidP="00DD5124">
            <w:pPr>
              <w:rPr>
                <w:rFonts w:ascii="Times New Roman" w:eastAsia="Times New Roman" w:hAnsi="Times New Roman" w:cs="Times New Roman"/>
                <w:color w:val="495057"/>
                <w:kern w:val="0"/>
                <w:sz w:val="14"/>
                <w:szCs w:val="14"/>
                <w:lang w:eastAsia="en-NL"/>
                <w14:ligatures w14:val="none"/>
              </w:rPr>
            </w:pPr>
            <w:r w:rsidRPr="00DD5124">
              <w:rPr>
                <w:rFonts w:ascii="Times New Roman" w:eastAsia="Times New Roman" w:hAnsi="Times New Roman" w:cs="Times New Roman"/>
                <w:color w:val="495057"/>
                <w:kern w:val="0"/>
                <w:sz w:val="14"/>
                <w:szCs w:val="14"/>
                <w:lang w:eastAsia="en-NL"/>
                <w14:ligatures w14:val="none"/>
              </w:rPr>
              <w:t>NCT04467931</w:t>
            </w:r>
          </w:p>
        </w:tc>
        <w:tc>
          <w:tcPr>
            <w:tcW w:w="2168" w:type="dxa"/>
            <w:noWrap/>
            <w:hideMark/>
          </w:tcPr>
          <w:p w14:paraId="31470743" w14:textId="1CFFB010" w:rsidR="00A92A05" w:rsidRPr="002A56A8" w:rsidRDefault="002A56A8" w:rsidP="00DD5124">
            <w:pPr>
              <w:rPr>
                <w:rFonts w:ascii="Times New Roman" w:eastAsia="Times New Roman" w:hAnsi="Times New Roman" w:cs="Times New Roman"/>
                <w:color w:val="000000"/>
                <w:kern w:val="0"/>
                <w:sz w:val="14"/>
                <w:szCs w:val="14"/>
                <w:lang w:val="en-US" w:eastAsia="en-NL"/>
                <w14:ligatures w14:val="none"/>
              </w:rPr>
            </w:pPr>
            <w:r>
              <w:rPr>
                <w:rFonts w:ascii="Times New Roman" w:eastAsia="Times New Roman" w:hAnsi="Times New Roman" w:cs="Times New Roman"/>
                <w:color w:val="000000"/>
                <w:kern w:val="0"/>
                <w:sz w:val="14"/>
                <w:szCs w:val="14"/>
                <w:lang w:val="en-US" w:eastAsia="en-NL"/>
                <w14:ligatures w14:val="none"/>
              </w:rPr>
              <w:t>COMPLETED</w:t>
            </w:r>
          </w:p>
        </w:tc>
        <w:tc>
          <w:tcPr>
            <w:tcW w:w="4125" w:type="dxa"/>
          </w:tcPr>
          <w:p w14:paraId="1B8BB36C"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45A523D5" w14:textId="4B287D58" w:rsidTr="00B46704">
        <w:trPr>
          <w:trHeight w:val="345"/>
        </w:trPr>
        <w:tc>
          <w:tcPr>
            <w:tcW w:w="993" w:type="dxa"/>
            <w:noWrap/>
            <w:hideMark/>
          </w:tcPr>
          <w:p w14:paraId="33319D9D"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EGCG</w:t>
            </w:r>
          </w:p>
        </w:tc>
        <w:tc>
          <w:tcPr>
            <w:tcW w:w="1126" w:type="dxa"/>
            <w:noWrap/>
            <w:hideMark/>
          </w:tcPr>
          <w:p w14:paraId="1178720B" w14:textId="77777777" w:rsidR="00A92A05" w:rsidRPr="00DD5124" w:rsidRDefault="00A92A05" w:rsidP="00DD5124">
            <w:pPr>
              <w:rPr>
                <w:rFonts w:ascii="Times New Roman" w:eastAsia="Times New Roman" w:hAnsi="Times New Roman" w:cs="Times New Roman"/>
                <w:color w:val="495057"/>
                <w:kern w:val="0"/>
                <w:sz w:val="14"/>
                <w:szCs w:val="14"/>
                <w:lang w:eastAsia="en-NL"/>
                <w14:ligatures w14:val="none"/>
              </w:rPr>
            </w:pPr>
            <w:r w:rsidRPr="00DD5124">
              <w:rPr>
                <w:rFonts w:ascii="Times New Roman" w:eastAsia="Times New Roman" w:hAnsi="Times New Roman" w:cs="Times New Roman"/>
                <w:color w:val="495057"/>
                <w:kern w:val="0"/>
                <w:sz w:val="14"/>
                <w:szCs w:val="14"/>
                <w:lang w:eastAsia="en-NL"/>
                <w14:ligatures w14:val="none"/>
              </w:rPr>
              <w:t>NCT04446065</w:t>
            </w:r>
          </w:p>
        </w:tc>
        <w:tc>
          <w:tcPr>
            <w:tcW w:w="2168" w:type="dxa"/>
            <w:noWrap/>
            <w:hideMark/>
          </w:tcPr>
          <w:p w14:paraId="54BBD9F3" w14:textId="5383FAEF" w:rsidR="00A92A05" w:rsidRPr="002A56A8" w:rsidRDefault="002A56A8" w:rsidP="00DD5124">
            <w:pPr>
              <w:rPr>
                <w:rFonts w:ascii="Times New Roman" w:eastAsia="Times New Roman" w:hAnsi="Times New Roman" w:cs="Times New Roman"/>
                <w:color w:val="000000"/>
                <w:kern w:val="0"/>
                <w:sz w:val="14"/>
                <w:szCs w:val="14"/>
                <w:lang w:val="en-US" w:eastAsia="en-NL"/>
                <w14:ligatures w14:val="none"/>
              </w:rPr>
            </w:pPr>
            <w:r>
              <w:rPr>
                <w:rFonts w:ascii="Times New Roman" w:eastAsia="Times New Roman" w:hAnsi="Times New Roman" w:cs="Times New Roman"/>
                <w:color w:val="000000"/>
                <w:kern w:val="0"/>
                <w:sz w:val="14"/>
                <w:szCs w:val="14"/>
                <w:lang w:val="en-US" w:eastAsia="en-NL"/>
                <w14:ligatures w14:val="none"/>
              </w:rPr>
              <w:t>UNKNOWN</w:t>
            </w:r>
          </w:p>
        </w:tc>
        <w:tc>
          <w:tcPr>
            <w:tcW w:w="4125" w:type="dxa"/>
          </w:tcPr>
          <w:p w14:paraId="6B5D63E5"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1FD12FF5" w14:textId="34FFB93D" w:rsidTr="00B46704">
        <w:trPr>
          <w:trHeight w:val="300"/>
        </w:trPr>
        <w:tc>
          <w:tcPr>
            <w:tcW w:w="993" w:type="dxa"/>
            <w:noWrap/>
            <w:hideMark/>
          </w:tcPr>
          <w:p w14:paraId="6B5C7313"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Quercetin</w:t>
            </w:r>
          </w:p>
        </w:tc>
        <w:tc>
          <w:tcPr>
            <w:tcW w:w="1126" w:type="dxa"/>
            <w:noWrap/>
            <w:hideMark/>
          </w:tcPr>
          <w:p w14:paraId="54B791CB"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NCT04468139</w:t>
            </w:r>
          </w:p>
        </w:tc>
        <w:tc>
          <w:tcPr>
            <w:tcW w:w="2168" w:type="dxa"/>
            <w:noWrap/>
            <w:hideMark/>
          </w:tcPr>
          <w:p w14:paraId="2160F62F"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UNKNOWN</w:t>
            </w:r>
          </w:p>
        </w:tc>
        <w:tc>
          <w:tcPr>
            <w:tcW w:w="4125" w:type="dxa"/>
          </w:tcPr>
          <w:p w14:paraId="51723206" w14:textId="78C47F54" w:rsidR="00A92A05" w:rsidRPr="00B401AF" w:rsidRDefault="00A92A05" w:rsidP="00DD5124">
            <w:pPr>
              <w:rPr>
                <w:rFonts w:ascii="Times New Roman" w:eastAsia="Times New Roman" w:hAnsi="Times New Roman" w:cs="Times New Roman"/>
                <w:color w:val="000000"/>
                <w:kern w:val="0"/>
                <w:sz w:val="14"/>
                <w:szCs w:val="14"/>
                <w:lang w:val="en-US" w:eastAsia="en-NL"/>
                <w14:ligatures w14:val="none"/>
              </w:rPr>
            </w:pPr>
            <w:r>
              <w:rPr>
                <w:rFonts w:ascii="Times New Roman" w:eastAsia="Times New Roman" w:hAnsi="Times New Roman" w:cs="Times New Roman"/>
                <w:color w:val="000000"/>
                <w:kern w:val="0"/>
                <w:sz w:val="14"/>
                <w:szCs w:val="14"/>
                <w:lang w:val="en-US" w:eastAsia="en-NL"/>
                <w14:ligatures w14:val="none"/>
              </w:rPr>
              <w:t>Decreased risk of intensive care unit admission and hospitalization</w:t>
            </w:r>
            <w:r>
              <w:rPr>
                <w:rFonts w:ascii="Times New Roman" w:eastAsia="Times New Roman" w:hAnsi="Times New Roman" w:cs="Times New Roman"/>
                <w:color w:val="000000"/>
                <w:kern w:val="0"/>
                <w:sz w:val="14"/>
                <w:szCs w:val="14"/>
                <w:lang w:val="en-US" w:eastAsia="en-NL"/>
                <w14:ligatures w14:val="none"/>
              </w:rPr>
              <w:fldChar w:fldCharType="begin"/>
            </w:r>
            <w:r>
              <w:rPr>
                <w:rFonts w:ascii="Times New Roman" w:eastAsia="Times New Roman" w:hAnsi="Times New Roman" w:cs="Times New Roman"/>
                <w:color w:val="000000"/>
                <w:kern w:val="0"/>
                <w:sz w:val="14"/>
                <w:szCs w:val="14"/>
                <w:lang w:val="en-US" w:eastAsia="en-NL"/>
                <w14:ligatures w14:val="none"/>
              </w:rPr>
              <w:instrText xml:space="preserve"> ADDIN ZOTERO_ITEM CSL_CITATION {"citationID":"nw8SLNAr","properties":{"formattedCitation":"[19]","plainCitation":"[19]","noteIndex":0},"citationItems":[{"id":11599,"uris":["http://zotero.org/users/7565624/items/PBKB5LIL"],"itemData":{"id":11599,"type":"article-journal","abstract":"Currently approved therapies for COVID-19 are mostly limited by their low availability, high costs or the requirement of parenteral administration by trained medical personnel in an in-hospital setting. Quercetin is a cheap and easily accessible therapeutic option for COVID-19 patients. However, it has not been evaluated in a systematic review until now. We aimed to conduct a meta-analysis to assess the effect of quercetin on clinical outcomes in COVID-19 patients. Various databases including PubMed, the Cochrane Library and Embase were searched from inception until 5 October 2022 and results from six randomized controlled trials (RCTs) were pooled using a random-effects model. All analyses were conducted using RevMan 5.4 with odds ratio (OR) as the effect measure. Quercetin decreased the risk of intensive care unit admission (OR = 0.31; 95% confidence interval (CI) 0.10–0.99) and the incidence of hospitalisation (OR = 0.25; 95% CI 0.10–0.62) but did not decrease the risk of all-cause mortality and the rate of no recovery. Quercetin may be of benefit in COVID-19 patients, especially if administered in its phytosome formulation which greatly enhances its bioavailability but large-scale RCTs are needed to confirm these findings.","container-title":"Reviews in Medical Virology","DOI":"10.1002/rmv.2427","ISSN":"1099-1654","issue":"2","language":"en","license":"© 2023 John Wiley &amp; Sons Ltd.","note":"_eprint: https://onlinelibrary.wiley.com/doi/pdf/10.1002/rmv.2427","page":"e2427","source":"Wiley Online Library","title":"Quercetin for the treatment of COVID-19 patients: A systematic review and meta-analysis","title-short":"Quercetin for the treatment of COVID-19 patients","URL":"https://onlinelibrary.wiley.com/doi/abs/10.1002/rmv.2427","volume":"33","author":[{"family":"Cheema","given":"Huzaifa Ahmad"},{"family":"Sohail","given":"Aruba"},{"family":"Fatima","given":"Areej"},{"family":"Shahid","given":"Abia"},{"family":"Shahzil","given":"Muhammad"},{"family":"Ur Rehman","given":"Mohammad Ebad"},{"family":"Awan","given":"Rehmat Ullah"},{"family":"Chinnam","given":"Sampath"},{"family":"Nashwan","given":"Abdulqadir J."}],"accessed":{"date-parts":[["2023",6,23]]},"issued":{"date-parts":[["2023"]]}}}],"schema":"https://github.com/citation-style-language/schema/raw/master/csl-citation.json"} </w:instrText>
            </w:r>
            <w:r>
              <w:rPr>
                <w:rFonts w:ascii="Times New Roman" w:eastAsia="Times New Roman" w:hAnsi="Times New Roman" w:cs="Times New Roman"/>
                <w:color w:val="000000"/>
                <w:kern w:val="0"/>
                <w:sz w:val="14"/>
                <w:szCs w:val="14"/>
                <w:lang w:val="en-US" w:eastAsia="en-NL"/>
                <w14:ligatures w14:val="none"/>
              </w:rPr>
              <w:fldChar w:fldCharType="separate"/>
            </w:r>
            <w:r w:rsidRPr="00B401AF">
              <w:rPr>
                <w:rFonts w:ascii="Times New Roman" w:hAnsi="Times New Roman" w:cs="Times New Roman"/>
                <w:sz w:val="14"/>
              </w:rPr>
              <w:t>[19]</w:t>
            </w:r>
            <w:r>
              <w:rPr>
                <w:rFonts w:ascii="Times New Roman" w:eastAsia="Times New Roman" w:hAnsi="Times New Roman" w:cs="Times New Roman"/>
                <w:color w:val="000000"/>
                <w:kern w:val="0"/>
                <w:sz w:val="14"/>
                <w:szCs w:val="14"/>
                <w:lang w:val="en-US" w:eastAsia="en-NL"/>
                <w14:ligatures w14:val="none"/>
              </w:rPr>
              <w:fldChar w:fldCharType="end"/>
            </w:r>
          </w:p>
        </w:tc>
      </w:tr>
      <w:tr w:rsidR="00A92A05" w:rsidRPr="00903922" w14:paraId="01633D63" w14:textId="036027F8" w:rsidTr="00B46704">
        <w:trPr>
          <w:trHeight w:val="300"/>
        </w:trPr>
        <w:tc>
          <w:tcPr>
            <w:tcW w:w="993" w:type="dxa"/>
            <w:noWrap/>
            <w:hideMark/>
          </w:tcPr>
          <w:p w14:paraId="37299D66"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52883243"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NCT05130671</w:t>
            </w:r>
          </w:p>
        </w:tc>
        <w:tc>
          <w:tcPr>
            <w:tcW w:w="2168" w:type="dxa"/>
            <w:noWrap/>
            <w:hideMark/>
          </w:tcPr>
          <w:p w14:paraId="4DFD16DF"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COMPLETED</w:t>
            </w:r>
          </w:p>
        </w:tc>
        <w:tc>
          <w:tcPr>
            <w:tcW w:w="4125" w:type="dxa"/>
          </w:tcPr>
          <w:p w14:paraId="1AEA01E7"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085DFAF4" w14:textId="763F9467" w:rsidTr="00B46704">
        <w:trPr>
          <w:trHeight w:val="300"/>
        </w:trPr>
        <w:tc>
          <w:tcPr>
            <w:tcW w:w="993" w:type="dxa"/>
            <w:noWrap/>
            <w:hideMark/>
          </w:tcPr>
          <w:p w14:paraId="5736A04F"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65B0CA05"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NCT04578158</w:t>
            </w:r>
          </w:p>
        </w:tc>
        <w:tc>
          <w:tcPr>
            <w:tcW w:w="2168" w:type="dxa"/>
            <w:noWrap/>
            <w:hideMark/>
          </w:tcPr>
          <w:p w14:paraId="4A430685"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COMPLETED</w:t>
            </w:r>
          </w:p>
        </w:tc>
        <w:tc>
          <w:tcPr>
            <w:tcW w:w="4125" w:type="dxa"/>
          </w:tcPr>
          <w:p w14:paraId="002D2C0F"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044A34F9" w14:textId="36E1B365" w:rsidTr="00B46704">
        <w:trPr>
          <w:trHeight w:val="300"/>
        </w:trPr>
        <w:tc>
          <w:tcPr>
            <w:tcW w:w="993" w:type="dxa"/>
            <w:noWrap/>
            <w:hideMark/>
          </w:tcPr>
          <w:p w14:paraId="187125EE"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47C8D348"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NCT04603690</w:t>
            </w:r>
          </w:p>
        </w:tc>
        <w:tc>
          <w:tcPr>
            <w:tcW w:w="2168" w:type="dxa"/>
            <w:noWrap/>
            <w:hideMark/>
          </w:tcPr>
          <w:p w14:paraId="7E5E575B"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COMPLETED</w:t>
            </w:r>
          </w:p>
        </w:tc>
        <w:tc>
          <w:tcPr>
            <w:tcW w:w="4125" w:type="dxa"/>
          </w:tcPr>
          <w:p w14:paraId="0BABFBE4"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7F4216D7" w14:textId="6BFB9892" w:rsidTr="00B46704">
        <w:trPr>
          <w:trHeight w:val="300"/>
        </w:trPr>
        <w:tc>
          <w:tcPr>
            <w:tcW w:w="993" w:type="dxa"/>
            <w:noWrap/>
            <w:hideMark/>
          </w:tcPr>
          <w:p w14:paraId="2DDEF220"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5CFB7BE8"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NCT04536090</w:t>
            </w:r>
          </w:p>
        </w:tc>
        <w:tc>
          <w:tcPr>
            <w:tcW w:w="2168" w:type="dxa"/>
            <w:noWrap/>
            <w:hideMark/>
          </w:tcPr>
          <w:p w14:paraId="36CD5BA8"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NOT_YET_RECRUITING</w:t>
            </w:r>
          </w:p>
        </w:tc>
        <w:tc>
          <w:tcPr>
            <w:tcW w:w="4125" w:type="dxa"/>
          </w:tcPr>
          <w:p w14:paraId="2E191918"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73E63C71" w14:textId="762AF34B" w:rsidTr="00B46704">
        <w:trPr>
          <w:trHeight w:val="300"/>
        </w:trPr>
        <w:tc>
          <w:tcPr>
            <w:tcW w:w="993" w:type="dxa"/>
            <w:noWrap/>
            <w:hideMark/>
          </w:tcPr>
          <w:p w14:paraId="25733C01"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50D1BC9E"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NCT04851821</w:t>
            </w:r>
          </w:p>
        </w:tc>
        <w:tc>
          <w:tcPr>
            <w:tcW w:w="2168" w:type="dxa"/>
            <w:noWrap/>
            <w:hideMark/>
          </w:tcPr>
          <w:p w14:paraId="193DD377"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COMPLETED</w:t>
            </w:r>
          </w:p>
        </w:tc>
        <w:tc>
          <w:tcPr>
            <w:tcW w:w="4125" w:type="dxa"/>
          </w:tcPr>
          <w:p w14:paraId="68C47DC7"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0C621933" w14:textId="2F4B9B95" w:rsidTr="00B46704">
        <w:trPr>
          <w:trHeight w:val="300"/>
        </w:trPr>
        <w:tc>
          <w:tcPr>
            <w:tcW w:w="993" w:type="dxa"/>
            <w:noWrap/>
            <w:hideMark/>
          </w:tcPr>
          <w:p w14:paraId="62A9AE70"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2295F467"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NCT04622865</w:t>
            </w:r>
          </w:p>
        </w:tc>
        <w:tc>
          <w:tcPr>
            <w:tcW w:w="2168" w:type="dxa"/>
            <w:noWrap/>
            <w:hideMark/>
          </w:tcPr>
          <w:p w14:paraId="6DCDD49A"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RECRUITING</w:t>
            </w:r>
          </w:p>
        </w:tc>
        <w:tc>
          <w:tcPr>
            <w:tcW w:w="4125" w:type="dxa"/>
          </w:tcPr>
          <w:p w14:paraId="029C7627"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3BF96717" w14:textId="192500FF" w:rsidTr="00B46704">
        <w:trPr>
          <w:trHeight w:val="300"/>
        </w:trPr>
        <w:tc>
          <w:tcPr>
            <w:tcW w:w="993" w:type="dxa"/>
            <w:noWrap/>
            <w:hideMark/>
          </w:tcPr>
          <w:p w14:paraId="2A6D79BE"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44E43B0D"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NCT04377789</w:t>
            </w:r>
          </w:p>
        </w:tc>
        <w:tc>
          <w:tcPr>
            <w:tcW w:w="2168" w:type="dxa"/>
            <w:noWrap/>
            <w:hideMark/>
          </w:tcPr>
          <w:p w14:paraId="02BA3113"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COMPLETED</w:t>
            </w:r>
          </w:p>
        </w:tc>
        <w:tc>
          <w:tcPr>
            <w:tcW w:w="4125" w:type="dxa"/>
          </w:tcPr>
          <w:p w14:paraId="3BA406E3"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59E73EFF" w14:textId="53A6C407" w:rsidTr="00B46704">
        <w:trPr>
          <w:trHeight w:val="300"/>
        </w:trPr>
        <w:tc>
          <w:tcPr>
            <w:tcW w:w="993" w:type="dxa"/>
            <w:noWrap/>
            <w:hideMark/>
          </w:tcPr>
          <w:p w14:paraId="69F4B83E"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6C4D2007"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NCT04844658</w:t>
            </w:r>
          </w:p>
        </w:tc>
        <w:tc>
          <w:tcPr>
            <w:tcW w:w="2168" w:type="dxa"/>
            <w:noWrap/>
            <w:hideMark/>
          </w:tcPr>
          <w:p w14:paraId="65D28FE5"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COMPLETED</w:t>
            </w:r>
          </w:p>
        </w:tc>
        <w:tc>
          <w:tcPr>
            <w:tcW w:w="4125" w:type="dxa"/>
          </w:tcPr>
          <w:p w14:paraId="3FBB2911"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6C8B3596" w14:textId="1EA4B742" w:rsidTr="00B46704">
        <w:trPr>
          <w:trHeight w:val="300"/>
        </w:trPr>
        <w:tc>
          <w:tcPr>
            <w:tcW w:w="993" w:type="dxa"/>
            <w:noWrap/>
            <w:hideMark/>
          </w:tcPr>
          <w:p w14:paraId="1768B1AD"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2675090C"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NCT05601180</w:t>
            </w:r>
          </w:p>
        </w:tc>
        <w:tc>
          <w:tcPr>
            <w:tcW w:w="2168" w:type="dxa"/>
            <w:noWrap/>
            <w:hideMark/>
          </w:tcPr>
          <w:p w14:paraId="72E8EAF9"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RECRUITING</w:t>
            </w:r>
          </w:p>
        </w:tc>
        <w:tc>
          <w:tcPr>
            <w:tcW w:w="4125" w:type="dxa"/>
          </w:tcPr>
          <w:p w14:paraId="30172B08"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33C11898" w14:textId="2C6DFA60" w:rsidTr="00B46704">
        <w:trPr>
          <w:trHeight w:val="300"/>
        </w:trPr>
        <w:tc>
          <w:tcPr>
            <w:tcW w:w="993" w:type="dxa"/>
            <w:noWrap/>
            <w:hideMark/>
          </w:tcPr>
          <w:p w14:paraId="3393A152"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41A09AEF"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NCT05037240</w:t>
            </w:r>
          </w:p>
        </w:tc>
        <w:tc>
          <w:tcPr>
            <w:tcW w:w="2168" w:type="dxa"/>
            <w:noWrap/>
            <w:hideMark/>
          </w:tcPr>
          <w:p w14:paraId="49649BFD"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COMPLETED</w:t>
            </w:r>
          </w:p>
        </w:tc>
        <w:tc>
          <w:tcPr>
            <w:tcW w:w="4125" w:type="dxa"/>
          </w:tcPr>
          <w:p w14:paraId="122AFC6F"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4C817C3B" w14:textId="649C0BB3" w:rsidTr="00B46704">
        <w:trPr>
          <w:trHeight w:val="300"/>
        </w:trPr>
        <w:tc>
          <w:tcPr>
            <w:tcW w:w="993" w:type="dxa"/>
            <w:noWrap/>
            <w:hideMark/>
          </w:tcPr>
          <w:p w14:paraId="11D95756"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59F84918"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NCT04861298</w:t>
            </w:r>
          </w:p>
        </w:tc>
        <w:tc>
          <w:tcPr>
            <w:tcW w:w="2168" w:type="dxa"/>
            <w:noWrap/>
            <w:hideMark/>
          </w:tcPr>
          <w:p w14:paraId="2519092B"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COMPLETED</w:t>
            </w:r>
          </w:p>
        </w:tc>
        <w:tc>
          <w:tcPr>
            <w:tcW w:w="4125" w:type="dxa"/>
          </w:tcPr>
          <w:p w14:paraId="5179AD11"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13579368" w14:textId="40920A2E" w:rsidTr="00B46704">
        <w:trPr>
          <w:trHeight w:val="300"/>
        </w:trPr>
        <w:tc>
          <w:tcPr>
            <w:tcW w:w="993" w:type="dxa"/>
            <w:noWrap/>
            <w:hideMark/>
          </w:tcPr>
          <w:p w14:paraId="1E87B376"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roofErr w:type="spellStart"/>
            <w:r w:rsidRPr="00DD5124">
              <w:rPr>
                <w:rFonts w:ascii="Times New Roman" w:eastAsia="Times New Roman" w:hAnsi="Times New Roman" w:cs="Times New Roman"/>
                <w:color w:val="000000"/>
                <w:kern w:val="0"/>
                <w:sz w:val="14"/>
                <w:szCs w:val="14"/>
                <w:lang w:eastAsia="en-NL"/>
                <w14:ligatures w14:val="none"/>
              </w:rPr>
              <w:t>Licorice</w:t>
            </w:r>
            <w:proofErr w:type="spellEnd"/>
            <w:r w:rsidRPr="00DD5124">
              <w:rPr>
                <w:rFonts w:ascii="Times New Roman" w:eastAsia="Times New Roman" w:hAnsi="Times New Roman" w:cs="Times New Roman"/>
                <w:color w:val="000000"/>
                <w:kern w:val="0"/>
                <w:sz w:val="14"/>
                <w:szCs w:val="14"/>
                <w:lang w:eastAsia="en-NL"/>
                <w14:ligatures w14:val="none"/>
              </w:rPr>
              <w:t xml:space="preserve"> extract</w:t>
            </w:r>
          </w:p>
        </w:tc>
        <w:tc>
          <w:tcPr>
            <w:tcW w:w="1126" w:type="dxa"/>
            <w:noWrap/>
            <w:hideMark/>
          </w:tcPr>
          <w:p w14:paraId="56FC690B"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NCT04544605</w:t>
            </w:r>
          </w:p>
        </w:tc>
        <w:tc>
          <w:tcPr>
            <w:tcW w:w="2168" w:type="dxa"/>
            <w:noWrap/>
            <w:hideMark/>
          </w:tcPr>
          <w:p w14:paraId="2C56A729"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UNKNOWN</w:t>
            </w:r>
          </w:p>
        </w:tc>
        <w:tc>
          <w:tcPr>
            <w:tcW w:w="4125" w:type="dxa"/>
          </w:tcPr>
          <w:p w14:paraId="42CB3653" w14:textId="77777777" w:rsidR="00A92A05" w:rsidRDefault="00A92A05" w:rsidP="00DD5124">
            <w:pPr>
              <w:rPr>
                <w:rFonts w:ascii="Times New Roman" w:eastAsia="Times New Roman" w:hAnsi="Times New Roman" w:cs="Times New Roman"/>
                <w:color w:val="000000"/>
                <w:kern w:val="0"/>
                <w:sz w:val="14"/>
                <w:szCs w:val="14"/>
                <w:lang w:val="en-US" w:eastAsia="en-NL"/>
                <w14:ligatures w14:val="none"/>
              </w:rPr>
            </w:pPr>
            <w:r>
              <w:rPr>
                <w:rFonts w:ascii="Times New Roman" w:eastAsia="Times New Roman" w:hAnsi="Times New Roman" w:cs="Times New Roman"/>
                <w:color w:val="000000"/>
                <w:kern w:val="0"/>
                <w:sz w:val="14"/>
                <w:szCs w:val="14"/>
                <w:lang w:val="en-US" w:eastAsia="en-NL"/>
                <w14:ligatures w14:val="none"/>
              </w:rPr>
              <w:t xml:space="preserve">When combined with </w:t>
            </w:r>
            <w:proofErr w:type="spellStart"/>
            <w:r>
              <w:rPr>
                <w:rFonts w:ascii="Times New Roman" w:eastAsia="Times New Roman" w:hAnsi="Times New Roman" w:cs="Times New Roman"/>
                <w:color w:val="000000"/>
                <w:kern w:val="0"/>
                <w:sz w:val="14"/>
                <w:szCs w:val="14"/>
                <w:lang w:val="en-US" w:eastAsia="en-NL"/>
                <w14:ligatures w14:val="none"/>
              </w:rPr>
              <w:t>boswellic</w:t>
            </w:r>
            <w:proofErr w:type="spellEnd"/>
            <w:r>
              <w:rPr>
                <w:rFonts w:ascii="Times New Roman" w:eastAsia="Times New Roman" w:hAnsi="Times New Roman" w:cs="Times New Roman"/>
                <w:color w:val="000000"/>
                <w:kern w:val="0"/>
                <w:sz w:val="14"/>
                <w:szCs w:val="14"/>
                <w:lang w:val="en-US" w:eastAsia="en-NL"/>
                <w14:ligatures w14:val="none"/>
              </w:rPr>
              <w:t xml:space="preserve"> acid, significantly lowered time to recovery and mortality</w:t>
            </w:r>
            <w:r>
              <w:rPr>
                <w:rFonts w:ascii="Times New Roman" w:eastAsia="Times New Roman" w:hAnsi="Times New Roman" w:cs="Times New Roman"/>
                <w:color w:val="000000"/>
                <w:kern w:val="0"/>
                <w:sz w:val="14"/>
                <w:szCs w:val="14"/>
                <w:lang w:val="en-US" w:eastAsia="en-NL"/>
                <w14:ligatures w14:val="none"/>
              </w:rPr>
              <w:fldChar w:fldCharType="begin"/>
            </w:r>
            <w:r>
              <w:rPr>
                <w:rFonts w:ascii="Times New Roman" w:eastAsia="Times New Roman" w:hAnsi="Times New Roman" w:cs="Times New Roman"/>
                <w:color w:val="000000"/>
                <w:kern w:val="0"/>
                <w:sz w:val="14"/>
                <w:szCs w:val="14"/>
                <w:lang w:val="en-US" w:eastAsia="en-NL"/>
                <w14:ligatures w14:val="none"/>
              </w:rPr>
              <w:instrText xml:space="preserve"> ADDIN ZOTERO_ITEM CSL_CITATION {"citationID":"xMk74wnX","properties":{"formattedCitation":"[20]","plainCitation":"[20]","noteIndex":0},"citationItems":[{"id":11602,"uris":["http://zotero.org/users/7565624/items/5J8KWRJZ"],"itemData":{"id":11602,"type":"article-journal","abstract":"Recent evidence points to a potential therapeutic role for glycyrrhizin(GR) and boswellic acids (BA) in the treatment of COVID-19 but conclusive evidence is lacking. Our aim is to investigate the efficacy of GR + BA versus placebo for the treatment of hospitalized patients with moderate SARS-CoV-2 or COVID-19 variants infection. The current study is a randomized, double-blind, placebo-controlled, single-center trial. Patients with SARS-CoV-2 or COVID-19 variants diagnosed by PCR test who were admitted to Sohag University hospital were eligible if they were at least 18 years of age and had moderate symptoms. Patients were randomly assigned to receive oral GR capsule (60 mg) and BA (200 mg) twice daily for 14 days or a matching placebo. All patients also received treatment with the institutional protocol for COVID-19. The primary outcome was mortality and time to recovery. Secondary outcome was clinical status score, 14 days after receiving study drugs. Adverse events from use of study drugs have been evaluated for up to 14 days. The trial is registered at ClinicalTrials.gov (Identifier NCT04487964). During the 6-month enrollment period (June-November, 2021) only 50 patients (54% women; median age 60 years, IQR 54–65) met eligibility and were randomly assigned. Evaluation of the primary outcome at 14 days showed that there were five deaths in the placebo group and no deaths in the GR + BA group. With regard to recovery time, it was significantly shorter (p = 0.0001) in the group receiving GR + BA capsule compared to the placebo group (median 7.0; IQR 6.0–8.0 days vs. median 12.5; IQR 12–20 days). Clinical status on the ordinal score scale as a secondary outcome showed a significant difference between the GR + BA group (median (IQR) score, 2 [2–3]) and placebo groups (mean (IQR) score, 3 [3–5.5]). There was a significant decrease in CRB (p = 0.000041) in GR + BA compared with the placebo group. In conclusion, this safe, inexpensive, antiviral, immunomodulating and anti-inflammatory combination may be considered for use in mild to moderate infections of SARS-CoV-2 or COVID-19 variants. The study is limited by the small sample size; therefore, larger randomized trials are required.","container-title":"Inflammopharmacology","DOI":"10.1007/s10787-022-00939-7","ISSN":"1568-5608","issue":"2","journalAbbreviation":"Inflammopharmacol","language":"en","page":"477-486","source":"Springer Link","title":"Advancing combination treatment with glycyrrhizin and boswellic acids for hospitalized patients with moderate COVID-19 infection: a randomized clinical trial","title-short":"Advancing combination treatment with glycyrrhizin and boswellic acids for hospitalized patients with moderate COVID-19 infection","URL":"https://doi.org/10.1007/s10787-022-00939-7","volume":"30","author":[{"family":"Gomaa","given":"Adel A."},{"family":"Mohamed","given":"Hamdy S."},{"family":"Abd-ellatief","given":"Rasha B."},{"family":"Gomaa","given":"Mohamed A."},{"family":"Hammam","given":"Doaa S."}],"accessed":{"date-parts":[["2023",6,23]]},"issued":{"date-parts":[["2022",4,1]]}}}],"schema":"https://github.com/citation-style-language/schema/raw/master/csl-citation.json"} </w:instrText>
            </w:r>
            <w:r>
              <w:rPr>
                <w:rFonts w:ascii="Times New Roman" w:eastAsia="Times New Roman" w:hAnsi="Times New Roman" w:cs="Times New Roman"/>
                <w:color w:val="000000"/>
                <w:kern w:val="0"/>
                <w:sz w:val="14"/>
                <w:szCs w:val="14"/>
                <w:lang w:val="en-US" w:eastAsia="en-NL"/>
                <w14:ligatures w14:val="none"/>
              </w:rPr>
              <w:fldChar w:fldCharType="separate"/>
            </w:r>
            <w:r w:rsidRPr="00E411AA">
              <w:rPr>
                <w:rFonts w:ascii="Times New Roman" w:hAnsi="Times New Roman" w:cs="Times New Roman"/>
                <w:sz w:val="14"/>
              </w:rPr>
              <w:t>[20]</w:t>
            </w:r>
            <w:r>
              <w:rPr>
                <w:rFonts w:ascii="Times New Roman" w:eastAsia="Times New Roman" w:hAnsi="Times New Roman" w:cs="Times New Roman"/>
                <w:color w:val="000000"/>
                <w:kern w:val="0"/>
                <w:sz w:val="14"/>
                <w:szCs w:val="14"/>
                <w:lang w:val="en-US" w:eastAsia="en-NL"/>
                <w14:ligatures w14:val="none"/>
              </w:rPr>
              <w:fldChar w:fldCharType="end"/>
            </w:r>
          </w:p>
          <w:p w14:paraId="3D9D66D8" w14:textId="31F2E61C" w:rsidR="00A92A05" w:rsidRPr="00E411AA" w:rsidRDefault="00A92A05" w:rsidP="00DD5124">
            <w:pPr>
              <w:rPr>
                <w:rFonts w:ascii="Times New Roman" w:eastAsia="Times New Roman" w:hAnsi="Times New Roman" w:cs="Times New Roman"/>
                <w:color w:val="000000"/>
                <w:kern w:val="0"/>
                <w:sz w:val="14"/>
                <w:szCs w:val="14"/>
                <w:lang w:val="en-US" w:eastAsia="en-NL"/>
                <w14:ligatures w14:val="none"/>
              </w:rPr>
            </w:pPr>
            <w:r>
              <w:rPr>
                <w:rFonts w:ascii="Times New Roman" w:eastAsia="Times New Roman" w:hAnsi="Times New Roman" w:cs="Times New Roman"/>
                <w:color w:val="000000"/>
                <w:kern w:val="0"/>
                <w:sz w:val="14"/>
                <w:szCs w:val="14"/>
                <w:lang w:val="en-US" w:eastAsia="en-NL"/>
                <w14:ligatures w14:val="none"/>
              </w:rPr>
              <w:t xml:space="preserve">Multiple studies show positive effect </w:t>
            </w:r>
            <w:r>
              <w:rPr>
                <w:rFonts w:ascii="Times New Roman" w:eastAsia="Times New Roman" w:hAnsi="Times New Roman" w:cs="Times New Roman"/>
                <w:color w:val="000000"/>
                <w:kern w:val="0"/>
                <w:sz w:val="14"/>
                <w:szCs w:val="14"/>
                <w:lang w:val="en-US" w:eastAsia="en-NL"/>
                <w14:ligatures w14:val="none"/>
              </w:rPr>
              <w:fldChar w:fldCharType="begin"/>
            </w:r>
            <w:r>
              <w:rPr>
                <w:rFonts w:ascii="Times New Roman" w:eastAsia="Times New Roman" w:hAnsi="Times New Roman" w:cs="Times New Roman"/>
                <w:color w:val="000000"/>
                <w:kern w:val="0"/>
                <w:sz w:val="14"/>
                <w:szCs w:val="14"/>
                <w:lang w:val="en-US" w:eastAsia="en-NL"/>
                <w14:ligatures w14:val="none"/>
              </w:rPr>
              <w:instrText xml:space="preserve"> ADDIN ZOTERO_ITEM CSL_CITATION {"citationID":"MMN4CjUk","properties":{"formattedCitation":"[21,22]","plainCitation":"[21,22]","noteIndex":0},"citationItems":[{"id":11604,"uris":["http://zotero.org/users/7565624/items/UT4Q2MKF"],"itemData":{"id":11604,"type":"article-journal","abstract":"COVID-19 is the most devastating disease in recent times affecting most people globally. The higher rate of transmissibility and mutations of SARS-CoV-2 along with the lack of potential therapeutics has made it a global crisis. Potential molecules from natural sources could be a fruitful remedy to combat COVID-19. This systematic review highlights the detailed therapeutic implication of naturally occurring glycyrrhizin and its related derivatives against COVID-19. Glycyrrhizin has already been established for blocking different biomolecular targets related to the SARS-CoV-2 replication cycle. In this article, several experimental and theoretical evidences of glycyrrhizin and related derivatives have been discussed in detail to evaluate their potential as a promising therapeutic strategy against COVID-19. Moreover, the implication of glycyrrhizin in traditional Chinese medicines for alleviating the symptoms of COVID-19 has been reviewed. The potential role of glycyrrhizin and related compounds in affecting various stages of the SARS-CoV-2 life cycle has also been discussed in detail. Derivatization of glycyrrhizin for designing potential lead compounds along with combination therapy with other anti-SARS-CoV-2 agents followed by extensive evaluation may assist in the formulation of novel anti-coronaviral therapy for better treatment to combat COVID-19.","container-title":"Journal of Molecular Structure","DOI":"10.1016/j.molstruc.2022.134642","ISSN":"0022-2860","journalAbbreviation":"Journal of Molecular Structure","language":"en","page":"134642","source":"ScienceDirect","title":"Glycyrrhizin as a promising kryptonite against SARS-CoV-2: Clinical, experimental, and theoretical evidences","title-short":"Glycyrrhizin as a promising kryptonite against SARS-CoV-2","URL":"https://www.sciencedirect.com/science/article/pii/S0022286022022876","volume":"1275","author":[{"family":"Banerjee","given":"Suvankar"},{"family":"Baidya","given":"Sandip Kumar"},{"family":"Adhikari","given":"Nilanjan"},{"family":"Ghosh","given":"Balaram"},{"family":"Jha","given":"Tarun"}],"accessed":{"date-parts":[["2023",6,23]]},"issued":{"date-parts":[["2023",3,5]]}}},{"id":8461,"uris":["http://zotero.org/users/7565624/items/ZS368XUN"],"itemData":{"id":8461,"type":"article-journal","abstract":"Breakthrough infections have been reported in fully vaccinated persons. Furthermore, rebound symptoms have been reported following the new FDA granted emergency use to combat SARS-CoV-2. Glycyrrhizin (GR) and boswellic acids (BAs) combination has been shown to have highly successful actions against COVID-19 in our recent clinical trial. However, the study is limited by the small sample size, and therefore, the aim of this article is to comprehensively evaluate recent evidence on the efficacy of GR and BAs in preventing the development of COVID-19 in patients with mild and moderate infections and in preventing post-COVID-19 cognitive impairment, which is the most important symptom after recovery from Covid-19 disease. We have reviewed and discussed information published since the outbreak of the COVID-19 pandemic until July 2022 on preclinical (in vivo, in vivo and bioinformatics) and clinical studies related to the antiviral, anti-inflammatory and immunomodulatory activity of Gr and BAs. Sixteen studies were performed to determine the efficacy of GR against SARS-CoV-2. Ten studies were used primarily for in vitro and in vivo assays and six used molecular docking studies. However, the antiviral activity of BAs against SARS-CoV-2 was determined in only five studies using molecular modeling and bioinformatics. All these studies confirmed that GR n and BAs have strong antiviral activity and can be used as a therapeutic agent for COVID-19 and as a protective agent against SARS-CoV-2. They may act by inhibiting the main protease SARS-CoV-2 (Mpro) responsible for replication and blocking spike protein-mediated cell entry. Only seven rigorously designed clinical trials regarding the usefulness of GR, BAs or their combinations in the treatment of COVID-19 have been published as of July 2022. Although there is no clinical study regarding the treatment of cognitive impairment after COVID-19 that has been published so far, several preclinical and clinical studies have demonstrated the potential effect of GR and BAs in the prevention and treatment of cognitive impairment by inhibiting the activity of several molecules that activate inflammatory signaling pathway. In conclusion, the findings of our study documented the beneficial use of GR and BAs to treat SARS-CoV-2 and its variants and prevent post-COVID cognitive impairment. However, it warrants further studies with a larger randomized sample size to ensure that the studies have sufficient evidence of benefits against COVID-19 and post-COVID-19 symptoms.","container-title":"Inflammopharmacology","DOI":"10.1007/s10787-022-01062-3","ISSN":"1568-5608","issue":"6","journalAbbreviation":"Inflammopharmacol","language":"en","page":"1977-1992","source":"Springer Link","title":"Glycyrrhizin and boswellic acids, the golden nutraceuticals: multitargeting for treatment of mild–moderate COVID-19 and prevention of post-COVID cognitive impairment","title-short":"Glycyrrhizin and boswellic acids, the golden nutraceuticals","URL":"https://doi.org/10.1007/s10787-022-01062-3","volume":"30","author":[{"family":"Gomaa","given":"Adel A."},{"family":"Abdel-Wadood","given":"Yasmin A."},{"family":"Gomaa","given":"Mohamed A."}],"accessed":{"date-parts":[["2023",1,31]]},"issued":{"date-parts":[["2022",12,1]]}}}],"schema":"https://github.com/citation-style-language/schema/raw/master/csl-citation.json"} </w:instrText>
            </w:r>
            <w:r>
              <w:rPr>
                <w:rFonts w:ascii="Times New Roman" w:eastAsia="Times New Roman" w:hAnsi="Times New Roman" w:cs="Times New Roman"/>
                <w:color w:val="000000"/>
                <w:kern w:val="0"/>
                <w:sz w:val="14"/>
                <w:szCs w:val="14"/>
                <w:lang w:val="en-US" w:eastAsia="en-NL"/>
                <w14:ligatures w14:val="none"/>
              </w:rPr>
              <w:fldChar w:fldCharType="separate"/>
            </w:r>
            <w:r w:rsidRPr="00E411AA">
              <w:rPr>
                <w:rFonts w:ascii="Times New Roman" w:hAnsi="Times New Roman" w:cs="Times New Roman"/>
                <w:sz w:val="14"/>
              </w:rPr>
              <w:t>[21,22]</w:t>
            </w:r>
            <w:r>
              <w:rPr>
                <w:rFonts w:ascii="Times New Roman" w:eastAsia="Times New Roman" w:hAnsi="Times New Roman" w:cs="Times New Roman"/>
                <w:color w:val="000000"/>
                <w:kern w:val="0"/>
                <w:sz w:val="14"/>
                <w:szCs w:val="14"/>
                <w:lang w:val="en-US" w:eastAsia="en-NL"/>
                <w14:ligatures w14:val="none"/>
              </w:rPr>
              <w:fldChar w:fldCharType="end"/>
            </w:r>
          </w:p>
        </w:tc>
      </w:tr>
      <w:tr w:rsidR="00A92A05" w:rsidRPr="00903922" w14:paraId="2E75D139" w14:textId="42EF9763" w:rsidTr="00B46704">
        <w:trPr>
          <w:trHeight w:val="300"/>
        </w:trPr>
        <w:tc>
          <w:tcPr>
            <w:tcW w:w="993" w:type="dxa"/>
            <w:noWrap/>
            <w:hideMark/>
          </w:tcPr>
          <w:p w14:paraId="21BEC983"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2F455A11"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NCT04553705</w:t>
            </w:r>
          </w:p>
        </w:tc>
        <w:tc>
          <w:tcPr>
            <w:tcW w:w="2168" w:type="dxa"/>
            <w:noWrap/>
            <w:hideMark/>
          </w:tcPr>
          <w:p w14:paraId="129D0FDA"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COMPLETED</w:t>
            </w:r>
          </w:p>
        </w:tc>
        <w:tc>
          <w:tcPr>
            <w:tcW w:w="4125" w:type="dxa"/>
          </w:tcPr>
          <w:p w14:paraId="7C8F87CE"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799E83C7" w14:textId="754F1940" w:rsidTr="00B46704">
        <w:trPr>
          <w:trHeight w:val="300"/>
        </w:trPr>
        <w:tc>
          <w:tcPr>
            <w:tcW w:w="993" w:type="dxa"/>
            <w:noWrap/>
            <w:hideMark/>
          </w:tcPr>
          <w:p w14:paraId="78E845EE"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01CFAD95"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NCT05360004</w:t>
            </w:r>
          </w:p>
        </w:tc>
        <w:tc>
          <w:tcPr>
            <w:tcW w:w="2168" w:type="dxa"/>
            <w:noWrap/>
            <w:hideMark/>
          </w:tcPr>
          <w:p w14:paraId="1742D2D2"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NOT_YET_RECRUITING</w:t>
            </w:r>
          </w:p>
        </w:tc>
        <w:tc>
          <w:tcPr>
            <w:tcW w:w="4125" w:type="dxa"/>
          </w:tcPr>
          <w:p w14:paraId="7688B00C"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7295CFF6" w14:textId="0DC78D70" w:rsidTr="00B46704">
        <w:trPr>
          <w:trHeight w:val="300"/>
        </w:trPr>
        <w:tc>
          <w:tcPr>
            <w:tcW w:w="993" w:type="dxa"/>
            <w:noWrap/>
            <w:hideMark/>
          </w:tcPr>
          <w:p w14:paraId="513250B1"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124E899E"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NCT04487964</w:t>
            </w:r>
          </w:p>
        </w:tc>
        <w:tc>
          <w:tcPr>
            <w:tcW w:w="2168" w:type="dxa"/>
            <w:noWrap/>
            <w:hideMark/>
          </w:tcPr>
          <w:p w14:paraId="6A023AC7"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COMPLETED</w:t>
            </w:r>
          </w:p>
        </w:tc>
        <w:tc>
          <w:tcPr>
            <w:tcW w:w="4125" w:type="dxa"/>
          </w:tcPr>
          <w:p w14:paraId="3B89C114"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1ADF5026" w14:textId="6B6A65A8" w:rsidTr="00B46704">
        <w:trPr>
          <w:trHeight w:val="300"/>
        </w:trPr>
        <w:tc>
          <w:tcPr>
            <w:tcW w:w="993" w:type="dxa"/>
            <w:noWrap/>
            <w:hideMark/>
          </w:tcPr>
          <w:p w14:paraId="7858113E"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659A618C"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NCT04846010</w:t>
            </w:r>
          </w:p>
        </w:tc>
        <w:tc>
          <w:tcPr>
            <w:tcW w:w="2168" w:type="dxa"/>
            <w:noWrap/>
            <w:hideMark/>
          </w:tcPr>
          <w:p w14:paraId="6E9D1298"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UNKNOWN</w:t>
            </w:r>
          </w:p>
        </w:tc>
        <w:tc>
          <w:tcPr>
            <w:tcW w:w="4125" w:type="dxa"/>
          </w:tcPr>
          <w:p w14:paraId="6BCADFA8"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03D28F02" w14:textId="05701A48" w:rsidTr="00B46704">
        <w:trPr>
          <w:trHeight w:val="300"/>
        </w:trPr>
        <w:tc>
          <w:tcPr>
            <w:tcW w:w="993" w:type="dxa"/>
            <w:noWrap/>
            <w:hideMark/>
          </w:tcPr>
          <w:p w14:paraId="04129042"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5734EE45"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NCT04790240</w:t>
            </w:r>
          </w:p>
        </w:tc>
        <w:tc>
          <w:tcPr>
            <w:tcW w:w="2168" w:type="dxa"/>
            <w:noWrap/>
            <w:hideMark/>
          </w:tcPr>
          <w:p w14:paraId="24A5B30C"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UNKNOWN</w:t>
            </w:r>
          </w:p>
        </w:tc>
        <w:tc>
          <w:tcPr>
            <w:tcW w:w="4125" w:type="dxa"/>
          </w:tcPr>
          <w:p w14:paraId="38ACE7FD"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1BB030B5" w14:textId="56E28515" w:rsidTr="00B46704">
        <w:trPr>
          <w:trHeight w:val="300"/>
        </w:trPr>
        <w:tc>
          <w:tcPr>
            <w:tcW w:w="993" w:type="dxa"/>
            <w:noWrap/>
            <w:hideMark/>
          </w:tcPr>
          <w:p w14:paraId="3FC4E351"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7F517EFA"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NCT03348670</w:t>
            </w:r>
          </w:p>
        </w:tc>
        <w:tc>
          <w:tcPr>
            <w:tcW w:w="2168" w:type="dxa"/>
            <w:noWrap/>
            <w:hideMark/>
          </w:tcPr>
          <w:p w14:paraId="748133E1"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ACTIVE_NOT_RECRUITING</w:t>
            </w:r>
          </w:p>
        </w:tc>
        <w:tc>
          <w:tcPr>
            <w:tcW w:w="4125" w:type="dxa"/>
          </w:tcPr>
          <w:p w14:paraId="4B185051"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2B17208C" w14:textId="38D3ED9D" w:rsidTr="00B46704">
        <w:trPr>
          <w:trHeight w:val="300"/>
        </w:trPr>
        <w:tc>
          <w:tcPr>
            <w:tcW w:w="993" w:type="dxa"/>
            <w:noWrap/>
            <w:hideMark/>
          </w:tcPr>
          <w:p w14:paraId="51494DDE"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cyanidin-3-glucoside</w:t>
            </w:r>
          </w:p>
        </w:tc>
        <w:tc>
          <w:tcPr>
            <w:tcW w:w="1126" w:type="dxa"/>
            <w:noWrap/>
            <w:hideMark/>
          </w:tcPr>
          <w:p w14:paraId="043D2DBF"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NCT05387252</w:t>
            </w:r>
          </w:p>
        </w:tc>
        <w:tc>
          <w:tcPr>
            <w:tcW w:w="2168" w:type="dxa"/>
            <w:noWrap/>
            <w:hideMark/>
          </w:tcPr>
          <w:p w14:paraId="3A10A1AC"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NOT_YET_RECRUITING</w:t>
            </w:r>
          </w:p>
        </w:tc>
        <w:tc>
          <w:tcPr>
            <w:tcW w:w="4125" w:type="dxa"/>
          </w:tcPr>
          <w:p w14:paraId="06E07D0F" w14:textId="77777777" w:rsidR="00A92A05" w:rsidRDefault="00A92A05" w:rsidP="00DD5124">
            <w:pPr>
              <w:rPr>
                <w:rFonts w:ascii="Times New Roman" w:eastAsia="Times New Roman" w:hAnsi="Times New Roman" w:cs="Times New Roman"/>
                <w:color w:val="000000"/>
                <w:kern w:val="0"/>
                <w:sz w:val="14"/>
                <w:szCs w:val="14"/>
                <w:lang w:val="en-US" w:eastAsia="en-NL"/>
                <w14:ligatures w14:val="none"/>
              </w:rPr>
            </w:pPr>
            <w:r>
              <w:rPr>
                <w:rFonts w:ascii="Times New Roman" w:eastAsia="Times New Roman" w:hAnsi="Times New Roman" w:cs="Times New Roman"/>
                <w:color w:val="000000"/>
                <w:kern w:val="0"/>
                <w:sz w:val="14"/>
                <w:szCs w:val="14"/>
                <w:lang w:val="en-US" w:eastAsia="en-NL"/>
                <w14:ligatures w14:val="none"/>
              </w:rPr>
              <w:t xml:space="preserve">Suppression of inflammation from SARS-CoV-2 spike protein </w:t>
            </w:r>
            <w:r>
              <w:rPr>
                <w:rFonts w:ascii="Times New Roman" w:eastAsia="Times New Roman" w:hAnsi="Times New Roman" w:cs="Times New Roman"/>
                <w:i/>
                <w:iCs/>
                <w:color w:val="000000"/>
                <w:kern w:val="0"/>
                <w:sz w:val="14"/>
                <w:szCs w:val="14"/>
                <w:lang w:val="en-US" w:eastAsia="en-NL"/>
                <w14:ligatures w14:val="none"/>
              </w:rPr>
              <w:t>in vitro</w:t>
            </w:r>
            <w:r>
              <w:rPr>
                <w:rFonts w:ascii="Times New Roman" w:eastAsia="Times New Roman" w:hAnsi="Times New Roman" w:cs="Times New Roman"/>
                <w:color w:val="000000"/>
                <w:kern w:val="0"/>
                <w:sz w:val="14"/>
                <w:szCs w:val="14"/>
                <w:lang w:val="en-US" w:eastAsia="en-NL"/>
                <w14:ligatures w14:val="none"/>
              </w:rPr>
              <w:t xml:space="preserve"> </w:t>
            </w:r>
            <w:r>
              <w:rPr>
                <w:rFonts w:ascii="Times New Roman" w:eastAsia="Times New Roman" w:hAnsi="Times New Roman" w:cs="Times New Roman"/>
                <w:color w:val="000000"/>
                <w:kern w:val="0"/>
                <w:sz w:val="14"/>
                <w:szCs w:val="14"/>
                <w:lang w:val="en-US" w:eastAsia="en-NL"/>
                <w14:ligatures w14:val="none"/>
              </w:rPr>
              <w:fldChar w:fldCharType="begin"/>
            </w:r>
            <w:r>
              <w:rPr>
                <w:rFonts w:ascii="Times New Roman" w:eastAsia="Times New Roman" w:hAnsi="Times New Roman" w:cs="Times New Roman"/>
                <w:color w:val="000000"/>
                <w:kern w:val="0"/>
                <w:sz w:val="14"/>
                <w:szCs w:val="14"/>
                <w:lang w:val="en-US" w:eastAsia="en-NL"/>
                <w14:ligatures w14:val="none"/>
              </w:rPr>
              <w:instrText xml:space="preserve"> ADDIN ZOTERO_ITEM CSL_CITATION {"citationID":"O3DAoyAQ","properties":{"formattedCitation":"[23]","plainCitation":"[23]","noteIndex":0},"citationItems":[{"id":11609,"uris":["http://zotero.org/users/7565624/items/QM4K6DA8"],"itemData":{"id":11609,"type":"article-journal","abstract":"Black rice is a functional food that is high in anthocyanin content, primarily C3G and P3G. It possesses nutraceutical properties that exhibit a range of beneficial effects on human health. Currently, the spike glycoprotein S1 subunit of SARS-CoV-2 (SP) has been reported for its contribution to pathological inflammatory responses in targeting lung tissue and innate immune cells during COVID-19 infection and in the long-COVID phenomenon. Our objectives focused on the health benefits of the C3G and P3G-rich fraction of black rice germ and bran (BR extract) on the inhibition of inflammatory responses induced by SP, as well as the inhibition of NF-kB activation and the NLRP3 inflammasome pathway in an in vitro model. In this study, BR extract was identified for its active anthocyanins, C3G and P3G, using the HPLC technique. A549-lung cells and differentiated THP-1 macrophages were treated with BR extract, C3G, or P3G prior to exposure to 100 ng/mL of SP. Their anti-inflammatory properties were then determined. BR extract at concentrations of 12.5–100 μg/mL exhibited anti-inflammation activity for both A549 and THP-1 cells through the significant suppression of NLRP3, IL-1β, and IL-18 inflammatory gene expressions and IL-6, IL-1β, and IL-18 cytokine secretions in a dose-dependent manner (p &lt; 0.05). It was determined that both cell lines, C3G and P3G (at 1.25–10 μg/mL), were compatibly responsible for the significant inhibition of SP-induced inflammatory responses for both gene and protein levels (p &lt; 0.05). With regard to the anti-inflammation mechanism, BR extract, C3G, and P3G could attenuate SP-induced inflammation via counteraction with NF-kB activation and downregulation of the inflammasome-dependent inflammatory pathway proteins (NLRP3, ASC, and capase-1). Overall, the protective effects of anthocyanins obtained from black rice germ and bran can be employed in potentially preventive strategies that use pigmented rice against the long-term sequelae of COVID-19 infection.","container-title":"Nutrients","DOI":"10.3390/nu14132738","ISSN":"2072-6643","issue":"13","language":"en","license":"http://creativecommons.org/licenses/by/3.0/","note":"number: 13\npublisher: Multidisciplinary Digital Publishing Institute","page":"2738","source":"www.mdpi.com","title":"Cyanidin-3-O-glucoside and Peonidin-3-O-glucoside-Rich Fraction of Black Rice Germ and Bran Suppresses Inflammatory Responses from SARS-CoV-2 Spike Glycoprotein S1-Induction In Vitro in A549 Lung Cells and THP-1 Macrophages via Inhibition of the NLRP3 Inflammasome Pathway","URL":"https://www.mdpi.com/2072-6643/14/13/2738","volume":"14","author":[{"family":"Semmarath","given":"Warathit"},{"family":"Mapoung","given":"Sariya"},{"family":"Umsumarng","given":"Sonthaya"},{"family":"Arjsri","given":"Punnida"},{"family":"Srisawad","given":"Kamonwan"},{"family":"Thippraphan","given":"Pilaiporn"},{"family":"Yodkeeree","given":"Supachai"},{"family":"Dejkriengkraikul","given":"Pornngarm"}],"accessed":{"date-parts":[["2023",6,23]]},"issued":{"date-parts":[["2022",1]]}}}],"schema":"https://github.com/citation-style-language/schema/raw/master/csl-citation.json"} </w:instrText>
            </w:r>
            <w:r>
              <w:rPr>
                <w:rFonts w:ascii="Times New Roman" w:eastAsia="Times New Roman" w:hAnsi="Times New Roman" w:cs="Times New Roman"/>
                <w:color w:val="000000"/>
                <w:kern w:val="0"/>
                <w:sz w:val="14"/>
                <w:szCs w:val="14"/>
                <w:lang w:val="en-US" w:eastAsia="en-NL"/>
                <w14:ligatures w14:val="none"/>
              </w:rPr>
              <w:fldChar w:fldCharType="separate"/>
            </w:r>
            <w:r w:rsidRPr="0072616C">
              <w:rPr>
                <w:rFonts w:ascii="Times New Roman" w:hAnsi="Times New Roman" w:cs="Times New Roman"/>
                <w:sz w:val="14"/>
              </w:rPr>
              <w:t>[23]</w:t>
            </w:r>
            <w:r>
              <w:rPr>
                <w:rFonts w:ascii="Times New Roman" w:eastAsia="Times New Roman" w:hAnsi="Times New Roman" w:cs="Times New Roman"/>
                <w:color w:val="000000"/>
                <w:kern w:val="0"/>
                <w:sz w:val="14"/>
                <w:szCs w:val="14"/>
                <w:lang w:val="en-US" w:eastAsia="en-NL"/>
                <w14:ligatures w14:val="none"/>
              </w:rPr>
              <w:fldChar w:fldCharType="end"/>
            </w:r>
            <w:r>
              <w:rPr>
                <w:rFonts w:ascii="Times New Roman" w:eastAsia="Times New Roman" w:hAnsi="Times New Roman" w:cs="Times New Roman"/>
                <w:color w:val="000000"/>
                <w:kern w:val="0"/>
                <w:sz w:val="14"/>
                <w:szCs w:val="14"/>
                <w:lang w:val="en-US" w:eastAsia="en-NL"/>
                <w14:ligatures w14:val="none"/>
              </w:rPr>
              <w:t>.</w:t>
            </w:r>
          </w:p>
          <w:p w14:paraId="354F79CD" w14:textId="6F0E3AC0" w:rsidR="00A92A05" w:rsidRPr="00E411AA" w:rsidRDefault="00A92A05" w:rsidP="00DD5124">
            <w:pPr>
              <w:rPr>
                <w:rFonts w:ascii="Times New Roman" w:eastAsia="Times New Roman" w:hAnsi="Times New Roman" w:cs="Times New Roman"/>
                <w:color w:val="000000"/>
                <w:kern w:val="0"/>
                <w:sz w:val="14"/>
                <w:szCs w:val="14"/>
                <w:lang w:val="en-US" w:eastAsia="en-NL"/>
                <w14:ligatures w14:val="none"/>
              </w:rPr>
            </w:pPr>
            <w:r>
              <w:rPr>
                <w:rFonts w:ascii="Times New Roman" w:eastAsia="Times New Roman" w:hAnsi="Times New Roman" w:cs="Times New Roman"/>
                <w:color w:val="000000"/>
                <w:kern w:val="0"/>
                <w:sz w:val="14"/>
                <w:szCs w:val="14"/>
                <w:lang w:val="en-US" w:eastAsia="en-NL"/>
                <w14:ligatures w14:val="none"/>
              </w:rPr>
              <w:t>In vitro activity of a glucoside rich fruit extract (corozo) against SARS-CoV-2</w:t>
            </w:r>
            <w:r>
              <w:rPr>
                <w:rFonts w:ascii="Times New Roman" w:eastAsia="Times New Roman" w:hAnsi="Times New Roman" w:cs="Times New Roman"/>
                <w:color w:val="000000"/>
                <w:kern w:val="0"/>
                <w:sz w:val="14"/>
                <w:szCs w:val="14"/>
                <w:lang w:val="en-US" w:eastAsia="en-NL"/>
                <w14:ligatures w14:val="none"/>
              </w:rPr>
              <w:fldChar w:fldCharType="begin"/>
            </w:r>
            <w:r>
              <w:rPr>
                <w:rFonts w:ascii="Times New Roman" w:eastAsia="Times New Roman" w:hAnsi="Times New Roman" w:cs="Times New Roman"/>
                <w:color w:val="000000"/>
                <w:kern w:val="0"/>
                <w:sz w:val="14"/>
                <w:szCs w:val="14"/>
                <w:lang w:val="en-US" w:eastAsia="en-NL"/>
                <w14:ligatures w14:val="none"/>
              </w:rPr>
              <w:instrText xml:space="preserve"> ADDIN ZOTERO_ITEM CSL_CITATION {"citationID":"GBpoOBeA","properties":{"formattedCitation":"[24]","plainCitation":"[24]","noteIndex":0},"citationItems":[{"id":11614,"uris":["http://zotero.org/users/7565624/items/ZBDA9SDE"],"itemData":{"id":11614,"type":"article-journal","abstract":"Background :   Given the current COVID-19 pandemic, numerous drug development studies are being carried out for the treatment and control of this disease. This study aimed to evaluate the   in vitro   antiviral potential of Corozo fruit extract (  Bactris guineensis  ) against SARS-CoV-2.     Methods :   Corozo extract (CE) was prepared from the pulp of mature Corozo fruits. The total content of phenols, flavonoids, and anthocyanins in the extracts was determined using the Folin-Ciocalteu, aluminum chloride, and pH differential methods, respectively. The cytotoxicity on Vero E6 cells was evaluated by MTT assay. Antiviral activity was evaluated by pre-post-treatment using a Colombian isolate of SARS-CoV-2. Viral titer was quantified by plaque assay.     Results :   Anthocyanin concentration of CE was 144.95 ± 10.3 mg cyanidin-3-glucoside/L. The cytotoxicity of CE on Vero E6 was lower to 20 % at 15.6 g/L. Corozo extract inhibited SARS-CoV-2 at 15.6, 7.8, 3.9 and 1.9 g/L with inhibition percentages of 88.2%, 84%, 59.6% and 56.3%, respectively.         Conclusion :   This is the first report on the   in vitro   antiviral effect of Corozo fruit extract against SARS-CoV-2. Since this is a  natural product, proven safe for consumption, in the future and with further studies, it could be considered an important functional food that can be useful in preventing strategies to fight against COVID-19.           Keywords :   Bactris guineensis,   Corozo fruit, antiviral activity, SARS-CoV-2, COVID-19.","container-title":"Functional Foods in Health and Disease","ISSN":"2160-3855","issue":"9","language":"en","license":"Any manuscripts or substantial parts of it, submitted to the journal must not be under consideration by or previously published in any other journal or citable form. Authors are required to ensure that no material submitted as part of a manuscript infringes existing copyrights or the rights of a third party. In submitting one's article in any form, the author has assigned the FFC publishing rights and has agreed to an automatic transfer of the copyright to the publisher. This is so that the FFC may create print option journals, for example, at the FFC’s discretion. If the author wishes to distribute their works by means outside of the FFC, for example within their community, they will have to place a request.          Correspondence concerning articles published in Functional Foods in Health and Disease is encouraged. While derivative works (adaptations, extensions on the current work, etc.) are allowed, distribution of the modified material is not allowed without permission from the FFC.","note":"number: 9","page":"534-546","source":"www.ffhdj.com","title":"Corozo (Bactris guineensis) fruit extract has antiviral activity in vitro against SARS-CoV-2","URL":"https://www.ffhdj.com/index.php/ffhd/article/view/918","volume":"12","author":[{"family":"Jaimes-Gualdrón","given":"Tania"},{"family":"Flórez-Álvarez","given":"Lizdany"},{"family":"Zapata-Cardona","given":"María Isabel"},{"family":"Rojano","given":"Benjamín Alberto"},{"family":"Rugeles","given":"María Teresa"},{"family":"Zapata-Builes","given":"Wildeman"}],"accessed":{"date-parts":[["2023",6,23]]},"issued":{"date-parts":[["2022",9,15]]}}}],"schema":"https://github.com/citation-style-language/schema/raw/master/csl-citation.json"} </w:instrText>
            </w:r>
            <w:r>
              <w:rPr>
                <w:rFonts w:ascii="Times New Roman" w:eastAsia="Times New Roman" w:hAnsi="Times New Roman" w:cs="Times New Roman"/>
                <w:color w:val="000000"/>
                <w:kern w:val="0"/>
                <w:sz w:val="14"/>
                <w:szCs w:val="14"/>
                <w:lang w:val="en-US" w:eastAsia="en-NL"/>
                <w14:ligatures w14:val="none"/>
              </w:rPr>
              <w:fldChar w:fldCharType="separate"/>
            </w:r>
            <w:r w:rsidRPr="0072616C">
              <w:rPr>
                <w:rFonts w:ascii="Times New Roman" w:hAnsi="Times New Roman" w:cs="Times New Roman"/>
                <w:sz w:val="14"/>
              </w:rPr>
              <w:t>[24]</w:t>
            </w:r>
            <w:r>
              <w:rPr>
                <w:rFonts w:ascii="Times New Roman" w:eastAsia="Times New Roman" w:hAnsi="Times New Roman" w:cs="Times New Roman"/>
                <w:color w:val="000000"/>
                <w:kern w:val="0"/>
                <w:sz w:val="14"/>
                <w:szCs w:val="14"/>
                <w:lang w:val="en-US" w:eastAsia="en-NL"/>
                <w14:ligatures w14:val="none"/>
              </w:rPr>
              <w:fldChar w:fldCharType="end"/>
            </w:r>
          </w:p>
        </w:tc>
      </w:tr>
      <w:tr w:rsidR="00A92A05" w:rsidRPr="00903922" w14:paraId="53E3D153" w14:textId="68454CC5" w:rsidTr="00B46704">
        <w:trPr>
          <w:trHeight w:val="300"/>
        </w:trPr>
        <w:tc>
          <w:tcPr>
            <w:tcW w:w="993" w:type="dxa"/>
            <w:noWrap/>
            <w:hideMark/>
          </w:tcPr>
          <w:p w14:paraId="31486544"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4161A357" w14:textId="07B6301B"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NCT04404218</w:t>
            </w:r>
          </w:p>
        </w:tc>
        <w:tc>
          <w:tcPr>
            <w:tcW w:w="2168" w:type="dxa"/>
            <w:noWrap/>
            <w:hideMark/>
          </w:tcPr>
          <w:p w14:paraId="59C41EF0"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ACTIVE_NOT_RECRUITING</w:t>
            </w:r>
          </w:p>
        </w:tc>
        <w:tc>
          <w:tcPr>
            <w:tcW w:w="4125" w:type="dxa"/>
          </w:tcPr>
          <w:p w14:paraId="459F1734"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5EC7D6EE" w14:textId="45019FDC" w:rsidTr="00B46704">
        <w:trPr>
          <w:trHeight w:val="300"/>
        </w:trPr>
        <w:tc>
          <w:tcPr>
            <w:tcW w:w="993" w:type="dxa"/>
            <w:noWrap/>
            <w:hideMark/>
          </w:tcPr>
          <w:p w14:paraId="65E24BD2"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Methylene Blue</w:t>
            </w:r>
          </w:p>
        </w:tc>
        <w:tc>
          <w:tcPr>
            <w:tcW w:w="1126" w:type="dxa"/>
            <w:noWrap/>
            <w:hideMark/>
          </w:tcPr>
          <w:p w14:paraId="35839BFE"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NCT05004805</w:t>
            </w:r>
          </w:p>
        </w:tc>
        <w:tc>
          <w:tcPr>
            <w:tcW w:w="2168" w:type="dxa"/>
            <w:noWrap/>
            <w:hideMark/>
          </w:tcPr>
          <w:p w14:paraId="15043DE9"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COMPLETED</w:t>
            </w:r>
          </w:p>
        </w:tc>
        <w:tc>
          <w:tcPr>
            <w:tcW w:w="4125" w:type="dxa"/>
          </w:tcPr>
          <w:p w14:paraId="01E05E2D" w14:textId="277CD2FA" w:rsidR="00A92A05" w:rsidRDefault="00A92A05" w:rsidP="00DD5124">
            <w:pPr>
              <w:rPr>
                <w:rFonts w:ascii="Times New Roman" w:eastAsia="Times New Roman" w:hAnsi="Times New Roman" w:cs="Times New Roman"/>
                <w:color w:val="000000"/>
                <w:kern w:val="0"/>
                <w:sz w:val="14"/>
                <w:szCs w:val="14"/>
                <w:lang w:val="en-US" w:eastAsia="en-NL"/>
                <w14:ligatures w14:val="none"/>
              </w:rPr>
            </w:pPr>
            <w:r>
              <w:rPr>
                <w:rFonts w:ascii="Times New Roman" w:eastAsia="Times New Roman" w:hAnsi="Times New Roman" w:cs="Times New Roman"/>
                <w:color w:val="000000"/>
                <w:kern w:val="0"/>
                <w:sz w:val="14"/>
                <w:szCs w:val="14"/>
                <w:lang w:val="en-US" w:eastAsia="en-NL"/>
                <w14:ligatures w14:val="none"/>
              </w:rPr>
              <w:t xml:space="preserve">Positive results on Covid-19 infection </w:t>
            </w:r>
            <w:r>
              <w:rPr>
                <w:rFonts w:ascii="Times New Roman" w:eastAsia="Times New Roman" w:hAnsi="Times New Roman" w:cs="Times New Roman"/>
                <w:color w:val="000000"/>
                <w:kern w:val="0"/>
                <w:sz w:val="14"/>
                <w:szCs w:val="14"/>
                <w:lang w:val="en-US" w:eastAsia="en-NL"/>
                <w14:ligatures w14:val="none"/>
              </w:rPr>
              <w:fldChar w:fldCharType="begin"/>
            </w:r>
            <w:r>
              <w:rPr>
                <w:rFonts w:ascii="Times New Roman" w:eastAsia="Times New Roman" w:hAnsi="Times New Roman" w:cs="Times New Roman"/>
                <w:color w:val="000000"/>
                <w:kern w:val="0"/>
                <w:sz w:val="14"/>
                <w:szCs w:val="14"/>
                <w:lang w:val="en-US" w:eastAsia="en-NL"/>
                <w14:ligatures w14:val="none"/>
              </w:rPr>
              <w:instrText xml:space="preserve"> ADDIN ZOTERO_ITEM CSL_CITATION {"citationID":"GSBRUQrA","properties":{"formattedCitation":"[25\\uc0\\u8211{}27]","plainCitation":"[25–27]","noteIndex":0},"citationItems":[{"id":11616,"uris":["http://zotero.org/users/7565624/items/8RADJ6SS"],"itemData":{"id":11616,"type":"article-journal","abstract":"The severe acute respiratory syndrome-coronavirus 2 (SARS-CoV-2) is the most recent coronaviruses, which has infected humans, and caused the disease COVID-19. The World Health Organization has declared COVID-19 as a pandemic in March 2020. The SARS-CoV-2 enters human hosts majorly via the respiratory tract, affecting the lungs first. In few critical cases, the infection progresses to failure of the respiratory system known as acute respiratory distress syndrome acute respiratory distress syndrome may be further associated with multi-organ failure and vasoplegic shock. Currently, the treatment of COVID-19 involves use of antiviral and anti-cytokine drugs. However, both the drugs have low efficacy because they cannot inhibit the production of free radicals and cytokines at the same time. Recently, some researchers have reported the use of methylene blue (MB) in COVID-19 management. MB has been used since a long time as a therapeutic agent, and has been approved by the US FDA for the treatment of other diseases. The additional advantage of MB is its low cost. MB is a safe drug when used in the dose of &lt; 2 mg/kg. In this review, the applicability of MB in COVID-19 and its mechanistic aspects have been explored and compiled. The clinical studies have been explained in great detail. Thus, the potential of MB in the management of COVID-19 has been examined.","container-title":"Biomedicine &amp; Pharmacotherapy","DOI":"10.1016/j.biopha.2021.112023","ISSN":"0753-3322","journalAbbreviation":"Biomedicine &amp; Pharmacotherapy","language":"en","page":"112023","source":"ScienceDirect","title":"Repurposing methylene blue in the management of COVID-19: Mechanistic aspects and clinical investigations","title-short":"Repurposing methylene blue in the management of COVID-19","URL":"https://www.sciencedirect.com/science/article/pii/S0753332221008064","volume":"142","author":[{"family":"Dabholkar","given":"Neha"},{"family":"Gorantla","given":"Srividya"},{"family":"Dubey","given":"Sunil Kumar"},{"family":"Alexander","given":"Amit"},{"family":"Taliyan","given":"Rajeev"},{"family":"Singhvi","given":"Gautam"}],"accessed":{"date-parts":[["2023",6,23]]},"issued":{"date-parts":[["2021",10,1]]}}},{"id":11619,"uris":["http://zotero.org/users/7565624/items/LBQH82XI"],"itemData":{"id":11619,"type":"article-journal","container-title":"Revista de investigación clínica","DOI":"10.24875/ric.21000028","ISSN":"0034-8376","issue":"3","language":"en","note":"publisher: Instituto Nacional de Ciencias Médicas y Nutrición Salvador Zubirán","page":"190-198","source":"SciELO","title":"Methylene Blue for Treatment of Hospitalized COVID-19 Patients: A Randomized, Controlled, Open-Label Clinical Trial, Phase 2","title-short":"Methylene Blue for Treatment of Hospitalized COVID-19 Patients","URL":"http://www.scielo.org.mx/scielo.php?script=sci_abstract&amp;pid=S0034-83762021000300190&amp;lng=es&amp;nrm=iso&amp;tlng=en","volume":"73","author":[{"family":"Hamidi-Alamdari","given":"Daryoush"},{"family":"Hafizi-Lotfabadi","given":"Saied"},{"family":"Bagheri-Moghaddam","given":"Ahmad"},{"family":"Safari","given":"Hossin"},{"family":"Mozdourian","given":"Mahnaz"},{"family":"Javidarabshahi","given":"Zahra"},{"family":"Peivandi-Yazdi","given":"Arash"},{"family":"Ali-Zeraati","given":"Abass"},{"family":"Sedaghat","given":"Alireza"},{"family":"Poursadegh","given":"Farid"},{"family":"Barazandeh-Ahmadabadi","given":"Fatemeh"},{"family":"Agheli-Rad","given":"Marzieh"},{"family":"Tavousi","given":"Seyed M."},{"family":"Vojouhi","given":"Shohreh"},{"family":"Amini","given":"Shahram"},{"family":"Amini","given":"Mahnaz"},{"family":"Majid-Hosseini","given":"Seyed"},{"family":"Tavanaee-Sani","given":"Ashraf"},{"family":"Ghiabi","given":"Amin"},{"family":"Nabavi-Mahalli","given":"Shima"},{"family":"Morovatdar","given":"Negar"},{"family":"Rajabi","given":"Omid"},{"family":"Koliakos","given":"George"},{"family":"Hamidi-Alamdari","given":"Daryoush"},{"family":"Hafizi-Lotfabadi","given":"Saied"},{"family":"Bagheri-Moghaddam","given":"Ahmad"},{"family":"Safari","given":"Hossin"},{"family":"Mozdourian","given":"Mahnaz"},{"family":"Javidarabshahi","given":"Zahra"},{"family":"Peivandi-Yazdi","given":"Arash"},{"family":"Ali-Zeraati","given":"Abass"},{"family":"Sedaghat","given":"Alireza"},{"family":"Poursadegh","given":"Farid"},{"family":"Barazandeh-Ahmadabadi","given":"Fatemeh"},{"family":"Agheli-Rad","given":"Marzieh"},{"family":"Tavousi","given":"Seyed M."},{"family":"Vojouhi","given":"Shohreh"},{"family":"Amini","given":"Shahram"},{"family":"Amini","given":"Mahnaz"},{"family":"Majid-Hosseini","given":"Seyed"},{"family":"Tavanaee-Sani","given":"Ashraf"},{"family":"Ghiabi","given":"Amin"},{"family":"Nabavi-Mahalli","given":"Shima"},{"family":"Morovatdar","given":"Negar"},{"family":"Rajabi","given":"Omid"},{"family":"Koliakos","given":"George"}],"accessed":{"date-parts":[["2023",6,23]]},"issued":{"date-parts":[["2021",6]]}},"label":"page"},{"id":11621,"uris":["http://zotero.org/users/7565624/items/94WDWFAV"],"itemData":{"id":11621,"type":"article-journal","abstract":"Background: Many new drugs were studied for desired action in COVID-19 disease dynamics. One such molecule is Methylene blue which is a tricyclic phenothiazine compound approved for the treatment of acquired methemoglobinemia. This molecule has shown some evidence of inhibiting the interaction of the COVID-19 virus and target cells in a dose dependent manner. There are many other proposals suggesting that the mechanisms of action of Nebulized Methylene Blue [NBM] molecule could be beneficial to the management of COVID-19. The Aim of the Work: To observe and evaluate the effect of NMB on the clinical course and outcomes of patients with COVID-19 infections.Patients and Methods: An observational study including a total of 63 COVID-19 RT-PCR positive cases divided in 3 groups.Results: Difference between mean d-dimer value and mean lactate dehydrogenase [LDH] values at day sixth of the intervention among three different groups were statically significant. A general trend of reduced hospital stays in groups getting NBE in groups 1, 2 vs. group 3 was observed [Viz. 9.17 days Vs. 12 days] though statistically non-significant. Fall in inflammatory markers and oxygen requirements in group receiving methylene blue [Groups 1 and 2] vs. control [Group 3] are noticeable.Conclusion: A general trend of fall in inflammatory markers and oxygen requirements among patients in groups receiving NMB. However, our results showed no significant differences in outcome measures for oxygen saturation and duration of hospitalisation among those receiving NMB.","container-title":"International Journal of Medical Arts","DOI":"10.21608/ijma.2022.112347.1416","ISSN":"2636-4174","issue":"2","note":"publisher: Al-Azhar University (Damietta), Faculty of Medicine","page":"2129-2132","source":"ijma.journals.ekb.eg","title":"The Role of Nebulized Methylene Blue [NMB] in The Management of COVID-19 Cases: An Observational Study","title-short":"The Role of Nebulized Methylene Blue [NMB] in The Management of COVID-19 Cases","URL":"https://ijma.journals.ekb.eg/article_215184.html","volume":"4","author":[{"family":"Patidar","given":"Vimlesh"},{"family":"Sharma","given":"Ashish"},{"family":"Bhoraskar","given":"Sanjay"},{"family":"Tripathi","given":"Ajay Prakash"},{"family":"Dhaneriya","given":"Saumin"}],"accessed":{"date-parts":[["2023",6,23]]},"issued":{"date-parts":[["2022",2,1]]}}}],"schema":"https://github.com/citation-style-language/schema/raw/master/csl-citation.json"} </w:instrText>
            </w:r>
            <w:r>
              <w:rPr>
                <w:rFonts w:ascii="Times New Roman" w:eastAsia="Times New Roman" w:hAnsi="Times New Roman" w:cs="Times New Roman"/>
                <w:color w:val="000000"/>
                <w:kern w:val="0"/>
                <w:sz w:val="14"/>
                <w:szCs w:val="14"/>
                <w:lang w:val="en-US" w:eastAsia="en-NL"/>
                <w14:ligatures w14:val="none"/>
              </w:rPr>
              <w:fldChar w:fldCharType="separate"/>
            </w:r>
            <w:r w:rsidRPr="00ED7D17">
              <w:rPr>
                <w:rFonts w:ascii="Times New Roman" w:hAnsi="Times New Roman" w:cs="Times New Roman"/>
                <w:kern w:val="0"/>
                <w:sz w:val="14"/>
                <w:szCs w:val="24"/>
              </w:rPr>
              <w:t>[25–27]</w:t>
            </w:r>
            <w:r>
              <w:rPr>
                <w:rFonts w:ascii="Times New Roman" w:eastAsia="Times New Roman" w:hAnsi="Times New Roman" w:cs="Times New Roman"/>
                <w:color w:val="000000"/>
                <w:kern w:val="0"/>
                <w:sz w:val="14"/>
                <w:szCs w:val="14"/>
                <w:lang w:val="en-US" w:eastAsia="en-NL"/>
                <w14:ligatures w14:val="none"/>
              </w:rPr>
              <w:fldChar w:fldCharType="end"/>
            </w:r>
            <w:r>
              <w:rPr>
                <w:rFonts w:ascii="Times New Roman" w:eastAsia="Times New Roman" w:hAnsi="Times New Roman" w:cs="Times New Roman"/>
                <w:color w:val="000000"/>
                <w:kern w:val="0"/>
                <w:sz w:val="14"/>
                <w:szCs w:val="14"/>
                <w:lang w:val="en-US" w:eastAsia="en-NL"/>
                <w14:ligatures w14:val="none"/>
              </w:rPr>
              <w:t>.</w:t>
            </w:r>
          </w:p>
          <w:p w14:paraId="47E57342" w14:textId="2B2DF6AC" w:rsidR="00A92A05" w:rsidRDefault="00A92A05" w:rsidP="00DD5124">
            <w:pPr>
              <w:rPr>
                <w:rFonts w:ascii="Times New Roman" w:eastAsia="Times New Roman" w:hAnsi="Times New Roman" w:cs="Times New Roman"/>
                <w:color w:val="000000"/>
                <w:kern w:val="0"/>
                <w:sz w:val="14"/>
                <w:szCs w:val="14"/>
                <w:lang w:val="en-US" w:eastAsia="en-NL"/>
                <w14:ligatures w14:val="none"/>
              </w:rPr>
            </w:pPr>
            <w:r>
              <w:rPr>
                <w:rFonts w:ascii="Times New Roman" w:eastAsia="Times New Roman" w:hAnsi="Times New Roman" w:cs="Times New Roman"/>
                <w:color w:val="000000"/>
                <w:kern w:val="0"/>
                <w:sz w:val="14"/>
                <w:szCs w:val="14"/>
                <w:lang w:val="en-US" w:eastAsia="en-NL"/>
                <w14:ligatures w14:val="none"/>
              </w:rPr>
              <w:t xml:space="preserve">Patients (lacking controls) show improvement with methylene blue </w:t>
            </w:r>
            <w:r>
              <w:rPr>
                <w:rFonts w:ascii="Times New Roman" w:eastAsia="Times New Roman" w:hAnsi="Times New Roman" w:cs="Times New Roman"/>
                <w:color w:val="000000"/>
                <w:kern w:val="0"/>
                <w:sz w:val="14"/>
                <w:szCs w:val="14"/>
                <w:lang w:val="en-US" w:eastAsia="en-NL"/>
                <w14:ligatures w14:val="none"/>
              </w:rPr>
              <w:fldChar w:fldCharType="begin"/>
            </w:r>
            <w:r>
              <w:rPr>
                <w:rFonts w:ascii="Times New Roman" w:eastAsia="Times New Roman" w:hAnsi="Times New Roman" w:cs="Times New Roman"/>
                <w:color w:val="000000"/>
                <w:kern w:val="0"/>
                <w:sz w:val="14"/>
                <w:szCs w:val="14"/>
                <w:lang w:val="en-US" w:eastAsia="en-NL"/>
                <w14:ligatures w14:val="none"/>
              </w:rPr>
              <w:instrText xml:space="preserve"> ADDIN ZOTERO_ITEM CSL_CITATION {"citationID":"u06uPkl5","properties":{"formattedCitation":"[27\\uc0\\u8211{}31]","plainCitation":"[27–31]","noteIndex":0},"citationItems":[{"id":11621,"uris":["http://zotero.org/users/7565624/items/94WDWFAV"],"itemData":{"id":11621,"type":"article-journal","abstract":"Background: Many new drugs were studied for desired action in COVID-19 disease dynamics. One such molecule is Methylene blue which is a tricyclic phenothiazine compound approved for the treatment of acquired methemoglobinemia. This molecule has shown some evidence of inhibiting the interaction of the COVID-19 virus and target cells in a dose dependent manner. There are many other proposals suggesting that the mechanisms of action of Nebulized Methylene Blue [NBM] molecule could be beneficial to the management of COVID-19. The Aim of the Work: To observe and evaluate the effect of NMB on the clinical course and outcomes of patients with COVID-19 infections.Patients and Methods: An observational study including a total of 63 COVID-19 RT-PCR positive cases divided in 3 groups.Results: Difference between mean d-dimer value and mean lactate dehydrogenase [LDH] values at day sixth of the intervention among three different groups were statically significant. A general trend of reduced hospital stays in groups getting NBE in groups 1, 2 vs. group 3 was observed [Viz. 9.17 days Vs. 12 days] though statistically non-significant. Fall in inflammatory markers and oxygen requirements in group receiving methylene blue [Groups 1 and 2] vs. control [Group 3] are noticeable.Conclusion: A general trend of fall in inflammatory markers and oxygen requirements among patients in groups receiving NMB. However, our results showed no significant differences in outcome measures for oxygen saturation and duration of hospitalisation among those receiving NMB.","container-title":"International Journal of Medical Arts","DOI":"10.21608/ijma.2022.112347.1416","ISSN":"2636-4174","issue":"2","note":"publisher: Al-Azhar University (Damietta), Faculty of Medicine","page":"2129-2132","source":"ijma.journals.ekb.eg","title":"The Role of Nebulized Methylene Blue [NMB] in The Management of COVID-19 Cases: An Observational Study","title-short":"The Role of Nebulized Methylene Blue [NMB] in The Management of COVID-19 Cases","URL":"https://ijma.journals.ekb.eg/article_215184.html","volume":"4","author":[{"family":"Patidar","given":"Vimlesh"},{"family":"Sharma","given":"Ashish"},{"family":"Bhoraskar","given":"Sanjay"},{"family":"Tripathi","given":"Ajay Prakash"},{"family":"Dhaneriya","given":"Saumin"}],"accessed":{"date-parts":[["2023",6,23]]},"issued":{"date-parts":[["2022",2,1]]}}},{"id":11626,"uris":["http://zotero.org/users/7565624/items/KDI479K2"],"itemData":{"id":11626,"type":"article-journal","abstract":"COVID-19 is a global catastrophic event that causes severe acute respiratory syndrome. The mechanism of the disease remains unclear, and hypoxia is one of the main complications. There is no currently approved protocol for treatment. The microbial threat as induced by COVID-19 causes the activation of macrophages to produce a huge amount of inflammatory molecules and nitric oxide (NO). Activation of macrophages population into a pro-inflammatory phenotype induces a self-reinforcing cycle. Oxidative stress and NO contribute to this cycle, establishing a cascade inflammatory state that can kill the patient. Interrupting this vicious cycle by a simple remedy may save critical patients’ lives. Nitrite, nitrate (the metabolites of NO), methemoglobin, and prooxidant-antioxidant-balance levels were measured in 25 ICU COVID-19 patients and 25 healthy individuals. As the last therapeutic option, five patients were administered methylene blue-vitamin C–N-acetyl Cysteine (MCN). Nitrite, nitrate, methemoglobin, and oxidative stress were significantly increased in patients in comparison to healthy individuals. Four of the five patients responded well to treatment. In conclusion, NO, methemoglobin and oxidative stress may play a central role in the pathogenesis of critical COVID-19 disease. MCN treatment seems to increase the survival rate of these patients. Considering the vicious cycle of macrophage activation leading to deadly NO, oxidative stress, and cytokine cascade syndrome; the therapeutic effect of MCN seems to be reasonable. Accordingly, a wider clinical trial has been designed. It should be noted that the protocol is using the low-cost drugs which the FDA approved for other diseases.\nTrial registration number\nNCT04370288.","container-title":"European Journal of Pharmacology","DOI":"10.1016/j.ejphar.2020.173494","ISSN":"0014-2999","journalAbbreviation":"European Journal of Pharmacology","language":"en","page":"173494","source":"ScienceDirect","title":"Application of methylene blue -vitamin C –N-acetyl cysteine for treatment of critically ill COVID-19 patients, report of a phase-I clinical trial","URL":"https://www.sciencedirect.com/science/article/pii/S0014299920305860","volume":"885","author":[{"family":"Alamdari","given":"Daryoush Hamidi"},{"family":"Moghaddam","given":"Ahmad Bagheri"},{"family":"Amini","given":"Shahram"},{"family":"Keramati","given":"Mohammad Reza"},{"family":"Zarmehri","given":"Azam Moradi"},{"family":"Alamdari","given":"Aida Hamidi"},{"family":"Damsaz","given":"Mohammadamin"},{"family":"Banpour","given":"Hamed"},{"family":"Yarahmadi","given":"Amir"},{"family":"Koliakos","given":"George"}],"accessed":{"date-parts":[["2023",6,23]]},"issued":{"date-parts":[["2020",10,15]]}}},{"id":11623,"uris":["http://zotero.org/users/7565624/items/X3UWYGAQ"],"itemData":{"id":11623,"type":"article-journal","abstract":"Objectives: To describe the clinical outcomes of hypoxic coronavirus disease 2019 (COVID-19) patients treated with intravenous methylene blue (MB) in a tertiary care hospital., Materials and methods: We conducted a case series of 50 patients with hypoxic COVID-19 treated with intravenous MB admitted to our hospital between June 01 and September 10, 2020. Intravenous MB was administered as rescue therapy in dosage of 1 mg/kg body weight, with a maximum of five doses, to patients with high oxygen requirements (SpO2/FiO2 &lt;200) apart from the standard of care after obtaining G6PD levels. Data were abstracted from multiple electronic data sources or patient charts to provide information on patient characteristics, clinical and laboratory variables and outcomes., Results: The median age of the patients was 53.3 (range 25–74 years) and most patients (74%) were men. About 68% of patients had pre-existing comorbidity. Median SpO2/FiO2 ratio progressively improved from 132.5 (predose) to 284 before the terminal event (death or discharge), ventilator-free days, and decrease in the proinflammatory biochemical parameter was significantly higher after the second dose of MB. A total of six patients out of 50 required invasive mechanical ventilation (IMV). Thirty patients were discharged with a recovery rate of 60%, while 20 patients succumbed to the illness. There was no major side effect or adverse event reported in any of the patients., Conclusion: MB due to its polypharmacological action against SARS‐CoV‐2, an inexpensive and widely available drug with minimal side effects, has a significant potential in the treatment of COVID-19., How to cite this article: Mahale N, Godavarthy P, Marreddy S, Gokhale SD, Funde P, Rajhans PA, et al. Intravenous Methylene Blue as a Rescue Therapy in the Management of Refractory Hypoxia in COVID-19 ARDS Patients: A Case Series. Indian J Crit Care Med 2021;25(8):934–938.","container-title":"Indian Journal of Critical Care Medicine : Peer-reviewed, Official Publication of Indian Society of Critical Care Medicine","DOI":"10.5005/jp-journals-10071-23905","ISSN":"0972-5229","issue":"8","journalAbbreviation":"Indian J Crit Care Med","note":"PMID: 34733037\nPMCID: PMC8559741","page":"934-938","source":"PubMed Central","title":"Intravenous Methylene Blue as a Rescue Therapy in the Management of Refractory Hypoxia in COVID-19 ARDS Patients: A Case Series","title-short":"Intravenous Methylene Blue as a Rescue Therapy in the Management of Refractory Hypoxia in COVID-19 ARDS Patients","URL":"https://www.ncbi.nlm.nih.gov/pmc/articles/PMC8559741/","volume":"25","author":[{"family":"Mahale","given":"Nilesh"},{"family":"Godavarthy","given":"Purushotham"},{"family":"Marreddy","given":"Srinath"},{"family":"Gokhale","given":"Snehal D"},{"family":"Funde","given":"Pradip"},{"family":"Rajhans","given":"Prasad A"},{"family":"Akole","given":"Prasad V"},{"family":"Pawar","given":"Balasaheb"},{"family":"Bhurke","given":"Bhagyashri"},{"family":"Dalvi","given":"Pradip"},{"family":"Marudwar","given":"Prasanna"},{"family":"Gugale","given":"Shradha"},{"family":"Shahane","given":"Manasi S"},{"family":"Kshirsagar","given":"Sarang N"},{"family":"Jog","given":"Sameer A"}],"accessed":{"date-parts":[["2023",6,23]]},"issued":{"date-parts":[["2021",8]]}}},{"id":11629,"uris":["http://zotero.org/users/7565624/items/8APVCC5K"],"itemData":{"id":11629,"type":"article-journal","abstract":"Background: In COVID-19, the respiratory tract is usually affected by SARS-CoV-2 infection. Due to viral transmission in the blood and an overwhelming inflammatory response, including cytokine storm, the condition can progress to acute respiratory distress syndrome and failure. Methylene\nblue is the only medicine that has been shown to reduce the excessive generation of reactive species and cytokines. Case Presentation: A 51-year-old male patient came to the hospital with shortness of breath. At room air, the patient was having 70% Spo2. The patient was treated with a\nnoninvasive ventilator (NIV) and Standard of care (SOC). Due to prolonged hypoxia and respiratory distress, the patient was treated with NIV and the methylene blue (MB) was given in a humidifier for 5 days. Result: Methylene blue resulted in a significant decrease in respiratory distress\nand a steep rise in Spo2. Conclusion: We suggest trying methylene blue as an additional intervention in COVID-related acute respiratory distress to avoid the disease's devastating consequences.","container-title":"Infectious Disorders - Drug TargetsDisorders)","DOI":"10.2174/1871526522666220317155947","issue":"6","journalAbbreviation":"Infectious Disorders - Drug TargetsDisorders)","page":"62-65","source":"IngentaConnect","title":"Does Methylene Blue Satisfy an Option in COVID-19 ARDS","volume":"22","author":[{"family":"Yella","given":"Sri H. T."},{"family":"Yella","given":"Sree Sudha Tanguturi"},{"family":"Sasanka","given":"Kota Sesha Brahma Shree Krishna"},{"family":"Thangaraju","given":"Pugazhenthan"}],"issued":{"date-parts":[["2022",9,1]]}}},{"id":11630,"uris":["http://zotero.org/users/7565624/items/YBDAXTEC"],"itemData":{"id":11630,"type":"article-journal","abstract":"We report the case of a cohort of 2500 French patients treated among others with methylene blue for cancer care. During the COVID-19 epidemics none of them developed influenza-like illness. Albeit this lack of infection might be by chance alone, it is possible that methylene blue might have a preventive effect for COVID-19 infection. This is in line with the antiviral activity of Chloroquine, a Methylene blue derivative. Both Chloroquine and Methylene blue have strong antiviral and anti- inflammatory properties probably linked to the change in intracellular pH and redox state.","container-title":"Substantia","DOI":"10.13128/Substantia-888","ISSN":"2532-3997","language":"en","license":"Copyright (c) 2020 Marc Henry, Mireille  Summa, Louis Patrick, Laurent Schwartz","page":"888-888","source":"riviste.fupress.net","title":"A cohort of cancer patients with no reported cases of SARS-CoV-2 infection: the possible preventive role of Methylene Blue","title-short":"A cohort of cancer patients with no reported cases of SARS-CoV-2 infection","URL":"https://riviste.fupress.net/index.php/subs/article/view/888","author":[{"family":"Henry","given":"Marc"},{"family":"Summa","given":"Mireille"},{"family":"Patrick","given":"Louis"},{"family":"Schwartz","given":"Laurent"}],"accessed":{"date-parts":[["2023",6,23]]},"issued":{"date-parts":[["2020",3,30]]}}}],"schema":"https://github.com/citation-style-language/schema/raw/master/csl-citation.json"} </w:instrText>
            </w:r>
            <w:r>
              <w:rPr>
                <w:rFonts w:ascii="Times New Roman" w:eastAsia="Times New Roman" w:hAnsi="Times New Roman" w:cs="Times New Roman"/>
                <w:color w:val="000000"/>
                <w:kern w:val="0"/>
                <w:sz w:val="14"/>
                <w:szCs w:val="14"/>
                <w:lang w:val="en-US" w:eastAsia="en-NL"/>
                <w14:ligatures w14:val="none"/>
              </w:rPr>
              <w:fldChar w:fldCharType="separate"/>
            </w:r>
            <w:r w:rsidRPr="00ED7D17">
              <w:rPr>
                <w:rFonts w:ascii="Times New Roman" w:hAnsi="Times New Roman" w:cs="Times New Roman"/>
                <w:kern w:val="0"/>
                <w:sz w:val="14"/>
                <w:szCs w:val="24"/>
              </w:rPr>
              <w:t>[27–31]</w:t>
            </w:r>
            <w:r>
              <w:rPr>
                <w:rFonts w:ascii="Times New Roman" w:eastAsia="Times New Roman" w:hAnsi="Times New Roman" w:cs="Times New Roman"/>
                <w:color w:val="000000"/>
                <w:kern w:val="0"/>
                <w:sz w:val="14"/>
                <w:szCs w:val="14"/>
                <w:lang w:val="en-US" w:eastAsia="en-NL"/>
                <w14:ligatures w14:val="none"/>
              </w:rPr>
              <w:fldChar w:fldCharType="end"/>
            </w:r>
          </w:p>
          <w:p w14:paraId="6A5E9B81" w14:textId="01A2F3D6" w:rsidR="00A92A05" w:rsidRPr="0072616C" w:rsidRDefault="00A92A05" w:rsidP="00DD5124">
            <w:pPr>
              <w:rPr>
                <w:rFonts w:ascii="Times New Roman" w:eastAsia="Times New Roman" w:hAnsi="Times New Roman" w:cs="Times New Roman"/>
                <w:color w:val="000000"/>
                <w:kern w:val="0"/>
                <w:sz w:val="14"/>
                <w:szCs w:val="14"/>
                <w:lang w:val="en-US" w:eastAsia="en-NL"/>
                <w14:ligatures w14:val="none"/>
              </w:rPr>
            </w:pPr>
          </w:p>
        </w:tc>
      </w:tr>
      <w:tr w:rsidR="00A92A05" w:rsidRPr="00903922" w14:paraId="347CDADE" w14:textId="37CBADA9" w:rsidTr="00B46704">
        <w:trPr>
          <w:trHeight w:val="300"/>
        </w:trPr>
        <w:tc>
          <w:tcPr>
            <w:tcW w:w="993" w:type="dxa"/>
            <w:noWrap/>
            <w:hideMark/>
          </w:tcPr>
          <w:p w14:paraId="338D46A6"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4DDC0E25"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NCT04547127</w:t>
            </w:r>
          </w:p>
        </w:tc>
        <w:tc>
          <w:tcPr>
            <w:tcW w:w="2168" w:type="dxa"/>
            <w:noWrap/>
            <w:hideMark/>
          </w:tcPr>
          <w:p w14:paraId="0E1771FE"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COMPLETED</w:t>
            </w:r>
          </w:p>
        </w:tc>
        <w:tc>
          <w:tcPr>
            <w:tcW w:w="4125" w:type="dxa"/>
          </w:tcPr>
          <w:p w14:paraId="1BD1EE1C"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29098E44" w14:textId="439D597B" w:rsidTr="00B46704">
        <w:trPr>
          <w:trHeight w:val="300"/>
        </w:trPr>
        <w:tc>
          <w:tcPr>
            <w:tcW w:w="993" w:type="dxa"/>
            <w:noWrap/>
            <w:hideMark/>
          </w:tcPr>
          <w:p w14:paraId="34E535F7"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58540ADD"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NCT04416113</w:t>
            </w:r>
          </w:p>
        </w:tc>
        <w:tc>
          <w:tcPr>
            <w:tcW w:w="2168" w:type="dxa"/>
            <w:noWrap/>
            <w:hideMark/>
          </w:tcPr>
          <w:p w14:paraId="2B319ABA"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ACTIVE_NOT_RECRUITING</w:t>
            </w:r>
          </w:p>
        </w:tc>
        <w:tc>
          <w:tcPr>
            <w:tcW w:w="4125" w:type="dxa"/>
          </w:tcPr>
          <w:p w14:paraId="067EA4DF"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6C693BE1" w14:textId="425FB317" w:rsidTr="00B46704">
        <w:trPr>
          <w:trHeight w:val="300"/>
        </w:trPr>
        <w:tc>
          <w:tcPr>
            <w:tcW w:w="993" w:type="dxa"/>
            <w:noWrap/>
            <w:hideMark/>
          </w:tcPr>
          <w:p w14:paraId="6EA37F1F"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1150BFDA"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NCT04619290</w:t>
            </w:r>
          </w:p>
        </w:tc>
        <w:tc>
          <w:tcPr>
            <w:tcW w:w="2168" w:type="dxa"/>
            <w:noWrap/>
            <w:hideMark/>
          </w:tcPr>
          <w:p w14:paraId="61DCBDC6"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UNKNOWN</w:t>
            </w:r>
          </w:p>
        </w:tc>
        <w:tc>
          <w:tcPr>
            <w:tcW w:w="4125" w:type="dxa"/>
          </w:tcPr>
          <w:p w14:paraId="6C664541"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1D5E63FF" w14:textId="69EFA5DC" w:rsidTr="00B46704">
        <w:trPr>
          <w:trHeight w:val="300"/>
        </w:trPr>
        <w:tc>
          <w:tcPr>
            <w:tcW w:w="993" w:type="dxa"/>
            <w:noWrap/>
            <w:hideMark/>
          </w:tcPr>
          <w:p w14:paraId="1C2B169C"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3C0F197E"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NCT04635605</w:t>
            </w:r>
          </w:p>
        </w:tc>
        <w:tc>
          <w:tcPr>
            <w:tcW w:w="2168" w:type="dxa"/>
            <w:noWrap/>
            <w:hideMark/>
          </w:tcPr>
          <w:p w14:paraId="2A51C0CE"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ACTIVE_NOT_RECRUITING</w:t>
            </w:r>
          </w:p>
        </w:tc>
        <w:tc>
          <w:tcPr>
            <w:tcW w:w="4125" w:type="dxa"/>
          </w:tcPr>
          <w:p w14:paraId="29BADDE3"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1BBA3D19" w14:textId="639DCACF" w:rsidTr="00B46704">
        <w:trPr>
          <w:trHeight w:val="300"/>
        </w:trPr>
        <w:tc>
          <w:tcPr>
            <w:tcW w:w="993" w:type="dxa"/>
            <w:noWrap/>
            <w:hideMark/>
          </w:tcPr>
          <w:p w14:paraId="492EFA37"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2A41DBE2"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NCT05003492</w:t>
            </w:r>
          </w:p>
        </w:tc>
        <w:tc>
          <w:tcPr>
            <w:tcW w:w="2168" w:type="dxa"/>
            <w:noWrap/>
            <w:hideMark/>
          </w:tcPr>
          <w:p w14:paraId="3B9D4704"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NOT_YET_RECRUITING</w:t>
            </w:r>
          </w:p>
        </w:tc>
        <w:tc>
          <w:tcPr>
            <w:tcW w:w="4125" w:type="dxa"/>
          </w:tcPr>
          <w:p w14:paraId="377A5BFA"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3F43E106" w14:textId="1A6C26B6" w:rsidTr="00B46704">
        <w:trPr>
          <w:trHeight w:val="300"/>
        </w:trPr>
        <w:tc>
          <w:tcPr>
            <w:tcW w:w="993" w:type="dxa"/>
            <w:noWrap/>
            <w:hideMark/>
          </w:tcPr>
          <w:p w14:paraId="52C696FC"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279B3683"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NCT04370288</w:t>
            </w:r>
          </w:p>
        </w:tc>
        <w:tc>
          <w:tcPr>
            <w:tcW w:w="2168" w:type="dxa"/>
            <w:noWrap/>
            <w:hideMark/>
          </w:tcPr>
          <w:p w14:paraId="088707D3"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UNKNOWN</w:t>
            </w:r>
          </w:p>
        </w:tc>
        <w:tc>
          <w:tcPr>
            <w:tcW w:w="4125" w:type="dxa"/>
          </w:tcPr>
          <w:p w14:paraId="4215E6FD"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39FFDCD4" w14:textId="2CB82688" w:rsidTr="00B46704">
        <w:trPr>
          <w:trHeight w:val="300"/>
        </w:trPr>
        <w:tc>
          <w:tcPr>
            <w:tcW w:w="993" w:type="dxa"/>
            <w:noWrap/>
            <w:hideMark/>
          </w:tcPr>
          <w:p w14:paraId="2A1C85F0"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234B0B1A"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NCT04376788</w:t>
            </w:r>
          </w:p>
        </w:tc>
        <w:tc>
          <w:tcPr>
            <w:tcW w:w="2168" w:type="dxa"/>
            <w:noWrap/>
            <w:hideMark/>
          </w:tcPr>
          <w:p w14:paraId="10F59FCB"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UNKNOWN</w:t>
            </w:r>
          </w:p>
        </w:tc>
        <w:tc>
          <w:tcPr>
            <w:tcW w:w="4125" w:type="dxa"/>
          </w:tcPr>
          <w:p w14:paraId="2FAAE967"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4CA45BAA" w14:textId="7CF97BA7" w:rsidTr="00B46704">
        <w:trPr>
          <w:trHeight w:val="300"/>
        </w:trPr>
        <w:tc>
          <w:tcPr>
            <w:tcW w:w="993" w:type="dxa"/>
            <w:noWrap/>
            <w:hideMark/>
          </w:tcPr>
          <w:p w14:paraId="27C77FB1"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2B7A7880"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NCT04933864</w:t>
            </w:r>
          </w:p>
        </w:tc>
        <w:tc>
          <w:tcPr>
            <w:tcW w:w="2168" w:type="dxa"/>
            <w:noWrap/>
            <w:hideMark/>
          </w:tcPr>
          <w:p w14:paraId="146DA01E"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COMPLETED</w:t>
            </w:r>
          </w:p>
        </w:tc>
        <w:tc>
          <w:tcPr>
            <w:tcW w:w="4125" w:type="dxa"/>
          </w:tcPr>
          <w:p w14:paraId="0A09A850"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018880D5" w14:textId="00D9200A" w:rsidTr="00B46704">
        <w:trPr>
          <w:trHeight w:val="300"/>
        </w:trPr>
        <w:tc>
          <w:tcPr>
            <w:tcW w:w="993" w:type="dxa"/>
            <w:noWrap/>
            <w:hideMark/>
          </w:tcPr>
          <w:p w14:paraId="585D6E82"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136564B2"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NCT05753878</w:t>
            </w:r>
          </w:p>
        </w:tc>
        <w:tc>
          <w:tcPr>
            <w:tcW w:w="2168" w:type="dxa"/>
            <w:noWrap/>
            <w:hideMark/>
          </w:tcPr>
          <w:p w14:paraId="33D4B09F"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ACTIVE_NOT_RECRUITING</w:t>
            </w:r>
          </w:p>
        </w:tc>
        <w:tc>
          <w:tcPr>
            <w:tcW w:w="4125" w:type="dxa"/>
          </w:tcPr>
          <w:p w14:paraId="24AEDD73"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59006DAF" w14:textId="3B75B351" w:rsidTr="00B46704">
        <w:trPr>
          <w:trHeight w:val="300"/>
        </w:trPr>
        <w:tc>
          <w:tcPr>
            <w:tcW w:w="993" w:type="dxa"/>
            <w:noWrap/>
            <w:hideMark/>
          </w:tcPr>
          <w:p w14:paraId="6CC32047"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14BA26C7"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NCT04621123</w:t>
            </w:r>
          </w:p>
        </w:tc>
        <w:tc>
          <w:tcPr>
            <w:tcW w:w="2168" w:type="dxa"/>
            <w:noWrap/>
            <w:hideMark/>
          </w:tcPr>
          <w:p w14:paraId="446E5D5C"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COMPLETED</w:t>
            </w:r>
          </w:p>
        </w:tc>
        <w:tc>
          <w:tcPr>
            <w:tcW w:w="4125" w:type="dxa"/>
          </w:tcPr>
          <w:p w14:paraId="2D6CF3A2"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650BADDF" w14:textId="3C81E3EA" w:rsidTr="00B46704">
        <w:trPr>
          <w:trHeight w:val="300"/>
        </w:trPr>
        <w:tc>
          <w:tcPr>
            <w:tcW w:w="993" w:type="dxa"/>
            <w:noWrap/>
            <w:hideMark/>
          </w:tcPr>
          <w:p w14:paraId="007CB58F"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p>
        </w:tc>
        <w:tc>
          <w:tcPr>
            <w:tcW w:w="1126" w:type="dxa"/>
            <w:noWrap/>
            <w:hideMark/>
          </w:tcPr>
          <w:p w14:paraId="4B4DE067"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NCT04615936</w:t>
            </w:r>
          </w:p>
        </w:tc>
        <w:tc>
          <w:tcPr>
            <w:tcW w:w="2168" w:type="dxa"/>
            <w:noWrap/>
            <w:hideMark/>
          </w:tcPr>
          <w:p w14:paraId="05A6A4C4" w14:textId="77777777" w:rsidR="00A92A05" w:rsidRPr="00DD5124" w:rsidRDefault="00A92A05" w:rsidP="00DD5124">
            <w:pPr>
              <w:rPr>
                <w:rFonts w:ascii="Times New Roman" w:eastAsia="Times New Roman" w:hAnsi="Times New Roman" w:cs="Times New Roman"/>
                <w:color w:val="000000"/>
                <w:kern w:val="0"/>
                <w:sz w:val="14"/>
                <w:szCs w:val="14"/>
                <w:lang w:eastAsia="en-NL"/>
                <w14:ligatures w14:val="none"/>
              </w:rPr>
            </w:pPr>
            <w:r w:rsidRPr="00DD5124">
              <w:rPr>
                <w:rFonts w:ascii="Times New Roman" w:eastAsia="Times New Roman" w:hAnsi="Times New Roman" w:cs="Times New Roman"/>
                <w:color w:val="000000"/>
                <w:kern w:val="0"/>
                <w:sz w:val="14"/>
                <w:szCs w:val="14"/>
                <w:lang w:eastAsia="en-NL"/>
                <w14:ligatures w14:val="none"/>
              </w:rPr>
              <w:t>COMPLETED</w:t>
            </w:r>
          </w:p>
        </w:tc>
        <w:tc>
          <w:tcPr>
            <w:tcW w:w="4125" w:type="dxa"/>
          </w:tcPr>
          <w:p w14:paraId="5E11624B" w14:textId="77777777" w:rsidR="00A92A05" w:rsidRPr="00903922" w:rsidRDefault="00A92A05" w:rsidP="00DD5124">
            <w:pPr>
              <w:rPr>
                <w:rFonts w:ascii="Times New Roman" w:eastAsia="Times New Roman" w:hAnsi="Times New Roman" w:cs="Times New Roman"/>
                <w:color w:val="000000"/>
                <w:kern w:val="0"/>
                <w:sz w:val="14"/>
                <w:szCs w:val="14"/>
                <w:lang w:eastAsia="en-NL"/>
                <w14:ligatures w14:val="none"/>
              </w:rPr>
            </w:pPr>
          </w:p>
        </w:tc>
      </w:tr>
      <w:tr w:rsidR="00A92A05" w:rsidRPr="00903922" w14:paraId="59724652" w14:textId="77777777" w:rsidTr="00B46704">
        <w:trPr>
          <w:trHeight w:val="300"/>
        </w:trPr>
        <w:tc>
          <w:tcPr>
            <w:tcW w:w="993" w:type="dxa"/>
            <w:noWrap/>
          </w:tcPr>
          <w:p w14:paraId="4954EADC" w14:textId="08A3C77F" w:rsidR="00A92A05" w:rsidRPr="00903922" w:rsidRDefault="00A92A05" w:rsidP="00DD5124">
            <w:pPr>
              <w:rPr>
                <w:rFonts w:ascii="Times New Roman" w:eastAsia="Times New Roman" w:hAnsi="Times New Roman" w:cs="Times New Roman"/>
                <w:color w:val="000000"/>
                <w:kern w:val="0"/>
                <w:sz w:val="14"/>
                <w:szCs w:val="14"/>
                <w:lang w:val="en-US" w:eastAsia="en-NL"/>
                <w14:ligatures w14:val="none"/>
              </w:rPr>
            </w:pPr>
            <w:r w:rsidRPr="00903922">
              <w:rPr>
                <w:rFonts w:ascii="Times New Roman" w:eastAsia="Times New Roman" w:hAnsi="Times New Roman" w:cs="Times New Roman"/>
                <w:color w:val="000000"/>
                <w:kern w:val="0"/>
                <w:sz w:val="14"/>
                <w:szCs w:val="14"/>
                <w:lang w:val="en-US" w:eastAsia="en-NL"/>
                <w14:ligatures w14:val="none"/>
              </w:rPr>
              <w:t>Vitamin C</w:t>
            </w:r>
          </w:p>
        </w:tc>
        <w:tc>
          <w:tcPr>
            <w:tcW w:w="1126" w:type="dxa"/>
            <w:noWrap/>
          </w:tcPr>
          <w:p w14:paraId="1D54F534" w14:textId="61A3371B" w:rsidR="00A92A05" w:rsidRPr="00903922" w:rsidRDefault="00A92A05" w:rsidP="00DD5124">
            <w:pPr>
              <w:rPr>
                <w:rFonts w:ascii="Times New Roman" w:eastAsia="Times New Roman" w:hAnsi="Times New Roman" w:cs="Times New Roman"/>
                <w:color w:val="000000"/>
                <w:kern w:val="0"/>
                <w:sz w:val="14"/>
                <w:szCs w:val="14"/>
                <w:lang w:val="en-US" w:eastAsia="en-NL"/>
                <w14:ligatures w14:val="none"/>
              </w:rPr>
            </w:pPr>
            <w:r w:rsidRPr="00903922">
              <w:rPr>
                <w:rFonts w:ascii="Times New Roman" w:eastAsia="Times New Roman" w:hAnsi="Times New Roman" w:cs="Times New Roman"/>
                <w:color w:val="000000"/>
                <w:kern w:val="0"/>
                <w:sz w:val="14"/>
                <w:szCs w:val="14"/>
                <w:lang w:val="en-US" w:eastAsia="en-NL"/>
                <w14:ligatures w14:val="none"/>
              </w:rPr>
              <w:t>71 Studies for all spike protein related diseases</w:t>
            </w:r>
          </w:p>
          <w:p w14:paraId="59C2CA52" w14:textId="1A35B1D5" w:rsidR="00A92A05" w:rsidRPr="00903922" w:rsidRDefault="00A92A05" w:rsidP="00DD5124">
            <w:pPr>
              <w:rPr>
                <w:rFonts w:ascii="Times New Roman" w:eastAsia="Times New Roman" w:hAnsi="Times New Roman" w:cs="Times New Roman"/>
                <w:color w:val="000000"/>
                <w:kern w:val="0"/>
                <w:sz w:val="14"/>
                <w:szCs w:val="14"/>
                <w:lang w:val="en-US" w:eastAsia="en-NL"/>
                <w14:ligatures w14:val="none"/>
              </w:rPr>
            </w:pPr>
            <w:r w:rsidRPr="00903922">
              <w:rPr>
                <w:rFonts w:ascii="Times New Roman" w:eastAsia="Times New Roman" w:hAnsi="Times New Roman" w:cs="Times New Roman"/>
                <w:color w:val="000000"/>
                <w:kern w:val="0"/>
                <w:sz w:val="14"/>
                <w:szCs w:val="14"/>
                <w:lang w:val="en-US" w:eastAsia="en-NL"/>
                <w14:ligatures w14:val="none"/>
              </w:rPr>
              <w:t>1 study for long Covid or vaccine injury</w:t>
            </w:r>
          </w:p>
        </w:tc>
        <w:tc>
          <w:tcPr>
            <w:tcW w:w="2168" w:type="dxa"/>
            <w:noWrap/>
          </w:tcPr>
          <w:p w14:paraId="20D881CF" w14:textId="65726C31" w:rsidR="00A92A05" w:rsidRPr="00903922" w:rsidRDefault="00A92A05" w:rsidP="00DD5124">
            <w:pPr>
              <w:rPr>
                <w:rFonts w:ascii="Times New Roman" w:eastAsia="Times New Roman" w:hAnsi="Times New Roman" w:cs="Times New Roman"/>
                <w:color w:val="000000"/>
                <w:kern w:val="0"/>
                <w:sz w:val="14"/>
                <w:szCs w:val="14"/>
                <w:lang w:val="en-US" w:eastAsia="en-NL"/>
                <w14:ligatures w14:val="none"/>
              </w:rPr>
            </w:pPr>
          </w:p>
        </w:tc>
        <w:tc>
          <w:tcPr>
            <w:tcW w:w="4125" w:type="dxa"/>
          </w:tcPr>
          <w:p w14:paraId="2CF8A9C2" w14:textId="344E86CC" w:rsidR="00A92A05" w:rsidRPr="003135D5" w:rsidRDefault="00A92A05" w:rsidP="00DD5124">
            <w:pPr>
              <w:rPr>
                <w:rFonts w:ascii="Times New Roman" w:eastAsia="Times New Roman" w:hAnsi="Times New Roman" w:cs="Times New Roman"/>
                <w:color w:val="000000"/>
                <w:kern w:val="0"/>
                <w:sz w:val="14"/>
                <w:szCs w:val="14"/>
                <w:lang w:val="en-US" w:eastAsia="en-NL"/>
                <w14:ligatures w14:val="none"/>
              </w:rPr>
            </w:pPr>
            <w:r>
              <w:rPr>
                <w:rFonts w:ascii="Times New Roman" w:eastAsia="Times New Roman" w:hAnsi="Times New Roman" w:cs="Times New Roman"/>
                <w:color w:val="000000"/>
                <w:kern w:val="0"/>
                <w:sz w:val="14"/>
                <w:szCs w:val="14"/>
                <w:lang w:val="en-US" w:eastAsia="en-NL"/>
                <w14:ligatures w14:val="none"/>
              </w:rPr>
              <w:t xml:space="preserve">Decrease in severity but not statistically significant </w:t>
            </w:r>
            <w:r>
              <w:rPr>
                <w:rFonts w:ascii="Times New Roman" w:eastAsia="Times New Roman" w:hAnsi="Times New Roman" w:cs="Times New Roman"/>
                <w:color w:val="000000"/>
                <w:kern w:val="0"/>
                <w:sz w:val="14"/>
                <w:szCs w:val="14"/>
                <w:lang w:val="en-US" w:eastAsia="en-NL"/>
                <w14:ligatures w14:val="none"/>
              </w:rPr>
              <w:fldChar w:fldCharType="begin"/>
            </w:r>
            <w:r>
              <w:rPr>
                <w:rFonts w:ascii="Times New Roman" w:eastAsia="Times New Roman" w:hAnsi="Times New Roman" w:cs="Times New Roman"/>
                <w:color w:val="000000"/>
                <w:kern w:val="0"/>
                <w:sz w:val="14"/>
                <w:szCs w:val="14"/>
                <w:lang w:val="en-US" w:eastAsia="en-NL"/>
                <w14:ligatures w14:val="none"/>
              </w:rPr>
              <w:instrText xml:space="preserve"> ADDIN ZOTERO_ITEM CSL_CITATION {"citationID":"eylEsk7m","properties":{"formattedCitation":"[32,33]","plainCitation":"[32,33]","noteIndex":0},"citationItems":[{"id":11632,"uris":["http://zotero.org/users/7565624/items/KBJMSLNC"],"itemData":{"id":11632,"type":"article-journal","abstract":"Background and aims\nVitamin C has been used as an anti-oxidant in various diseases including viral illnesses like coronavirus disease (COVID-19).\nMethods\nMeta-analysis of randomized controlled trials (RCT) investigating the role of vitamin C supplementation in COVID-19 was carried out.\nResults\nTotal 6 RCTs including n = 572 patients were included. Vitamin C treatment didn't reduce mortality (RR 0.73, 95% CI 0.42 to 1.27; I2 = 0%; P = 0.27), ICU length of stay [SMD 0.29, 95% CI -0.05 to 0.63; I2 = 0%; P = 0.09), hospital length of stay (SMD -0.23, 95% CI -1.04 to 0.58; I2 = 92%; P = 0.57) and need for invasive mechanical ventilation (Risk Ratio 0.93, 95% CI 0.61 to 1.44; I2 = 0%; P = 0.76). Further sub-group analysis based on severity of illness (severe vs. non-severe), route of administration (IV vs. oral) and dose (high vs. low) failed to show any observable benefits.\nConclusion\nNo significant benefit noted with vitamin C administration in COVID-19. Well-designed RCTs with standardized control group needed on this aspect.","container-title":"Diabetes &amp; Metabolic Syndrome: Clinical Research &amp; Reviews","DOI":"10.1016/j.dsx.2021.102324","ISSN":"1871-4021","issue":"6","journalAbbreviation":"Diabetes &amp; Metabolic Syndrome: Clinical Research &amp; Reviews","language":"en","page":"102324","source":"ScienceDirect","title":"Vitamin C and COVID-19 treatment: A systematic review and meta-analysis of randomized controlled trials","title-short":"Vitamin C and COVID-19 treatment","URL":"https://www.sciencedirect.com/science/article/pii/S1871402121003441","volume":"15","author":[{"family":"Rawat","given":"Dimple"},{"family":"Roy","given":"Avishek"},{"family":"Maitra","given":"Souvik"},{"family":"Gulati","given":"Arti"},{"family":"Khanna","given":"Puneet"},{"family":"Baidya","given":"Dalim Kumar"}],"accessed":{"date-parts":[["2023",6,23]]},"issued":{"date-parts":[["2021",11,1]]}}},{"id":11635,"uris":["http://zotero.org/users/7565624/items/SJ8Y99AC"],"itemData":{"id":11635,"type":"article-journal","abstract":"In numerous animal studies, vitamin C has prevented and alleviated viral and bacterial infections. In a few dozen placebo-controlled trials with humans, vitamin C has shortened infections caused by respiratory viruses, which indicates that the vitamin can also influence viral infections in humans. In critically ill patients, plasma vitamin C levels are commonly very low. Gram doses of vitamin C are needed to increase the plasma vitamin C levels of critically ill patients to the levels of ordinary healthy people. A meta-analysis of 12 trials with 1,766 patients calculated that vitamin C reduced the length of ICU stay on average by 8%. Another meta-analysis found that vitamin C shortened the duration of mechanical ventilation in ICU patients. Two randomized placebo-controlled trials found statistically significant reduction in the mortality of sepsis patients. The effects of vitamin C on acute respiratory distress syndrome (ARDS) frequently complicating COVID-19 pneumonia should be considered. Vitamin C is a safe and inexpensive essential nutrient.","container-title":"Frontiers in Medicine","ISSN":"2296-858X","source":"Frontiers","title":"Vitamin C and COVID-19","URL":"https://www.frontiersin.org/articles/10.3389/fmed.2020.559811","volume":"7","author":[{"family":"Hemilä","given":"Harri"},{"family":"Man","given":"Angelique M. E.","non-dropping-particle":"de"}],"accessed":{"date-parts":[["2023",6,23]]},"issued":{"date-parts":[["2021"]]}}}],"schema":"https://github.com/citation-style-language/schema/raw/master/csl-citation.json"} </w:instrText>
            </w:r>
            <w:r>
              <w:rPr>
                <w:rFonts w:ascii="Times New Roman" w:eastAsia="Times New Roman" w:hAnsi="Times New Roman" w:cs="Times New Roman"/>
                <w:color w:val="000000"/>
                <w:kern w:val="0"/>
                <w:sz w:val="14"/>
                <w:szCs w:val="14"/>
                <w:lang w:val="en-US" w:eastAsia="en-NL"/>
                <w14:ligatures w14:val="none"/>
              </w:rPr>
              <w:fldChar w:fldCharType="separate"/>
            </w:r>
            <w:r w:rsidRPr="003135D5">
              <w:rPr>
                <w:rFonts w:ascii="Times New Roman" w:hAnsi="Times New Roman" w:cs="Times New Roman"/>
                <w:sz w:val="14"/>
              </w:rPr>
              <w:t>[32,33]</w:t>
            </w:r>
            <w:r>
              <w:rPr>
                <w:rFonts w:ascii="Times New Roman" w:eastAsia="Times New Roman" w:hAnsi="Times New Roman" w:cs="Times New Roman"/>
                <w:color w:val="000000"/>
                <w:kern w:val="0"/>
                <w:sz w:val="14"/>
                <w:szCs w:val="14"/>
                <w:lang w:val="en-US" w:eastAsia="en-NL"/>
                <w14:ligatures w14:val="none"/>
              </w:rPr>
              <w:fldChar w:fldCharType="end"/>
            </w:r>
          </w:p>
        </w:tc>
      </w:tr>
      <w:tr w:rsidR="00A92A05" w:rsidRPr="00903922" w14:paraId="0A839116" w14:textId="77777777" w:rsidTr="00B46704">
        <w:trPr>
          <w:trHeight w:val="300"/>
        </w:trPr>
        <w:tc>
          <w:tcPr>
            <w:tcW w:w="993" w:type="dxa"/>
            <w:noWrap/>
          </w:tcPr>
          <w:p w14:paraId="0DCF0716" w14:textId="6E34B606"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r w:rsidRPr="00903922">
              <w:rPr>
                <w:rFonts w:ascii="Times New Roman" w:eastAsia="Times New Roman" w:hAnsi="Times New Roman" w:cs="Times New Roman"/>
                <w:color w:val="000000"/>
                <w:kern w:val="0"/>
                <w:sz w:val="14"/>
                <w:szCs w:val="14"/>
                <w:lang w:val="en-US" w:eastAsia="en-NL"/>
                <w14:ligatures w14:val="none"/>
              </w:rPr>
              <w:t>NAC</w:t>
            </w:r>
          </w:p>
        </w:tc>
        <w:tc>
          <w:tcPr>
            <w:tcW w:w="1126" w:type="dxa"/>
            <w:noWrap/>
          </w:tcPr>
          <w:p w14:paraId="5A4F9CE6" w14:textId="7A82A141" w:rsidR="00A92A05" w:rsidRPr="00903922" w:rsidRDefault="00A92A05" w:rsidP="009C50C6">
            <w:pPr>
              <w:rPr>
                <w:rFonts w:ascii="Roboto" w:hAnsi="Roboto"/>
                <w:color w:val="1B1B1B"/>
                <w:sz w:val="14"/>
                <w:szCs w:val="14"/>
                <w:shd w:val="clear" w:color="auto" w:fill="FFFFFF"/>
              </w:rPr>
            </w:pPr>
            <w:r w:rsidRPr="00903922">
              <w:rPr>
                <w:rFonts w:ascii="Calibri" w:hAnsi="Calibri" w:cs="Calibri"/>
                <w:color w:val="000000"/>
                <w:sz w:val="14"/>
                <w:szCs w:val="14"/>
              </w:rPr>
              <w:t>NCT04545008</w:t>
            </w:r>
          </w:p>
        </w:tc>
        <w:tc>
          <w:tcPr>
            <w:tcW w:w="2168" w:type="dxa"/>
            <w:noWrap/>
          </w:tcPr>
          <w:p w14:paraId="3B430F74" w14:textId="00713DD1"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r w:rsidRPr="00903922">
              <w:rPr>
                <w:rFonts w:ascii="Calibri" w:hAnsi="Calibri" w:cs="Calibri"/>
                <w:color w:val="000000"/>
                <w:sz w:val="14"/>
                <w:szCs w:val="14"/>
              </w:rPr>
              <w:t>TERMINATED</w:t>
            </w:r>
          </w:p>
        </w:tc>
        <w:tc>
          <w:tcPr>
            <w:tcW w:w="4125" w:type="dxa"/>
          </w:tcPr>
          <w:p w14:paraId="16B49E33" w14:textId="5332584A" w:rsidR="00A92A05" w:rsidRPr="00A3084A" w:rsidRDefault="00A92A05" w:rsidP="009C50C6">
            <w:pPr>
              <w:rPr>
                <w:rFonts w:ascii="Times New Roman" w:eastAsia="Times New Roman" w:hAnsi="Times New Roman" w:cs="Times New Roman"/>
                <w:color w:val="000000"/>
                <w:kern w:val="0"/>
                <w:sz w:val="14"/>
                <w:szCs w:val="14"/>
                <w:lang w:val="en-US" w:eastAsia="en-NL"/>
                <w14:ligatures w14:val="none"/>
              </w:rPr>
            </w:pPr>
            <w:r>
              <w:rPr>
                <w:rFonts w:ascii="Times New Roman" w:eastAsia="Times New Roman" w:hAnsi="Times New Roman" w:cs="Times New Roman"/>
                <w:color w:val="000000"/>
                <w:kern w:val="0"/>
                <w:sz w:val="14"/>
                <w:szCs w:val="14"/>
                <w:lang w:val="en-US" w:eastAsia="en-NL"/>
                <w14:ligatures w14:val="none"/>
              </w:rPr>
              <w:t xml:space="preserve">Significant improvement </w:t>
            </w:r>
            <w:r>
              <w:rPr>
                <w:rFonts w:ascii="Times New Roman" w:eastAsia="Times New Roman" w:hAnsi="Times New Roman" w:cs="Times New Roman"/>
                <w:color w:val="000000"/>
                <w:kern w:val="0"/>
                <w:sz w:val="14"/>
                <w:szCs w:val="14"/>
                <w:lang w:val="en-US" w:eastAsia="en-NL"/>
                <w14:ligatures w14:val="none"/>
              </w:rPr>
              <w:fldChar w:fldCharType="begin"/>
            </w:r>
            <w:r>
              <w:rPr>
                <w:rFonts w:ascii="Times New Roman" w:eastAsia="Times New Roman" w:hAnsi="Times New Roman" w:cs="Times New Roman"/>
                <w:color w:val="000000"/>
                <w:kern w:val="0"/>
                <w:sz w:val="14"/>
                <w:szCs w:val="14"/>
                <w:lang w:val="en-US" w:eastAsia="en-NL"/>
                <w14:ligatures w14:val="none"/>
              </w:rPr>
              <w:instrText xml:space="preserve"> ADDIN ZOTERO_ITEM CSL_CITATION {"citationID":"2bbm03AA","properties":{"formattedCitation":"[34,35]","plainCitation":"[34,35]","noteIndex":0},"citationItems":[{"id":11642,"uris":["http://zotero.org/users/7565624/items/3KDM9HVI"],"itemData":{"id":11642,"type":"article-journal","abstract":"Background N-acetyl-cysteine (NAC) has been previously shown to exert beneficial effects in diverse respiratory diseases, through antioxidant and anti-inflammatory actions. Our aim was to evaluate NAC potential impact in hospitalised patients with COVID-19 pneumonia, in terms of progression to severe respiratory failure (SRF) and mortality.Patients and Methods This retrospective, two-centre cohort study included consecutive patients hospitalised with moderate or severe COVID-19 pneumonia. Patients who received standard of care were compared with patients who additionally received NAC 600 mg bid orally for 14 days. Patients’ clinical course was recorded regarding (i) the development of SRF (PO2/FiO2 &lt;150) requiring mechanical ventilation support and (ii) mortality at 14 and 28 days.Results A total of 82 patients were included, 42 in the NAC group and 40 in the control group. Treatment with oral NAC led to significantly lower rates of progression to SRF as compared to the control group (p &lt; .01). Patients in the NAC group presented significantly lower 14- and 28-day mortality as compared to controls (p &lt; .001 and p &lt; .01 respectively). NAC treatment significantly reduced 14- and 28-day mortality in patients with severe disease (p &lt; .001, respectively). NAC improved over time the PO2/FiO2 ratio and decreased the white blood cell, CRP, D-dimers and LDH levels. In the multivariable logistic regression analysis, non-severe illness and NAC administration were independent predictors of 28-days survival.Conclusion Oral NAC administration (1200 mg/d) in patients with COVID-19 pneumonia reduces the risk for mechanical ventilation and mortality. Our findings need to be confirmed by properly designed prospective clinical trials.","container-title":"Infectious Diseases","DOI":"10.1080/23744235.2021.1945675","ISSN":"2374-4235","issue":"11","note":"publisher: Taylor &amp; Francis\n_eprint: https://doi.org/10.1080/23744235.2021.1945675\nPMID: 34182881","page":"847-854","source":"Taylor and Francis+NEJM","title":"N-acetyl-cysteine reduces the risk for mechanical ventilation and mortality in patients with COVID-19 pneumonia: a two-center retrospective cohort study","title-short":"N-acetyl-cysteine reduces the risk for mechanical ventilation and mortality in patients with COVID-19 pneumonia","URL":"https://doi.org/10.1080/23744235.2021.1945675","volume":"53","author":[{"family":"Assimakopoulos","given":"Stelios F."},{"family":"Aretha","given":"Diamanto"},{"family":"Komninos","given":"Dimitris"},{"family":"Dimitropoulou","given":"Dimitra"},{"family":"Lagadinou","given":"Maria"},{"family":"Leonidou","given":"Lydia"},{"family":"Oikonomou","given":"Ioanna"},{"family":"Mouzaki","given":"Athanasia"},{"family":"Marangos","given":"Markos"}],"accessed":{"date-parts":[["2023",6,23]]},"issued":{"date-parts":[["2021",11,2]]}}},{"id":11637,"uris":["http://zotero.org/users/7565624/items/3UQDVXKQ"],"itemData":{"id":11637,"type":"article-journal","abstract":"Abstract\n            Background: N-acetylcysteine (NAC) is a mucolytic agents with anti-inflammatory properties that has been suggested as an adjunctive therapy in patients with COVID-19 pneumonia. Objectives: We conducted a systematic review and meta-analysis to evaluate available evidence on the possible beneficial effects of NAC on SARS-CoV-2 infection.\n            Methods: In September 2022, we conducted a comprehensive search on Pubmed/Medline and Embase on randomized controlled trials (RCTs) and observational studies on NAC in patients with COVID-19 pneumonia. Study selection, data extraction and risk of bias assessment was performed by two independent authors. RCTs and observational studies were analyzed separately.\n            \n              Results: We included 3 RCTs and 5 non-randomized studies on the efficacy of NAC in patients with COVID-19, enrolling 315 and 20826 patients respectively. Regarding in-hospital mortality, the summary effect of all RCTs was OR: 0.85 (95% CI: 0.43 to 1.67, I\n              2\n              =0%) and for non-randomized studies OR: 1.02 (95% CI: 0.47 to 2.23, I\n              2\n              =91%). Need for ICU admission was only reported by 1 RCT (OR: 0.86, 95% CI:0.44-1.69, p=0.66), while all included RCTs reported need for invasive ventilation (OR:0.91, 95% CI:0.54 to 1.53, I\n              2\n              =0). Risk of bias was low for all included RCTs, but certainty of evidence was very low for all outcomes due to serious imprecision and indirectness.\n            \n            Conclusion: The certainty of evidence in the included studies was very low, thus recommendations for clinical practice cannot be yet made. For all hard clinical outcomes point estimates in RCTs are close to the line of no effect, while observational studies have a high degree of heterogeneity with some of them suggesting favorable results in patients receiving NAC. More research is warranted to insure that NAC is both effective and safe in patients with COVID-19 pneumonia.","container-title":"Romanian Journal of Internal Medicine","DOI":"10.2478/rjim-2023-0001","ISSN":"2501-062X","issue":"1","language":"en","page":"41-52","source":"DOI.org (Crossref)","title":"N-acetylcysteine efficacy in patients hospitalized with COVID-19 pneumonia: a systematic review and meta-analysis","title-short":"N-acetylcysteine efficacy in patients hospitalized with COVID-19 pneumonia","URL":"https://www.sciendo.com/article/10.2478/rjim-2023-0001","volume":"61","author":[{"family":"Paraskevas","given":"Themistoklis"},{"family":"Kantanis","given":"Anastasios"},{"family":"Karalis","given":"Iosif"},{"family":"Michailides","given":"Christos"},{"family":"Karamouzos","given":"Vasileios"},{"family":"Koniari","given":"Ioanna"},{"family":"Pierrakos","given":"Charalampos"},{"family":"Velissaris","given":"Dimitrios"}],"accessed":{"date-parts":[["2023",6,23]]},"issued":{"date-parts":[["2023",3,1]]}}}],"schema":"https://github.com/citation-style-language/schema/raw/master/csl-citation.json"} </w:instrText>
            </w:r>
            <w:r>
              <w:rPr>
                <w:rFonts w:ascii="Times New Roman" w:eastAsia="Times New Roman" w:hAnsi="Times New Roman" w:cs="Times New Roman"/>
                <w:color w:val="000000"/>
                <w:kern w:val="0"/>
                <w:sz w:val="14"/>
                <w:szCs w:val="14"/>
                <w:lang w:val="en-US" w:eastAsia="en-NL"/>
                <w14:ligatures w14:val="none"/>
              </w:rPr>
              <w:fldChar w:fldCharType="separate"/>
            </w:r>
            <w:r w:rsidRPr="00A3084A">
              <w:rPr>
                <w:rFonts w:ascii="Times New Roman" w:hAnsi="Times New Roman" w:cs="Times New Roman"/>
                <w:sz w:val="14"/>
              </w:rPr>
              <w:t>[34,35]</w:t>
            </w:r>
            <w:r>
              <w:rPr>
                <w:rFonts w:ascii="Times New Roman" w:eastAsia="Times New Roman" w:hAnsi="Times New Roman" w:cs="Times New Roman"/>
                <w:color w:val="000000"/>
                <w:kern w:val="0"/>
                <w:sz w:val="14"/>
                <w:szCs w:val="14"/>
                <w:lang w:val="en-US" w:eastAsia="en-NL"/>
                <w14:ligatures w14:val="none"/>
              </w:rPr>
              <w:fldChar w:fldCharType="end"/>
            </w:r>
          </w:p>
        </w:tc>
      </w:tr>
      <w:tr w:rsidR="00A92A05" w:rsidRPr="00903922" w14:paraId="2FB1A9C4" w14:textId="77777777" w:rsidTr="00B46704">
        <w:trPr>
          <w:trHeight w:val="300"/>
        </w:trPr>
        <w:tc>
          <w:tcPr>
            <w:tcW w:w="993" w:type="dxa"/>
            <w:noWrap/>
          </w:tcPr>
          <w:p w14:paraId="1DC2D1E1"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55FA578A" w14:textId="135D3081" w:rsidR="00A92A05" w:rsidRPr="00903922" w:rsidRDefault="00A92A05" w:rsidP="009C50C6">
            <w:pPr>
              <w:rPr>
                <w:rFonts w:ascii="Roboto" w:hAnsi="Roboto"/>
                <w:color w:val="1B1B1B"/>
                <w:sz w:val="14"/>
                <w:szCs w:val="14"/>
                <w:shd w:val="clear" w:color="auto" w:fill="FFFFFF"/>
              </w:rPr>
            </w:pPr>
            <w:r w:rsidRPr="00903922">
              <w:rPr>
                <w:rFonts w:ascii="Calibri" w:hAnsi="Calibri" w:cs="Calibri"/>
                <w:color w:val="000000"/>
                <w:sz w:val="14"/>
                <w:szCs w:val="14"/>
              </w:rPr>
              <w:t>NCT05258682</w:t>
            </w:r>
          </w:p>
        </w:tc>
        <w:tc>
          <w:tcPr>
            <w:tcW w:w="2168" w:type="dxa"/>
            <w:noWrap/>
          </w:tcPr>
          <w:p w14:paraId="7FFD28D0" w14:textId="791A73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r w:rsidRPr="00903922">
              <w:rPr>
                <w:rFonts w:ascii="Calibri" w:hAnsi="Calibri" w:cs="Calibri"/>
                <w:color w:val="000000"/>
                <w:sz w:val="14"/>
                <w:szCs w:val="14"/>
              </w:rPr>
              <w:t>NOT_YET_RECRUITING</w:t>
            </w:r>
          </w:p>
        </w:tc>
        <w:tc>
          <w:tcPr>
            <w:tcW w:w="4125" w:type="dxa"/>
          </w:tcPr>
          <w:p w14:paraId="2E13B20B"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4FB6B37E" w14:textId="77777777" w:rsidTr="00B46704">
        <w:trPr>
          <w:trHeight w:val="300"/>
        </w:trPr>
        <w:tc>
          <w:tcPr>
            <w:tcW w:w="993" w:type="dxa"/>
            <w:noWrap/>
          </w:tcPr>
          <w:p w14:paraId="4DCA943A"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6FA54E9B" w14:textId="06CCA730" w:rsidR="00A92A05" w:rsidRPr="00903922" w:rsidRDefault="00A92A05" w:rsidP="009C50C6">
            <w:pPr>
              <w:rPr>
                <w:rFonts w:ascii="Roboto" w:hAnsi="Roboto"/>
                <w:color w:val="1B1B1B"/>
                <w:sz w:val="14"/>
                <w:szCs w:val="14"/>
                <w:shd w:val="clear" w:color="auto" w:fill="FFFFFF"/>
              </w:rPr>
            </w:pPr>
            <w:r w:rsidRPr="00903922">
              <w:rPr>
                <w:rFonts w:ascii="Calibri" w:hAnsi="Calibri" w:cs="Calibri"/>
                <w:color w:val="000000"/>
                <w:sz w:val="14"/>
                <w:szCs w:val="14"/>
              </w:rPr>
              <w:t>NCT04570254</w:t>
            </w:r>
          </w:p>
        </w:tc>
        <w:tc>
          <w:tcPr>
            <w:tcW w:w="2168" w:type="dxa"/>
            <w:noWrap/>
          </w:tcPr>
          <w:p w14:paraId="33C592D6" w14:textId="74369D8C"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r w:rsidRPr="00903922">
              <w:rPr>
                <w:rFonts w:ascii="Calibri" w:hAnsi="Calibri" w:cs="Calibri"/>
                <w:color w:val="000000"/>
                <w:sz w:val="14"/>
                <w:szCs w:val="14"/>
              </w:rPr>
              <w:t>COMPLETED</w:t>
            </w:r>
          </w:p>
        </w:tc>
        <w:tc>
          <w:tcPr>
            <w:tcW w:w="4125" w:type="dxa"/>
          </w:tcPr>
          <w:p w14:paraId="3D9EDF67"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09417CE1" w14:textId="77777777" w:rsidTr="00B46704">
        <w:trPr>
          <w:trHeight w:val="300"/>
        </w:trPr>
        <w:tc>
          <w:tcPr>
            <w:tcW w:w="993" w:type="dxa"/>
            <w:noWrap/>
          </w:tcPr>
          <w:p w14:paraId="060B8A23"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03BF0AFA" w14:textId="6E46FE24" w:rsidR="00A92A05" w:rsidRPr="00903922" w:rsidRDefault="00A92A05" w:rsidP="009C50C6">
            <w:pPr>
              <w:rPr>
                <w:rFonts w:ascii="Roboto" w:hAnsi="Roboto"/>
                <w:color w:val="1B1B1B"/>
                <w:sz w:val="14"/>
                <w:szCs w:val="14"/>
                <w:shd w:val="clear" w:color="auto" w:fill="FFFFFF"/>
              </w:rPr>
            </w:pPr>
            <w:r w:rsidRPr="00903922">
              <w:rPr>
                <w:rFonts w:ascii="Calibri" w:hAnsi="Calibri" w:cs="Calibri"/>
                <w:color w:val="000000"/>
                <w:sz w:val="14"/>
                <w:szCs w:val="14"/>
              </w:rPr>
              <w:t>NCT04455243</w:t>
            </w:r>
          </w:p>
        </w:tc>
        <w:tc>
          <w:tcPr>
            <w:tcW w:w="2168" w:type="dxa"/>
            <w:noWrap/>
          </w:tcPr>
          <w:p w14:paraId="5314DD61" w14:textId="349095B4"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r w:rsidRPr="00903922">
              <w:rPr>
                <w:rFonts w:ascii="Calibri" w:hAnsi="Calibri" w:cs="Calibri"/>
                <w:color w:val="000000"/>
                <w:sz w:val="14"/>
                <w:szCs w:val="14"/>
              </w:rPr>
              <w:t>UNKNOWN</w:t>
            </w:r>
          </w:p>
        </w:tc>
        <w:tc>
          <w:tcPr>
            <w:tcW w:w="4125" w:type="dxa"/>
          </w:tcPr>
          <w:p w14:paraId="627DB3CB"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3223F418" w14:textId="77777777" w:rsidTr="00B46704">
        <w:trPr>
          <w:trHeight w:val="300"/>
        </w:trPr>
        <w:tc>
          <w:tcPr>
            <w:tcW w:w="993" w:type="dxa"/>
            <w:noWrap/>
          </w:tcPr>
          <w:p w14:paraId="30607E09"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00CFDEE3" w14:textId="29CBE027" w:rsidR="00A92A05" w:rsidRPr="00903922" w:rsidRDefault="00A92A05" w:rsidP="009C50C6">
            <w:pPr>
              <w:rPr>
                <w:rFonts w:ascii="Roboto" w:hAnsi="Roboto"/>
                <w:color w:val="1B1B1B"/>
                <w:sz w:val="14"/>
                <w:szCs w:val="14"/>
                <w:shd w:val="clear" w:color="auto" w:fill="FFFFFF"/>
              </w:rPr>
            </w:pPr>
            <w:r w:rsidRPr="00903922">
              <w:rPr>
                <w:rFonts w:ascii="Calibri" w:hAnsi="Calibri" w:cs="Calibri"/>
                <w:color w:val="000000"/>
                <w:sz w:val="14"/>
                <w:szCs w:val="14"/>
              </w:rPr>
              <w:t>NCT05736887</w:t>
            </w:r>
          </w:p>
        </w:tc>
        <w:tc>
          <w:tcPr>
            <w:tcW w:w="2168" w:type="dxa"/>
            <w:noWrap/>
          </w:tcPr>
          <w:p w14:paraId="41A6661C" w14:textId="0D62EFC5"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r w:rsidRPr="00903922">
              <w:rPr>
                <w:rFonts w:ascii="Calibri" w:hAnsi="Calibri" w:cs="Calibri"/>
                <w:color w:val="000000"/>
                <w:sz w:val="14"/>
                <w:szCs w:val="14"/>
              </w:rPr>
              <w:t>ACTIVE_NOT_RECRUITING</w:t>
            </w:r>
          </w:p>
        </w:tc>
        <w:tc>
          <w:tcPr>
            <w:tcW w:w="4125" w:type="dxa"/>
          </w:tcPr>
          <w:p w14:paraId="27A80A21"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1AD78333" w14:textId="77777777" w:rsidTr="00B46704">
        <w:trPr>
          <w:trHeight w:val="300"/>
        </w:trPr>
        <w:tc>
          <w:tcPr>
            <w:tcW w:w="993" w:type="dxa"/>
            <w:noWrap/>
          </w:tcPr>
          <w:p w14:paraId="560B6817"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0EA518FE" w14:textId="27950381" w:rsidR="00A92A05" w:rsidRPr="00903922" w:rsidRDefault="00A92A05" w:rsidP="009C50C6">
            <w:pPr>
              <w:rPr>
                <w:rFonts w:ascii="Roboto" w:hAnsi="Roboto"/>
                <w:color w:val="1B1B1B"/>
                <w:sz w:val="14"/>
                <w:szCs w:val="14"/>
                <w:shd w:val="clear" w:color="auto" w:fill="FFFFFF"/>
              </w:rPr>
            </w:pPr>
            <w:r w:rsidRPr="00903922">
              <w:rPr>
                <w:rFonts w:ascii="Calibri" w:hAnsi="Calibri" w:cs="Calibri"/>
                <w:color w:val="000000"/>
                <w:sz w:val="14"/>
                <w:szCs w:val="14"/>
              </w:rPr>
              <w:t>NCT05658549</w:t>
            </w:r>
          </w:p>
        </w:tc>
        <w:tc>
          <w:tcPr>
            <w:tcW w:w="2168" w:type="dxa"/>
            <w:noWrap/>
          </w:tcPr>
          <w:p w14:paraId="6EBC8B8E" w14:textId="1AB4226A"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r w:rsidRPr="00903922">
              <w:rPr>
                <w:rFonts w:ascii="Calibri" w:hAnsi="Calibri" w:cs="Calibri"/>
                <w:color w:val="000000"/>
                <w:sz w:val="14"/>
                <w:szCs w:val="14"/>
              </w:rPr>
              <w:t>COMPLETED</w:t>
            </w:r>
          </w:p>
        </w:tc>
        <w:tc>
          <w:tcPr>
            <w:tcW w:w="4125" w:type="dxa"/>
          </w:tcPr>
          <w:p w14:paraId="5242CB22"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6B3E288B" w14:textId="77777777" w:rsidTr="00B46704">
        <w:trPr>
          <w:trHeight w:val="300"/>
        </w:trPr>
        <w:tc>
          <w:tcPr>
            <w:tcW w:w="993" w:type="dxa"/>
            <w:noWrap/>
          </w:tcPr>
          <w:p w14:paraId="58D0FB4A"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644535D3" w14:textId="0B98F8FA" w:rsidR="00A92A05" w:rsidRPr="00903922" w:rsidRDefault="00A92A05" w:rsidP="009C50C6">
            <w:pPr>
              <w:rPr>
                <w:rFonts w:ascii="Roboto" w:hAnsi="Roboto"/>
                <w:color w:val="1B1B1B"/>
                <w:sz w:val="14"/>
                <w:szCs w:val="14"/>
                <w:shd w:val="clear" w:color="auto" w:fill="FFFFFF"/>
              </w:rPr>
            </w:pPr>
            <w:r w:rsidRPr="00903922">
              <w:rPr>
                <w:rFonts w:ascii="Calibri" w:hAnsi="Calibri" w:cs="Calibri"/>
                <w:color w:val="000000"/>
                <w:sz w:val="14"/>
                <w:szCs w:val="14"/>
              </w:rPr>
              <w:t>NCT05220605</w:t>
            </w:r>
          </w:p>
        </w:tc>
        <w:tc>
          <w:tcPr>
            <w:tcW w:w="2168" w:type="dxa"/>
            <w:noWrap/>
          </w:tcPr>
          <w:p w14:paraId="4E2EC7BA" w14:textId="069458B4"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r w:rsidRPr="00903922">
              <w:rPr>
                <w:rFonts w:ascii="Calibri" w:hAnsi="Calibri" w:cs="Calibri"/>
                <w:color w:val="000000"/>
                <w:sz w:val="14"/>
                <w:szCs w:val="14"/>
              </w:rPr>
              <w:t>COMPLETED</w:t>
            </w:r>
          </w:p>
        </w:tc>
        <w:tc>
          <w:tcPr>
            <w:tcW w:w="4125" w:type="dxa"/>
          </w:tcPr>
          <w:p w14:paraId="73B10FDF"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7D4F59B7" w14:textId="77777777" w:rsidTr="00B46704">
        <w:trPr>
          <w:trHeight w:val="300"/>
        </w:trPr>
        <w:tc>
          <w:tcPr>
            <w:tcW w:w="993" w:type="dxa"/>
            <w:noWrap/>
          </w:tcPr>
          <w:p w14:paraId="53391F8C"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517C17B3" w14:textId="041BA89E" w:rsidR="00A92A05" w:rsidRPr="00903922" w:rsidRDefault="00A92A05" w:rsidP="009C50C6">
            <w:pPr>
              <w:rPr>
                <w:rFonts w:ascii="Roboto" w:hAnsi="Roboto"/>
                <w:color w:val="1B1B1B"/>
                <w:sz w:val="14"/>
                <w:szCs w:val="14"/>
                <w:shd w:val="clear" w:color="auto" w:fill="FFFFFF"/>
              </w:rPr>
            </w:pPr>
            <w:r w:rsidRPr="00903922">
              <w:rPr>
                <w:rFonts w:ascii="Calibri" w:hAnsi="Calibri" w:cs="Calibri"/>
                <w:color w:val="000000"/>
                <w:sz w:val="14"/>
                <w:szCs w:val="14"/>
              </w:rPr>
              <w:t>NCT04419025</w:t>
            </w:r>
          </w:p>
        </w:tc>
        <w:tc>
          <w:tcPr>
            <w:tcW w:w="2168" w:type="dxa"/>
            <w:noWrap/>
          </w:tcPr>
          <w:p w14:paraId="20A5FFB4" w14:textId="342063DB"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r w:rsidRPr="00903922">
              <w:rPr>
                <w:rFonts w:ascii="Calibri" w:hAnsi="Calibri" w:cs="Calibri"/>
                <w:color w:val="000000"/>
                <w:sz w:val="14"/>
                <w:szCs w:val="14"/>
              </w:rPr>
              <w:t>COMPLETED</w:t>
            </w:r>
          </w:p>
        </w:tc>
        <w:tc>
          <w:tcPr>
            <w:tcW w:w="4125" w:type="dxa"/>
          </w:tcPr>
          <w:p w14:paraId="1B4F4F6B"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53FCF3C3" w14:textId="77777777" w:rsidTr="00B46704">
        <w:trPr>
          <w:trHeight w:val="300"/>
        </w:trPr>
        <w:tc>
          <w:tcPr>
            <w:tcW w:w="993" w:type="dxa"/>
            <w:noWrap/>
          </w:tcPr>
          <w:p w14:paraId="6831C8B9"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58EE5C2A" w14:textId="59A393B6" w:rsidR="00A92A05" w:rsidRPr="00903922" w:rsidRDefault="00A92A05" w:rsidP="009C50C6">
            <w:pPr>
              <w:rPr>
                <w:rFonts w:ascii="Roboto" w:hAnsi="Roboto"/>
                <w:color w:val="1B1B1B"/>
                <w:sz w:val="14"/>
                <w:szCs w:val="14"/>
                <w:shd w:val="clear" w:color="auto" w:fill="FFFFFF"/>
              </w:rPr>
            </w:pPr>
            <w:r w:rsidRPr="00903922">
              <w:rPr>
                <w:rFonts w:ascii="Calibri" w:hAnsi="Calibri" w:cs="Calibri"/>
                <w:color w:val="000000"/>
                <w:sz w:val="14"/>
                <w:szCs w:val="14"/>
              </w:rPr>
              <w:t>NCT05504655</w:t>
            </w:r>
          </w:p>
        </w:tc>
        <w:tc>
          <w:tcPr>
            <w:tcW w:w="2168" w:type="dxa"/>
            <w:noWrap/>
          </w:tcPr>
          <w:p w14:paraId="4B5293DE" w14:textId="73668E12"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r w:rsidRPr="00903922">
              <w:rPr>
                <w:rFonts w:ascii="Calibri" w:hAnsi="Calibri" w:cs="Calibri"/>
                <w:color w:val="000000"/>
                <w:sz w:val="14"/>
                <w:szCs w:val="14"/>
              </w:rPr>
              <w:t>COMPLETED</w:t>
            </w:r>
          </w:p>
        </w:tc>
        <w:tc>
          <w:tcPr>
            <w:tcW w:w="4125" w:type="dxa"/>
          </w:tcPr>
          <w:p w14:paraId="39FF98F8"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7DD0A872" w14:textId="77777777" w:rsidTr="00B46704">
        <w:trPr>
          <w:trHeight w:val="300"/>
        </w:trPr>
        <w:tc>
          <w:tcPr>
            <w:tcW w:w="993" w:type="dxa"/>
            <w:noWrap/>
          </w:tcPr>
          <w:p w14:paraId="1F87F793"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3E3195CC" w14:textId="40654A64" w:rsidR="00A92A05" w:rsidRPr="00903922" w:rsidRDefault="00A92A05" w:rsidP="009C50C6">
            <w:pPr>
              <w:rPr>
                <w:rFonts w:ascii="Roboto" w:hAnsi="Roboto"/>
                <w:color w:val="1B1B1B"/>
                <w:sz w:val="14"/>
                <w:szCs w:val="14"/>
                <w:shd w:val="clear" w:color="auto" w:fill="FFFFFF"/>
              </w:rPr>
            </w:pPr>
            <w:r w:rsidRPr="00903922">
              <w:rPr>
                <w:rFonts w:ascii="Calibri" w:hAnsi="Calibri" w:cs="Calibri"/>
                <w:color w:val="000000"/>
                <w:sz w:val="14"/>
                <w:szCs w:val="14"/>
              </w:rPr>
              <w:t>NCT05074121</w:t>
            </w:r>
          </w:p>
        </w:tc>
        <w:tc>
          <w:tcPr>
            <w:tcW w:w="2168" w:type="dxa"/>
            <w:noWrap/>
          </w:tcPr>
          <w:p w14:paraId="0F4C9352" w14:textId="08E3AFEE"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r w:rsidRPr="00903922">
              <w:rPr>
                <w:rFonts w:ascii="Calibri" w:hAnsi="Calibri" w:cs="Calibri"/>
                <w:color w:val="000000"/>
                <w:sz w:val="14"/>
                <w:szCs w:val="14"/>
              </w:rPr>
              <w:t>NOT_YET_RECRUITING</w:t>
            </w:r>
          </w:p>
        </w:tc>
        <w:tc>
          <w:tcPr>
            <w:tcW w:w="4125" w:type="dxa"/>
          </w:tcPr>
          <w:p w14:paraId="07BC6CF6"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0C1F8E59" w14:textId="77777777" w:rsidTr="00B46704">
        <w:trPr>
          <w:trHeight w:val="300"/>
        </w:trPr>
        <w:tc>
          <w:tcPr>
            <w:tcW w:w="993" w:type="dxa"/>
            <w:noWrap/>
          </w:tcPr>
          <w:p w14:paraId="48DB1D04"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18F5092F" w14:textId="21E0E985" w:rsidR="00A92A05" w:rsidRPr="00903922" w:rsidRDefault="00A92A05" w:rsidP="009C50C6">
            <w:pPr>
              <w:rPr>
                <w:rFonts w:ascii="Roboto" w:hAnsi="Roboto"/>
                <w:color w:val="1B1B1B"/>
                <w:sz w:val="14"/>
                <w:szCs w:val="14"/>
                <w:shd w:val="clear" w:color="auto" w:fill="FFFFFF"/>
              </w:rPr>
            </w:pPr>
            <w:r w:rsidRPr="00903922">
              <w:rPr>
                <w:rFonts w:ascii="Calibri" w:hAnsi="Calibri" w:cs="Calibri"/>
                <w:color w:val="000000"/>
                <w:sz w:val="14"/>
                <w:szCs w:val="14"/>
              </w:rPr>
              <w:t>NCT04792021</w:t>
            </w:r>
          </w:p>
        </w:tc>
        <w:tc>
          <w:tcPr>
            <w:tcW w:w="2168" w:type="dxa"/>
            <w:noWrap/>
          </w:tcPr>
          <w:p w14:paraId="0B6E04AD" w14:textId="4C6B65AA"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r w:rsidRPr="00903922">
              <w:rPr>
                <w:rFonts w:ascii="Calibri" w:hAnsi="Calibri" w:cs="Calibri"/>
                <w:color w:val="000000"/>
                <w:sz w:val="14"/>
                <w:szCs w:val="14"/>
              </w:rPr>
              <w:t>COMPLETED</w:t>
            </w:r>
          </w:p>
        </w:tc>
        <w:tc>
          <w:tcPr>
            <w:tcW w:w="4125" w:type="dxa"/>
          </w:tcPr>
          <w:p w14:paraId="16B627F5"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2E80C2D4" w14:textId="77777777" w:rsidTr="00B46704">
        <w:trPr>
          <w:trHeight w:val="300"/>
        </w:trPr>
        <w:tc>
          <w:tcPr>
            <w:tcW w:w="993" w:type="dxa"/>
            <w:noWrap/>
          </w:tcPr>
          <w:p w14:paraId="63FE5545"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2F1A15E1" w14:textId="4F27F623" w:rsidR="00A92A05" w:rsidRPr="00903922" w:rsidRDefault="00A92A05" w:rsidP="009C50C6">
            <w:pPr>
              <w:rPr>
                <w:rFonts w:ascii="Roboto" w:hAnsi="Roboto"/>
                <w:color w:val="1B1B1B"/>
                <w:sz w:val="14"/>
                <w:szCs w:val="14"/>
                <w:shd w:val="clear" w:color="auto" w:fill="FFFFFF"/>
              </w:rPr>
            </w:pPr>
            <w:r w:rsidRPr="00903922">
              <w:rPr>
                <w:rFonts w:ascii="Calibri" w:hAnsi="Calibri" w:cs="Calibri"/>
                <w:color w:val="000000"/>
                <w:sz w:val="14"/>
                <w:szCs w:val="14"/>
              </w:rPr>
              <w:t>NCT04928495</w:t>
            </w:r>
          </w:p>
        </w:tc>
        <w:tc>
          <w:tcPr>
            <w:tcW w:w="2168" w:type="dxa"/>
            <w:noWrap/>
          </w:tcPr>
          <w:p w14:paraId="16C61C1A" w14:textId="4B1A6C3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r w:rsidRPr="00903922">
              <w:rPr>
                <w:rFonts w:ascii="Calibri" w:hAnsi="Calibri" w:cs="Calibri"/>
                <w:color w:val="000000"/>
                <w:sz w:val="14"/>
                <w:szCs w:val="14"/>
              </w:rPr>
              <w:t>UNKNOWN</w:t>
            </w:r>
          </w:p>
        </w:tc>
        <w:tc>
          <w:tcPr>
            <w:tcW w:w="4125" w:type="dxa"/>
          </w:tcPr>
          <w:p w14:paraId="4930D03C"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6BFF534D" w14:textId="77777777" w:rsidTr="00B46704">
        <w:trPr>
          <w:trHeight w:val="300"/>
        </w:trPr>
        <w:tc>
          <w:tcPr>
            <w:tcW w:w="993" w:type="dxa"/>
            <w:noWrap/>
          </w:tcPr>
          <w:p w14:paraId="1CBF1017"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68D90A5C" w14:textId="4FB6491B" w:rsidR="00A92A05" w:rsidRPr="00903922" w:rsidRDefault="00A92A05" w:rsidP="009C50C6">
            <w:pPr>
              <w:rPr>
                <w:rFonts w:ascii="Roboto" w:hAnsi="Roboto"/>
                <w:color w:val="1B1B1B"/>
                <w:sz w:val="14"/>
                <w:szCs w:val="14"/>
                <w:shd w:val="clear" w:color="auto" w:fill="FFFFFF"/>
              </w:rPr>
            </w:pPr>
            <w:r w:rsidRPr="00903922">
              <w:rPr>
                <w:rFonts w:ascii="Calibri" w:hAnsi="Calibri" w:cs="Calibri"/>
                <w:color w:val="000000"/>
                <w:sz w:val="14"/>
                <w:szCs w:val="14"/>
              </w:rPr>
              <w:t>NCT04370288</w:t>
            </w:r>
          </w:p>
        </w:tc>
        <w:tc>
          <w:tcPr>
            <w:tcW w:w="2168" w:type="dxa"/>
            <w:noWrap/>
          </w:tcPr>
          <w:p w14:paraId="696F5A9D" w14:textId="1F1F6375"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r w:rsidRPr="00903922">
              <w:rPr>
                <w:rFonts w:ascii="Calibri" w:hAnsi="Calibri" w:cs="Calibri"/>
                <w:color w:val="000000"/>
                <w:sz w:val="14"/>
                <w:szCs w:val="14"/>
              </w:rPr>
              <w:t>UNKNOWN</w:t>
            </w:r>
          </w:p>
        </w:tc>
        <w:tc>
          <w:tcPr>
            <w:tcW w:w="4125" w:type="dxa"/>
          </w:tcPr>
          <w:p w14:paraId="6FF42827"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4072D939" w14:textId="77777777" w:rsidTr="00B46704">
        <w:trPr>
          <w:trHeight w:val="300"/>
        </w:trPr>
        <w:tc>
          <w:tcPr>
            <w:tcW w:w="993" w:type="dxa"/>
            <w:noWrap/>
          </w:tcPr>
          <w:p w14:paraId="4AD2B84C"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10F50A70" w14:textId="6C16ECB4"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NCT05371288</w:t>
            </w:r>
          </w:p>
        </w:tc>
        <w:tc>
          <w:tcPr>
            <w:tcW w:w="2168" w:type="dxa"/>
            <w:noWrap/>
          </w:tcPr>
          <w:p w14:paraId="239E2176" w14:textId="4683A063"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NOT_YET_RECRUITING</w:t>
            </w:r>
          </w:p>
        </w:tc>
        <w:tc>
          <w:tcPr>
            <w:tcW w:w="4125" w:type="dxa"/>
          </w:tcPr>
          <w:p w14:paraId="04767D3E"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260D678A" w14:textId="77777777" w:rsidTr="00B46704">
        <w:trPr>
          <w:trHeight w:val="300"/>
        </w:trPr>
        <w:tc>
          <w:tcPr>
            <w:tcW w:w="993" w:type="dxa"/>
            <w:noWrap/>
          </w:tcPr>
          <w:p w14:paraId="110439D9"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6A2C0103" w14:textId="42ACDE7D"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NCT04374461</w:t>
            </w:r>
          </w:p>
        </w:tc>
        <w:tc>
          <w:tcPr>
            <w:tcW w:w="2168" w:type="dxa"/>
            <w:noWrap/>
          </w:tcPr>
          <w:p w14:paraId="352FBF5C" w14:textId="7CE04A28"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ACTIVE_NOT_RECRUITING</w:t>
            </w:r>
          </w:p>
        </w:tc>
        <w:tc>
          <w:tcPr>
            <w:tcW w:w="4125" w:type="dxa"/>
          </w:tcPr>
          <w:p w14:paraId="03CCFC26"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5947505F" w14:textId="77777777" w:rsidTr="00B46704">
        <w:trPr>
          <w:trHeight w:val="300"/>
        </w:trPr>
        <w:tc>
          <w:tcPr>
            <w:tcW w:w="993" w:type="dxa"/>
            <w:noWrap/>
          </w:tcPr>
          <w:p w14:paraId="6B49CD95"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0960C3AB" w14:textId="4389DE30"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NCT04666753</w:t>
            </w:r>
          </w:p>
        </w:tc>
        <w:tc>
          <w:tcPr>
            <w:tcW w:w="2168" w:type="dxa"/>
            <w:noWrap/>
          </w:tcPr>
          <w:p w14:paraId="603F3862" w14:textId="1B1DA271"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COMPLETED</w:t>
            </w:r>
          </w:p>
        </w:tc>
        <w:tc>
          <w:tcPr>
            <w:tcW w:w="4125" w:type="dxa"/>
          </w:tcPr>
          <w:p w14:paraId="7462E974"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15676ED8" w14:textId="77777777" w:rsidTr="00B46704">
        <w:trPr>
          <w:trHeight w:val="300"/>
        </w:trPr>
        <w:tc>
          <w:tcPr>
            <w:tcW w:w="993" w:type="dxa"/>
            <w:noWrap/>
          </w:tcPr>
          <w:p w14:paraId="1FE34154"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6C4DEDCF" w14:textId="5AED9C12"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NCT04573153</w:t>
            </w:r>
          </w:p>
        </w:tc>
        <w:tc>
          <w:tcPr>
            <w:tcW w:w="2168" w:type="dxa"/>
            <w:noWrap/>
          </w:tcPr>
          <w:p w14:paraId="04A9042E" w14:textId="68894244"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UNKNOWN</w:t>
            </w:r>
          </w:p>
        </w:tc>
        <w:tc>
          <w:tcPr>
            <w:tcW w:w="4125" w:type="dxa"/>
          </w:tcPr>
          <w:p w14:paraId="6312146D"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61B8ED21" w14:textId="77777777" w:rsidTr="00B46704">
        <w:trPr>
          <w:trHeight w:val="300"/>
        </w:trPr>
        <w:tc>
          <w:tcPr>
            <w:tcW w:w="993" w:type="dxa"/>
            <w:noWrap/>
          </w:tcPr>
          <w:p w14:paraId="3C141C7A"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6A953D26" w14:textId="74C021D6"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NCT04755972</w:t>
            </w:r>
          </w:p>
        </w:tc>
        <w:tc>
          <w:tcPr>
            <w:tcW w:w="2168" w:type="dxa"/>
            <w:noWrap/>
          </w:tcPr>
          <w:p w14:paraId="7A57C9EC" w14:textId="09DF079B"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COMPLETED</w:t>
            </w:r>
          </w:p>
        </w:tc>
        <w:tc>
          <w:tcPr>
            <w:tcW w:w="4125" w:type="dxa"/>
          </w:tcPr>
          <w:p w14:paraId="14EA4AE3"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71A40719" w14:textId="77777777" w:rsidTr="00B46704">
        <w:trPr>
          <w:trHeight w:val="300"/>
        </w:trPr>
        <w:tc>
          <w:tcPr>
            <w:tcW w:w="993" w:type="dxa"/>
            <w:noWrap/>
          </w:tcPr>
          <w:p w14:paraId="0E6DF757"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2BB66ABF" w14:textId="4C337856"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NCT04900129</w:t>
            </w:r>
          </w:p>
        </w:tc>
        <w:tc>
          <w:tcPr>
            <w:tcW w:w="2168" w:type="dxa"/>
            <w:noWrap/>
          </w:tcPr>
          <w:p w14:paraId="1029E653" w14:textId="6D9C4977"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COMPLETED</w:t>
            </w:r>
          </w:p>
        </w:tc>
        <w:tc>
          <w:tcPr>
            <w:tcW w:w="4125" w:type="dxa"/>
          </w:tcPr>
          <w:p w14:paraId="3275B5D3"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37575487" w14:textId="77777777" w:rsidTr="00B46704">
        <w:trPr>
          <w:trHeight w:val="300"/>
        </w:trPr>
        <w:tc>
          <w:tcPr>
            <w:tcW w:w="993" w:type="dxa"/>
            <w:noWrap/>
          </w:tcPr>
          <w:p w14:paraId="3CB136CE"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759045E3" w14:textId="1FBB4C59"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NCT04703036</w:t>
            </w:r>
          </w:p>
        </w:tc>
        <w:tc>
          <w:tcPr>
            <w:tcW w:w="2168" w:type="dxa"/>
            <w:noWrap/>
          </w:tcPr>
          <w:p w14:paraId="3AD6197D" w14:textId="6F6CBE62"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ACTIVE_NOT_RECRUITING</w:t>
            </w:r>
          </w:p>
        </w:tc>
        <w:tc>
          <w:tcPr>
            <w:tcW w:w="4125" w:type="dxa"/>
          </w:tcPr>
          <w:p w14:paraId="429CAC59"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0769EB77" w14:textId="77777777" w:rsidTr="00B46704">
        <w:trPr>
          <w:trHeight w:val="300"/>
        </w:trPr>
        <w:tc>
          <w:tcPr>
            <w:tcW w:w="993" w:type="dxa"/>
            <w:noWrap/>
          </w:tcPr>
          <w:p w14:paraId="2C529B48"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781BE3A2" w14:textId="39D09D74"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NCT04458298</w:t>
            </w:r>
          </w:p>
        </w:tc>
        <w:tc>
          <w:tcPr>
            <w:tcW w:w="2168" w:type="dxa"/>
            <w:noWrap/>
          </w:tcPr>
          <w:p w14:paraId="60F8ACD2" w14:textId="13353BB1"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TERMINATED</w:t>
            </w:r>
          </w:p>
        </w:tc>
        <w:tc>
          <w:tcPr>
            <w:tcW w:w="4125" w:type="dxa"/>
          </w:tcPr>
          <w:p w14:paraId="3F0ACE94"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5F8A1F5A" w14:textId="77777777" w:rsidTr="00B46704">
        <w:trPr>
          <w:trHeight w:val="300"/>
        </w:trPr>
        <w:tc>
          <w:tcPr>
            <w:tcW w:w="993" w:type="dxa"/>
            <w:noWrap/>
          </w:tcPr>
          <w:p w14:paraId="057AEADB"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579096FE" w14:textId="7C3FB2E3"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NCT04466657</w:t>
            </w:r>
          </w:p>
        </w:tc>
        <w:tc>
          <w:tcPr>
            <w:tcW w:w="2168" w:type="dxa"/>
            <w:noWrap/>
          </w:tcPr>
          <w:p w14:paraId="60FD7A65" w14:textId="32BEBA82"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WITHDRAWN</w:t>
            </w:r>
          </w:p>
        </w:tc>
        <w:tc>
          <w:tcPr>
            <w:tcW w:w="4125" w:type="dxa"/>
          </w:tcPr>
          <w:p w14:paraId="774D52A6"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5BB6AAE6" w14:textId="77777777" w:rsidTr="00B46704">
        <w:trPr>
          <w:trHeight w:val="300"/>
        </w:trPr>
        <w:tc>
          <w:tcPr>
            <w:tcW w:w="993" w:type="dxa"/>
            <w:noWrap/>
          </w:tcPr>
          <w:p w14:paraId="50E1B2C9"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7D94A2DB" w14:textId="5A05D36F"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NCT04590274</w:t>
            </w:r>
          </w:p>
        </w:tc>
        <w:tc>
          <w:tcPr>
            <w:tcW w:w="2168" w:type="dxa"/>
            <w:noWrap/>
          </w:tcPr>
          <w:p w14:paraId="4A38A398" w14:textId="2C8D2ABC"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WITHDRAWN</w:t>
            </w:r>
          </w:p>
        </w:tc>
        <w:tc>
          <w:tcPr>
            <w:tcW w:w="4125" w:type="dxa"/>
          </w:tcPr>
          <w:p w14:paraId="79E8D7C1"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431E3A7C" w14:textId="77777777" w:rsidTr="00B46704">
        <w:trPr>
          <w:trHeight w:val="300"/>
        </w:trPr>
        <w:tc>
          <w:tcPr>
            <w:tcW w:w="993" w:type="dxa"/>
            <w:noWrap/>
          </w:tcPr>
          <w:p w14:paraId="09C71220" w14:textId="1DF1FC26"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r w:rsidRPr="00903922">
              <w:rPr>
                <w:rFonts w:ascii="Times New Roman" w:eastAsia="Times New Roman" w:hAnsi="Times New Roman" w:cs="Times New Roman"/>
                <w:color w:val="000000"/>
                <w:kern w:val="0"/>
                <w:sz w:val="14"/>
                <w:szCs w:val="14"/>
                <w:lang w:val="en-US" w:eastAsia="en-NL"/>
                <w14:ligatures w14:val="none"/>
              </w:rPr>
              <w:t>Magnesium</w:t>
            </w:r>
          </w:p>
        </w:tc>
        <w:tc>
          <w:tcPr>
            <w:tcW w:w="1126" w:type="dxa"/>
            <w:noWrap/>
          </w:tcPr>
          <w:p w14:paraId="350EFD90" w14:textId="66326D11"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NCT04716985</w:t>
            </w:r>
          </w:p>
        </w:tc>
        <w:tc>
          <w:tcPr>
            <w:tcW w:w="2168" w:type="dxa"/>
            <w:noWrap/>
          </w:tcPr>
          <w:p w14:paraId="1B225009" w14:textId="378F0BC1"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ACTIVE_NOT_RECRUITING</w:t>
            </w:r>
          </w:p>
        </w:tc>
        <w:tc>
          <w:tcPr>
            <w:tcW w:w="4125" w:type="dxa"/>
          </w:tcPr>
          <w:p w14:paraId="68B8771D" w14:textId="74BDD687" w:rsidR="00A92A05" w:rsidRDefault="00A92A05" w:rsidP="009C50C6">
            <w:pPr>
              <w:rPr>
                <w:rFonts w:ascii="Times New Roman" w:eastAsia="Times New Roman" w:hAnsi="Times New Roman" w:cs="Times New Roman"/>
                <w:color w:val="000000"/>
                <w:kern w:val="0"/>
                <w:sz w:val="14"/>
                <w:szCs w:val="14"/>
                <w:lang w:val="en-US" w:eastAsia="en-NL"/>
                <w14:ligatures w14:val="none"/>
              </w:rPr>
            </w:pPr>
            <w:r>
              <w:rPr>
                <w:rFonts w:ascii="Times New Roman" w:eastAsia="Times New Roman" w:hAnsi="Times New Roman" w:cs="Times New Roman"/>
                <w:color w:val="000000"/>
                <w:kern w:val="0"/>
                <w:sz w:val="14"/>
                <w:szCs w:val="14"/>
                <w:lang w:val="en-US" w:eastAsia="en-NL"/>
                <w14:ligatures w14:val="none"/>
              </w:rPr>
              <w:t>Low magnesium associated with worse Covid-19 outcomes</w:t>
            </w:r>
            <w:r>
              <w:rPr>
                <w:rFonts w:ascii="Times New Roman" w:eastAsia="Times New Roman" w:hAnsi="Times New Roman" w:cs="Times New Roman"/>
                <w:color w:val="000000"/>
                <w:kern w:val="0"/>
                <w:sz w:val="14"/>
                <w:szCs w:val="14"/>
                <w:lang w:val="en-US" w:eastAsia="en-NL"/>
                <w14:ligatures w14:val="none"/>
              </w:rPr>
              <w:fldChar w:fldCharType="begin"/>
            </w:r>
            <w:r>
              <w:rPr>
                <w:rFonts w:ascii="Times New Roman" w:eastAsia="Times New Roman" w:hAnsi="Times New Roman" w:cs="Times New Roman"/>
                <w:color w:val="000000"/>
                <w:kern w:val="0"/>
                <w:sz w:val="14"/>
                <w:szCs w:val="14"/>
                <w:lang w:val="en-US" w:eastAsia="en-NL"/>
                <w14:ligatures w14:val="none"/>
              </w:rPr>
              <w:instrText xml:space="preserve"> ADDIN ZOTERO_ITEM CSL_CITATION {"citationID":"UZhj5eyH","properties":{"formattedCitation":"[36\\uc0\\u8211{}41]","plainCitation":"[36–41]","noteIndex":0},"citationItems":[{"id":11648,"uris":["http://zotero.org/users/7565624/items/74AMFMZR"],"itemData":{"id":11648,"type":"article-journal","abstract":"Magnesium (Mg) plays a key role in infections. However, its role in coronavirus disease 2019 (COVID-19) is still underexplored, particularly in long-term sequelae. The aim of the present study was to examine the prognostic value of serum Mg levels in older people affected by COVID-19. Patients were divided into those with serum Mg levels ≤1.96 vs. &gt;1.96 mg/dL, according to the Youden index. A total of 260 participants (mean age 65 years, 53.8% males) had valid Mg measurements. Serum Mg had a good accuracy in predicting in-hospital mortality (area under the curve = 0.83; 95% CI: 0.74–0.91). Low serum Mg at admission significantly predicted in-hospital death (HR = 1.29; 95% CI: 1.03–2.68) after adjusting for several confounders. A value of Mg ≤ 1.96 mg/dL was associated with a longer mean length of stay compared to those with a serum Mg &gt; 1.96 (15.2 vs. 12.7 days). Low serum Mg was associated with a higher incidence of long COVID symptomatology (OR = 2.14; 95% CI: 1.30–4.31), particularly post-traumatic stress disorder (OR = 2.00; 95% CI: 1.24–16.40). In conclusion, low serum Mg levels were significant predictors of mortality, length of stay, and onset of long COVID symptoms, indicating that measuring serum Mg in COVID-19 may be helpful in the prediction of complications related to the disease.","container-title":"Nutrients","DOI":"10.3390/nu15040830","ISSN":"2072-6643","issue":"4","language":"en","license":"http://creativecommons.org/licenses/by/3.0/","note":"number: 4\npublisher: Multidisciplinary Digital Publishing Institute","page":"830","source":"www.mdpi.com","title":"Prognostic Value of Magnesium in COVID-19: Findings from the COMEPA Study","title-short":"Prognostic Value of Magnesium in COVID-19","URL":"https://www.mdpi.com/2072-6643/15/4/830","volume":"15","author":[{"family":"La Carrubba","given":"Anna"},{"family":"Veronese","given":"Nicola"},{"family":"Di Bella","given":"Giovanna"},{"family":"Cusumano","given":"Claudia"},{"family":"Di Prazza","given":"Agnese"},{"family":"Ciriminna","given":"Stefano"},{"family":"Ganci","given":"Antonina"},{"family":"Naro","given":"Liliana"},{"family":"Dominguez","given":"Ligia J."},{"family":"Barbagallo","given":"Mario"},{"family":"on behalf of the COMEPA Group","given":""}],"accessed":{"date-parts":[["2023",6,23]]},"issued":{"date-parts":[["2023",1]]}}},{"id":11650,"uris":["http://zotero.org/users/7565624/items/8MCB4IEY"],"itemData":{"id":11650,"type":"article-journal","abstract":"Background: In the face of the global pandemic that the coronavirus disease 2019 (COVID-19) has created, readily available prognostic markers may be of great use. Objective: To evaluate the association between serum magnesium (sMg) levels on admission and clinical outcomes in hospitalized COVID-19 patients. Methods: We retrospectively analyzed all patients admitted to a single tertiary center with a primary de novo diagnosis of COVID-19. Patients were followed for a mean of 10 ± 7 months. Demographic, clinical and laboratory data were collected and compared between five groups of patients according to sMg quintiles on hospital admission. Results: The cohort included 1522 patients (58% male, 69 ± 17 years old). A low sMg level (1st quintile) was associated with higher rates of diabetes and steroid use, whereas a high sMg level (5th quintile) was associated with dyslipidemia, renal dysfunction, higher levels of inflammatory markers and stay in the intensive care unit. All-cause in-hospital and long-term mortality was higher in patients with both low and high sMg levels, compared with mid-range sMg levels (2nd, 3rd and 4th quintiles; 19% and 30% vs. 9.5%, 10.7% and 17.8% and 35% and 45.3% vs. 23%, 26.8% and 27.3% respectively; p &lt; 0.001 for all). After adjusting for significant clinical parameters indicating severe disease and renal dysfunction, only low sMg state was independently associated with increased mortality (HR = 1.57, p &lt; 0.001). Conclusions: Both low and high sMg levels were associated with increased mortality in a large cohort of hospitalized COVID-19 patients. However, after correction for renal dysfunction and disease severity, only low sMg maintained its prognostic ability.","container-title":"Nutrients","DOI":"10.3390/nu15092016","ISSN":"2072-6643","issue":"9","language":"en","license":"http://creativecommons.org/licenses/by/3.0/","note":"number: 9\npublisher: Multidisciplinary Digital Publishing Institute","page":"2016","source":"www.mdpi.com","title":"Admission Serum Magnesium Levels Is Associated with Short and Long-Term Clinical Outcomes in COVID-19 Patients","URL":"https://www.mdpi.com/2072-6643/15/9/2016","volume":"15","author":[{"family":"Segev","given":"Amitai"},{"family":"Sagir","given":"Adam"},{"family":"Matetzky","given":"Shlomi"},{"family":"Segev","given":"Amit"},{"family":"Atar","given":"Shaul"},{"family":"Shechter","given":"Michael"}],"accessed":{"date-parts":[["2023",6,23]]},"issued":{"date-parts":[["2023",1]]}}},{"id":11652,"uris":["http://zotero.org/users/7565624/items/ASQJRAT9"],"itemData":{"id":11652,"type":"article-journal","abstract":"Several studies provide evidence that obesity is a significant risk factor for adverse outcomes in coronavirus disease 2019 (COVID-19). Altered renal function and disturbances in magnesium levels have been reported to play important pathophysiological roles in COVID-19. However, the relationship between obesity, renal function, circulating magnesium levels, and mortality in patients with COVID-19 remains unclear. In this retrospective cohort study, we characterized 390 hospitalized patients with COVID-19 that were categorized according to their body mass index (BMI). Patients were clinically characterized and biochemical parameters, renal function, and electrolyte markers measured upon admission. We found that in patients who died, BMI was associated with reduced estimated glomerular filtration rate (eGFR, Rho: −0.251, p = 0.001) and serum magnesium levels (Rho: −0.308, p &lt; 0.0001). Multiple linear regression analyses showed that death was significantly associated with obesity (p = 0.001). The Cox model for obese patients showed that magnesium levels were associated with increased risk of death (hazard ratio: 0.213, 95% confidence interval: 0.077 to 0.586, p = 0.003). Thus, reduced renal function and lower magnesium levels were associated with increased mortality in obese COVID-19 patients. These results suggest that assessment of kidney function, including magnesium levels, may assist in developing effective treatment strategies to reduce mortality among obese COVID-19 patients.","container-title":"Nutrients","DOI":"10.3390/nu14194054","ISSN":"2072-6643","issue":"19","language":"en","license":"http://creativecommons.org/licenses/by/3.0/","note":"number: 19\npublisher: Multidisciplinary Digital Publishing Institute","page":"4054","source":"www.mdpi.com","title":"Reduction in Serum Magnesium Levels and Renal Function Are Associated with Increased Mortality in Obese COVID-19 Patients","URL":"https://www.mdpi.com/2072-6643/14/19/4054","volume":"14","author":[{"family":"Pulido Perez","given":"Patricia"},{"family":"Póndigo de los Angeles","given":"Jorge Alberto"},{"family":"Perez Peralta","given":"Alonso"},{"family":"Ramirez Mojica","given":"Eloisa"},{"family":"Torres Rasgado","given":"Enrique"},{"family":"Hernandez-Hernandez","given":"Maria Elena"},{"family":"Romero","given":"Jose R."}],"accessed":{"date-parts":[["2023",6,23]]},"issued":{"date-parts":[["2022",1]]}}},{"id":11654,"uris":["http://zotero.org/users/7565624/items/FYZJIKIK"],"itemData":{"id":11654,"type":"article-journal","abstract":"In this retrospective study to assess the impact of serum corrected calcium (CorrCa), magnesium (Mg) and phosphorus (P) levels, all adult patients with laboratory-confirmed COVID-19 hospitalized during 2020 were included. Poor outcome was considered in patients who presented need for mechanical ventilation, intensive care unit (ICU) admission, or in-hospital mortality. We analyzed 2473 patients (956 females) aged (mean±SD) 63.4±15.9 years. During admission, 169 patients (6.8%) required mechanical ventilation, 205 (8.3%) were admitted to the ICU, and 270 (10.9%) died. Composite variable of poor outcome, defined as need for mechanical ventilation, ICU admission or death, was present in 434 (17.5%) patients. In univariate analysis, the need for mechanical ventilation was positively related to Mg levels (OR 8.37, 95% CI 3.62–19.33; p&lt;0.001); ICU admission was related to CorrCa (OR 0.49, 95% CI 0.25–0.99; p=0.049) and Mg levels (OR 5.81, 95% CI 2.74–12.35; p&lt;0.001); and in-hospital mortality was related to CorrCa (OR 1.73, 95% CI 1.14–2.64; p=0.011). The composite variable of poor outcome was only related to Mg (OR 2.68, 95% CI 1.54–4.68; p=0.001). However, in multivariate analysis only CorrCa was significantly related to the need for mechanical ventilation (OR 0.19, 95% CI 0.05–0.72; p=0.014) and ICU admission (OR 0.25; 95% CI 0.09–0.66; p=0.005), but not with in-hospital mortality or the composite variable. In conclusion, CorrCa can be used as a simple and reliable marker of poor outcome in patients with COVID-19, although not to predict the risk of in-hospital mortality.","container-title":"Hormone and Metabolic Research","DOI":"10.1055/a-1899-8862","ISSN":"0018-5043, 1439-4286","issue":"1","journalAbbreviation":"Horm Metab Res","language":"en","license":"Georg Thieme Verlag KG Rüdigerstraße 14, 70469 Stuttgart, Germany","note":"publisher: Georg Thieme Verlag KG","page":"31-39","source":"www.thieme-connect.com","title":"Serum Calcium, Magnesium, and Phosphorus Levels in Patients with COVID-19: Relationships with Poor Outcome and Mortality","title-short":"Serum Calcium, Magnesium, and Phosphorus Levels in Patients with COVID-19","URL":"http://www.thieme-connect.de/DOI/DOI?10.1055/a-1899-8862","volume":"55","author":[{"family":"Díez","given":"Juan J."},{"family":"Iglesias","given":"Pedro"},{"family":"García","given":"Agustín"},{"family":"Martín-Casasempere","given":"Ignacio"},{"family":"Bernabéu-Andréu","given":"Francisco A."}],"accessed":{"date-parts":[["2023",6,23]]},"issued":{"date-parts":[["2023",1]]}}},{"id":8434,"uris":["http://zotero.org/users/7565624/items/I5NM2I8X"],"itemData":{"id":8434,"type":"article-journal","abstract":"Obesity, type 2 diabetes, arterial hypertension, decrease in immune response, cytokine storm, endothelial dysfunction, and arrhythmias, which are frequent in COVID-19 patients, are associated with hypomagnesemia. Given that cellular influx and efflux of magnesium and calcium involve the same transporters, we aimed to evaluate the association of serum magnesium-to-calcium ratio with mortality from severe COVID-19. The clinical and laboratory data of 1064 patients, aged 60.3 ± 15.7 years, and hospitalized by COVID-19 from March 2020 to July 2021 were analyzed. The data of 554 (52%) patients discharged per death were compared with the data of 510 (48%) patients discharged per recovery. The ROC curve showed that the best cut-off point of the magnesium-to-calcium ratio for identifying individuals at high risk of mortality from COVID-19 was 0.20. The sensitivity and specificity were 83% and 24%. The adjusted multivariate regression model showed that the odds ratio between the magnesium-to-calcium ratio ≤0.20 and discharge per death from COVID-19 was 6.93 (95%CI 1.6–29.1) in the whole population, 4.93 (95%CI 1.4–19.1, p = 0.003) in men, and 3.93 (95%CI 1.6–9.3) in women. In conclusion, our results show that a magnesium-to-calcium ratio ≤0.20 is strongly associated with mortality in patients with severe COVID-19.","container-title":"Nutrients","DOI":"10.3390/nu14091686","ISSN":"2072-6643","issue":"9","language":"en","license":"http://creativecommons.org/licenses/by/3.0/","note":"number: 9\npublisher: Multidisciplinary Digital Publishing Institute","page":"1686","source":"www.mdpi.com","title":"Magnesium-to-Calcium Ratio and Mortality from COVID-19","URL":"https://www.mdpi.com/2072-6643/14/9/1686","volume":"14","author":[{"family":"Guerrero-Romero","given":"Fernando"},{"family":"Mercado","given":"Moises"},{"family":"Rodriguez-Moran","given":"Martha"},{"family":"Ramírez-Renteria","given":"Claudia"},{"family":"Martínez-Aguilar","given":"Gerardo"},{"family":"Marrero-Rodríguez","given":"Daniel"},{"family":"Ferreira-Hermosillo","given":"Aldo"},{"family":"Simental-Mendía","given":"Luis E."},{"family":"Remba-Shapiro","given":"Ilan"},{"family":"Gamboa-Gómez","given":"Claudia I."},{"family":"Albarrán-Sánchez","given":"Alejandra"},{"family":"Sanchez-García","given":"Miriam L."}],"accessed":{"date-parts":[["2023",1,31]]},"issued":{"date-parts":[["2022",1]]}}},{"id":8436,"uris":["http://zotero.org/users/7565624/items/SFF33Q37"],"itemData":{"id":8436,"type":"article-journal","abstract":"Many studies have confirmed the important roles of nutritional status and micronutrients in the COVID-19 pandemic. Magnesium is a vital essential trace element that is involved in oxidative stress, inflammation, and many other immunological functions and has been shown to be associated with the outcome of COVID-19 infection. Here, we conducted a nationwide retrospective cohort study in the United States involving 1150 counties, 287,326,503 individuals, and 5,401,483 COVID-19 confirmed cases as of 30 September 2020 to reveal the infection risk of the populations distributed in low-magnesium areas in the early transmission of COVID-19. Our results indicate that the average county-level COVID-19 cumulative incidence in low-magnesium areas was significantly higher than in the control areas. Additionally, a significant negative nonlinear association was found between environmental magnesium concentration and the county-level COVID-19 cumulative incidence. Furthermore, the populations distributed in low environmental magnesium areas faced a higher COVID-19 infection risk (RR: 1.066; CI: 1.063–1.068), among which females (RR: 1.07; CI: 1.067–1.073), the 0–17 years subgroup (RR: 1.125; CI: 1.117–1.134), the 65+ years subgroup (RR: 1.093; CI: 1.087–1.098), black people (RR: 1.975; CI: 1.963–1.986), populations outside metro areas, and counties with a smaller population experienced higher risk of infection by COVID-19 than other subgroups. Considering that the magnesium intake of about half the population of the United States is below the daily required dose, our study will contribute to the creation of long-term public health strategies to help protect against COVID-19.","container-title":"Nutrients","DOI":"10.3390/nu14040909","ISSN":"2072-6643","issue":"4","language":"en","license":"http://creativecommons.org/licenses/by/3.0/","note":"number: 4\npublisher: Multidisciplinary Digital Publishing Institute","page":"909","source":"www.mdpi.com","title":"Populations in Low-Magnesium Areas Were Associated with Higher Risk of Infection in COVID-19’s Early Transmission: A Nationwide Retrospective Cohort Study in the United States","title-short":"Populations in Low-Magnesium Areas Were Associated with Higher Risk of Infection in COVID-19’s Early Transmission","URL":"https://www.mdpi.com/2072-6643/14/4/909","volume":"14","author":[{"family":"Tian","given":"Jing"},{"family":"Tang","given":"Liwei"},{"family":"Liu","given":"Xinwei"},{"family":"Li","given":"Yulan"},{"family":"Chen","given":"Jinghong"},{"family":"Huang","given":"Weiren"},{"family":"Liu","given":"Min"}],"accessed":{"date-parts":[["2023",1,31]]},"issued":{"date-parts":[["2022",1]]}}}],"schema":"https://github.com/citation-style-language/schema/raw/master/csl-citation.json"} </w:instrText>
            </w:r>
            <w:r>
              <w:rPr>
                <w:rFonts w:ascii="Times New Roman" w:eastAsia="Times New Roman" w:hAnsi="Times New Roman" w:cs="Times New Roman"/>
                <w:color w:val="000000"/>
                <w:kern w:val="0"/>
                <w:sz w:val="14"/>
                <w:szCs w:val="14"/>
                <w:lang w:val="en-US" w:eastAsia="en-NL"/>
                <w14:ligatures w14:val="none"/>
              </w:rPr>
              <w:fldChar w:fldCharType="separate"/>
            </w:r>
            <w:r w:rsidRPr="006078A7">
              <w:rPr>
                <w:rFonts w:ascii="Times New Roman" w:hAnsi="Times New Roman" w:cs="Times New Roman"/>
                <w:kern w:val="0"/>
                <w:sz w:val="14"/>
                <w:szCs w:val="24"/>
              </w:rPr>
              <w:t>[36–41]</w:t>
            </w:r>
            <w:r>
              <w:rPr>
                <w:rFonts w:ascii="Times New Roman" w:eastAsia="Times New Roman" w:hAnsi="Times New Roman" w:cs="Times New Roman"/>
                <w:color w:val="000000"/>
                <w:kern w:val="0"/>
                <w:sz w:val="14"/>
                <w:szCs w:val="14"/>
                <w:lang w:val="en-US" w:eastAsia="en-NL"/>
                <w14:ligatures w14:val="none"/>
              </w:rPr>
              <w:fldChar w:fldCharType="end"/>
            </w:r>
            <w:r>
              <w:rPr>
                <w:rFonts w:ascii="Times New Roman" w:eastAsia="Times New Roman" w:hAnsi="Times New Roman" w:cs="Times New Roman"/>
                <w:color w:val="000000"/>
                <w:kern w:val="0"/>
                <w:sz w:val="14"/>
                <w:szCs w:val="14"/>
                <w:lang w:val="en-US" w:eastAsia="en-NL"/>
                <w14:ligatures w14:val="none"/>
              </w:rPr>
              <w:t>, including long covid</w:t>
            </w:r>
            <w:r>
              <w:rPr>
                <w:rFonts w:ascii="Times New Roman" w:eastAsia="Times New Roman" w:hAnsi="Times New Roman" w:cs="Times New Roman"/>
                <w:color w:val="000000"/>
                <w:kern w:val="0"/>
                <w:sz w:val="14"/>
                <w:szCs w:val="14"/>
                <w:lang w:val="en-US" w:eastAsia="en-NL"/>
                <w14:ligatures w14:val="none"/>
              </w:rPr>
              <w:fldChar w:fldCharType="begin"/>
            </w:r>
            <w:r>
              <w:rPr>
                <w:rFonts w:ascii="Times New Roman" w:eastAsia="Times New Roman" w:hAnsi="Times New Roman" w:cs="Times New Roman"/>
                <w:color w:val="000000"/>
                <w:kern w:val="0"/>
                <w:sz w:val="14"/>
                <w:szCs w:val="14"/>
                <w:lang w:val="en-US" w:eastAsia="en-NL"/>
                <w14:ligatures w14:val="none"/>
              </w:rPr>
              <w:instrText xml:space="preserve"> ADDIN ZOTERO_ITEM CSL_CITATION {"citationID":"z5jmG7ej","properties":{"formattedCitation":"[36]","plainCitation":"[36]","noteIndex":0},"citationItems":[{"id":11648,"uris":["http://zotero.org/users/7565624/items/74AMFMZR"],"itemData":{"id":11648,"type":"article-journal","abstract":"Magnesium (Mg) plays a key role in infections. However, its role in coronavirus disease 2019 (COVID-19) is still underexplored, particularly in long-term sequelae. The aim of the present study was to examine the prognostic value of serum Mg levels in older people affected by COVID-19. Patients were divided into those with serum Mg levels ≤1.96 vs. &gt;1.96 mg/dL, according to the Youden index. A total of 260 participants (mean age 65 years, 53.8% males) had valid Mg measurements. Serum Mg had a good accuracy in predicting in-hospital mortality (area under the curve = 0.83; 95% CI: 0.74–0.91). Low serum Mg at admission significantly predicted in-hospital death (HR = 1.29; 95% CI: 1.03–2.68) after adjusting for several confounders. A value of Mg ≤ 1.96 mg/dL was associated with a longer mean length of stay compared to those with a serum Mg &gt; 1.96 (15.2 vs. 12.7 days). Low serum Mg was associated with a higher incidence of long COVID symptomatology (OR = 2.14; 95% CI: 1.30–4.31), particularly post-traumatic stress disorder (OR = 2.00; 95% CI: 1.24–16.40). In conclusion, low serum Mg levels were significant predictors of mortality, length of stay, and onset of long COVID symptoms, indicating that measuring serum Mg in COVID-19 may be helpful in the prediction of complications related to the disease.","container-title":"Nutrients","DOI":"10.3390/nu15040830","ISSN":"2072-6643","issue":"4","language":"en","license":"http://creativecommons.org/licenses/by/3.0/","note":"number: 4\npublisher: Multidisciplinary Digital Publishing Institute","page":"830","source":"www.mdpi.com","title":"Prognostic Value of Magnesium in COVID-19: Findings from the COMEPA Study","title-short":"Prognostic Value of Magnesium in COVID-19","URL":"https://www.mdpi.com/2072-6643/15/4/830","volume":"15","author":[{"family":"La Carrubba","given":"Anna"},{"family":"Veronese","given":"Nicola"},{"family":"Di Bella","given":"Giovanna"},{"family":"Cusumano","given":"Claudia"},{"family":"Di Prazza","given":"Agnese"},{"family":"Ciriminna","given":"Stefano"},{"family":"Ganci","given":"Antonina"},{"family":"Naro","given":"Liliana"},{"family":"Dominguez","given":"Ligia J."},{"family":"Barbagallo","given":"Mario"},{"family":"on behalf of the COMEPA Group","given":""}],"accessed":{"date-parts":[["2023",6,23]]},"issued":{"date-parts":[["2023",1]]}}}],"schema":"https://github.com/citation-style-language/schema/raw/master/csl-citation.json"} </w:instrText>
            </w:r>
            <w:r>
              <w:rPr>
                <w:rFonts w:ascii="Times New Roman" w:eastAsia="Times New Roman" w:hAnsi="Times New Roman" w:cs="Times New Roman"/>
                <w:color w:val="000000"/>
                <w:kern w:val="0"/>
                <w:sz w:val="14"/>
                <w:szCs w:val="14"/>
                <w:lang w:val="en-US" w:eastAsia="en-NL"/>
                <w14:ligatures w14:val="none"/>
              </w:rPr>
              <w:fldChar w:fldCharType="separate"/>
            </w:r>
            <w:r w:rsidRPr="00A3084A">
              <w:rPr>
                <w:rFonts w:ascii="Times New Roman" w:hAnsi="Times New Roman" w:cs="Times New Roman"/>
                <w:sz w:val="14"/>
              </w:rPr>
              <w:t>[36]</w:t>
            </w:r>
            <w:r>
              <w:rPr>
                <w:rFonts w:ascii="Times New Roman" w:eastAsia="Times New Roman" w:hAnsi="Times New Roman" w:cs="Times New Roman"/>
                <w:color w:val="000000"/>
                <w:kern w:val="0"/>
                <w:sz w:val="14"/>
                <w:szCs w:val="14"/>
                <w:lang w:val="en-US" w:eastAsia="en-NL"/>
                <w14:ligatures w14:val="none"/>
              </w:rPr>
              <w:fldChar w:fldCharType="end"/>
            </w:r>
            <w:r>
              <w:rPr>
                <w:rFonts w:ascii="Times New Roman" w:eastAsia="Times New Roman" w:hAnsi="Times New Roman" w:cs="Times New Roman"/>
                <w:color w:val="000000"/>
                <w:kern w:val="0"/>
                <w:sz w:val="14"/>
                <w:szCs w:val="14"/>
                <w:lang w:val="en-US" w:eastAsia="en-NL"/>
                <w14:ligatures w14:val="none"/>
              </w:rPr>
              <w:t>.</w:t>
            </w:r>
          </w:p>
          <w:p w14:paraId="0E653121" w14:textId="3204614C" w:rsidR="00A92A05" w:rsidRPr="00A3084A" w:rsidRDefault="00A92A05" w:rsidP="009C50C6">
            <w:pPr>
              <w:rPr>
                <w:rFonts w:ascii="Times New Roman" w:eastAsia="Times New Roman" w:hAnsi="Times New Roman" w:cs="Times New Roman"/>
                <w:color w:val="000000"/>
                <w:kern w:val="0"/>
                <w:sz w:val="14"/>
                <w:szCs w:val="14"/>
                <w:lang w:val="en-US" w:eastAsia="en-NL"/>
                <w14:ligatures w14:val="none"/>
              </w:rPr>
            </w:pPr>
            <w:r>
              <w:rPr>
                <w:rFonts w:ascii="Times New Roman" w:eastAsia="Times New Roman" w:hAnsi="Times New Roman" w:cs="Times New Roman"/>
                <w:color w:val="000000"/>
                <w:kern w:val="0"/>
                <w:sz w:val="14"/>
                <w:szCs w:val="14"/>
                <w:lang w:val="en-US" w:eastAsia="en-NL"/>
                <w14:ligatures w14:val="none"/>
              </w:rPr>
              <w:t>Magnesium combined with Vitamin D and Vitamin B12 lessened need for oxygen support in older Covid-19 patients</w:t>
            </w:r>
            <w:r>
              <w:rPr>
                <w:rFonts w:ascii="Times New Roman" w:eastAsia="Times New Roman" w:hAnsi="Times New Roman" w:cs="Times New Roman"/>
                <w:color w:val="000000"/>
                <w:kern w:val="0"/>
                <w:sz w:val="14"/>
                <w:szCs w:val="14"/>
                <w:lang w:val="en-US" w:eastAsia="en-NL"/>
                <w14:ligatures w14:val="none"/>
              </w:rPr>
              <w:fldChar w:fldCharType="begin"/>
            </w:r>
            <w:r>
              <w:rPr>
                <w:rFonts w:ascii="Times New Roman" w:eastAsia="Times New Roman" w:hAnsi="Times New Roman" w:cs="Times New Roman"/>
                <w:color w:val="000000"/>
                <w:kern w:val="0"/>
                <w:sz w:val="14"/>
                <w:szCs w:val="14"/>
                <w:lang w:val="en-US" w:eastAsia="en-NL"/>
                <w14:ligatures w14:val="none"/>
              </w:rPr>
              <w:instrText xml:space="preserve"> ADDIN ZOTERO_ITEM CSL_CITATION {"citationID":"yks6yp1C","properties":{"formattedCitation":"[42]","plainCitation":"[42]","noteIndex":0},"citationItems":[{"id":11660,"uris":["http://zotero.org/users/7565624/items/W8LRGVHE"],"itemData":{"id":11660,"type":"article-journal","abstract":"Objectives\nThe aim of this study was to determine clinical outcomes of older patients with coronavirus (COVID-19) who received a combination of vitamin D, magnesium, and vitamin B12 (DMB) compared with those who did not. We hypothesized that fewer patients administered this combination would require oxygen therapy, intensive care support, or a combination of both than those who did not.\nMethods\nThis was a cohort observational study of all consecutive hospitalized patients ≥50 y of age with COVID-19 in a tertiary academic hospital. Before April 6, 2020, no patients received the (DMB) combination. After this date, patients were administered 1000 IU/d oral vitamin D3, 150 mg/d oral magnesium, and 500 mcg/d oral vitamin B12 upon admission if they did not require oxygen therapy. Primary outcome was deterioration leading to any form of oxygen therapy, intensive care support, or both.\nResults\nBetween January 15 and April 15, 2020, we identified 43 consecutive patients ≥50 y of age with COVID-19. Seventeen patients received DMB before onset of primary outcome and 26 patients did not. Baseline demographic characteristics between the two groups were significantly different by age. In univariate analysis, age and hypertension had a significant influence on outcome. After adjusting for age or hypertension separately in a multivariate analysis, the intervention group retained protective significance. Fewer treated patients than controls required initiation of oxygen therapy during hospitalization (17.6 vs 61.5%, P = 0.006). DMB exposure was associated with odds ratios of 0.13 (95% confidence interval [CI], 0.03–0.59) and 0.20 (95% CI, 0.04–0.93) for oxygen therapy, intensive care support, or both on univariate and multivariate analyses, respectively.\nConclusions\nA vitamin D / magnesium / vitamin B12 combination in older COVID-19 patients was associated with a significant reduction in the proportion of patients with clinical deterioration requiring oxygen support, intensive care support, or both. This study supports further larger randomized controlled trials to ascertain the full benefit of this combination in ameliorating the severity of COVID-19.","container-title":"Nutrition","DOI":"10.1016/j.nut.2020.111017","ISSN":"0899-9007","journalAbbreviation":"Nutrition","language":"en","page":"111017","source":"ScienceDirect","title":"Cohort study to evaluate the effect of vitamin D, magnesium, and vitamin B12 in combination on progression to severe outcomes in older patients with coronavirus (COVID-19)","URL":"https://www.sciencedirect.com/science/article/pii/S0899900720303002","volume":"79-80","author":[{"family":"Tan","given":"Chuen Wen"},{"family":"Ho","given":"Liam Pock"},{"family":"Kalimuddin","given":"Shirin"},{"family":"Cherng","given":"Benjamin Pei Zhi"},{"family":"Teh","given":"Yii Ean"},{"family":"Thien","given":"Siew Yee"},{"family":"Wong","given":"Hei Man"},{"family":"Tern","given":"Paul Jie Wen"},{"family":"Chandran","given":"Manju"},{"family":"Chay","given":"Jason Wai Mun"},{"family":"Nagarajan","given":"Chandramouli"},{"family":"Sultana","given":"Rehena"},{"family":"Low","given":"Jenny Guek Hong"},{"family":"Ng","given":"Heng Joo"}],"accessed":{"date-parts":[["2023",6,23]]},"issued":{"date-parts":[["2020",11,1]]}}}],"schema":"https://github.com/citation-style-language/schema/raw/master/csl-citation.json"} </w:instrText>
            </w:r>
            <w:r>
              <w:rPr>
                <w:rFonts w:ascii="Times New Roman" w:eastAsia="Times New Roman" w:hAnsi="Times New Roman" w:cs="Times New Roman"/>
                <w:color w:val="000000"/>
                <w:kern w:val="0"/>
                <w:sz w:val="14"/>
                <w:szCs w:val="14"/>
                <w:lang w:val="en-US" w:eastAsia="en-NL"/>
                <w14:ligatures w14:val="none"/>
              </w:rPr>
              <w:fldChar w:fldCharType="separate"/>
            </w:r>
            <w:r w:rsidRPr="006078A7">
              <w:rPr>
                <w:rFonts w:ascii="Times New Roman" w:hAnsi="Times New Roman" w:cs="Times New Roman"/>
                <w:sz w:val="14"/>
              </w:rPr>
              <w:t>[42]</w:t>
            </w:r>
            <w:r>
              <w:rPr>
                <w:rFonts w:ascii="Times New Roman" w:eastAsia="Times New Roman" w:hAnsi="Times New Roman" w:cs="Times New Roman"/>
                <w:color w:val="000000"/>
                <w:kern w:val="0"/>
                <w:sz w:val="14"/>
                <w:szCs w:val="14"/>
                <w:lang w:val="en-US" w:eastAsia="en-NL"/>
                <w14:ligatures w14:val="none"/>
              </w:rPr>
              <w:fldChar w:fldCharType="end"/>
            </w:r>
          </w:p>
        </w:tc>
      </w:tr>
      <w:tr w:rsidR="00A92A05" w:rsidRPr="00903922" w14:paraId="0CA08276" w14:textId="77777777" w:rsidTr="00B46704">
        <w:trPr>
          <w:trHeight w:val="300"/>
        </w:trPr>
        <w:tc>
          <w:tcPr>
            <w:tcW w:w="993" w:type="dxa"/>
            <w:noWrap/>
          </w:tcPr>
          <w:p w14:paraId="79B673FF"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678CEC61" w14:textId="05C2B825"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NCT04640168</w:t>
            </w:r>
          </w:p>
        </w:tc>
        <w:tc>
          <w:tcPr>
            <w:tcW w:w="2168" w:type="dxa"/>
            <w:noWrap/>
          </w:tcPr>
          <w:p w14:paraId="24553110" w14:textId="1A1F0C6E"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COMPLETED</w:t>
            </w:r>
          </w:p>
        </w:tc>
        <w:tc>
          <w:tcPr>
            <w:tcW w:w="4125" w:type="dxa"/>
          </w:tcPr>
          <w:p w14:paraId="7347F4E5"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7B258F0D" w14:textId="77777777" w:rsidTr="00B46704">
        <w:trPr>
          <w:trHeight w:val="300"/>
        </w:trPr>
        <w:tc>
          <w:tcPr>
            <w:tcW w:w="993" w:type="dxa"/>
            <w:noWrap/>
          </w:tcPr>
          <w:p w14:paraId="04B98DF6"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5D87C678" w14:textId="342C9926"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NCT04973449</w:t>
            </w:r>
          </w:p>
        </w:tc>
        <w:tc>
          <w:tcPr>
            <w:tcW w:w="2168" w:type="dxa"/>
            <w:noWrap/>
          </w:tcPr>
          <w:p w14:paraId="3CD5DAF6" w14:textId="2DFC21B2"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COMPLETED</w:t>
            </w:r>
          </w:p>
        </w:tc>
        <w:tc>
          <w:tcPr>
            <w:tcW w:w="4125" w:type="dxa"/>
          </w:tcPr>
          <w:p w14:paraId="733DE263"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4D44AF4E" w14:textId="77777777" w:rsidTr="00B46704">
        <w:trPr>
          <w:trHeight w:val="300"/>
        </w:trPr>
        <w:tc>
          <w:tcPr>
            <w:tcW w:w="993" w:type="dxa"/>
            <w:noWrap/>
          </w:tcPr>
          <w:p w14:paraId="38009D17"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0A974EAE" w14:textId="3CA569CE"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NCT05630339</w:t>
            </w:r>
          </w:p>
        </w:tc>
        <w:tc>
          <w:tcPr>
            <w:tcW w:w="2168" w:type="dxa"/>
            <w:noWrap/>
          </w:tcPr>
          <w:p w14:paraId="69B21C16" w14:textId="30D8C9E5"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NOT_YET_RECRUITING</w:t>
            </w:r>
          </w:p>
        </w:tc>
        <w:tc>
          <w:tcPr>
            <w:tcW w:w="4125" w:type="dxa"/>
          </w:tcPr>
          <w:p w14:paraId="70EC5EA4"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206243EC" w14:textId="77777777" w:rsidTr="00B46704">
        <w:trPr>
          <w:trHeight w:val="300"/>
        </w:trPr>
        <w:tc>
          <w:tcPr>
            <w:tcW w:w="993" w:type="dxa"/>
            <w:noWrap/>
          </w:tcPr>
          <w:p w14:paraId="5F061694"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079D2467" w14:textId="07C629AA"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NCT04401579</w:t>
            </w:r>
          </w:p>
        </w:tc>
        <w:tc>
          <w:tcPr>
            <w:tcW w:w="2168" w:type="dxa"/>
            <w:noWrap/>
          </w:tcPr>
          <w:p w14:paraId="328A47D4" w14:textId="58391F92"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COMPLETED</w:t>
            </w:r>
          </w:p>
        </w:tc>
        <w:tc>
          <w:tcPr>
            <w:tcW w:w="4125" w:type="dxa"/>
          </w:tcPr>
          <w:p w14:paraId="7DF263A2"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694D80D1" w14:textId="77777777" w:rsidTr="00B46704">
        <w:trPr>
          <w:trHeight w:val="300"/>
        </w:trPr>
        <w:tc>
          <w:tcPr>
            <w:tcW w:w="993" w:type="dxa"/>
            <w:noWrap/>
          </w:tcPr>
          <w:p w14:paraId="74D46DC0"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148367B9" w14:textId="227D0273"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NCT04621071</w:t>
            </w:r>
          </w:p>
        </w:tc>
        <w:tc>
          <w:tcPr>
            <w:tcW w:w="2168" w:type="dxa"/>
            <w:noWrap/>
          </w:tcPr>
          <w:p w14:paraId="102ED92F" w14:textId="30D3CA86"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COMPLETED</w:t>
            </w:r>
          </w:p>
        </w:tc>
        <w:tc>
          <w:tcPr>
            <w:tcW w:w="4125" w:type="dxa"/>
          </w:tcPr>
          <w:p w14:paraId="704EA3A8"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716D9CFD" w14:textId="77777777" w:rsidTr="00B46704">
        <w:trPr>
          <w:trHeight w:val="300"/>
        </w:trPr>
        <w:tc>
          <w:tcPr>
            <w:tcW w:w="993" w:type="dxa"/>
            <w:noWrap/>
          </w:tcPr>
          <w:p w14:paraId="5D53CA09"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727A9BA0" w14:textId="480D3ADD"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NCT04363606</w:t>
            </w:r>
          </w:p>
        </w:tc>
        <w:tc>
          <w:tcPr>
            <w:tcW w:w="2168" w:type="dxa"/>
            <w:noWrap/>
          </w:tcPr>
          <w:p w14:paraId="64B13997" w14:textId="3E98155D"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RECRUITING</w:t>
            </w:r>
          </w:p>
        </w:tc>
        <w:tc>
          <w:tcPr>
            <w:tcW w:w="4125" w:type="dxa"/>
          </w:tcPr>
          <w:p w14:paraId="7DFB486B"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5736CFC7" w14:textId="77777777" w:rsidTr="00B46704">
        <w:trPr>
          <w:trHeight w:val="300"/>
        </w:trPr>
        <w:tc>
          <w:tcPr>
            <w:tcW w:w="993" w:type="dxa"/>
            <w:noWrap/>
          </w:tcPr>
          <w:p w14:paraId="152C7CCA"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66BC13FE" w14:textId="6B786BE5"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NCT05226754</w:t>
            </w:r>
          </w:p>
        </w:tc>
        <w:tc>
          <w:tcPr>
            <w:tcW w:w="2168" w:type="dxa"/>
            <w:noWrap/>
          </w:tcPr>
          <w:p w14:paraId="5857E378" w14:textId="05D02B9A"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RECRUITING</w:t>
            </w:r>
          </w:p>
        </w:tc>
        <w:tc>
          <w:tcPr>
            <w:tcW w:w="4125" w:type="dxa"/>
          </w:tcPr>
          <w:p w14:paraId="3EBE5786"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2D172503" w14:textId="77777777" w:rsidTr="00B46704">
        <w:trPr>
          <w:trHeight w:val="300"/>
        </w:trPr>
        <w:tc>
          <w:tcPr>
            <w:tcW w:w="993" w:type="dxa"/>
            <w:noWrap/>
          </w:tcPr>
          <w:p w14:paraId="6CCDE0EE"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313AE9EC" w14:textId="1E256CB8"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NCT05629975</w:t>
            </w:r>
          </w:p>
        </w:tc>
        <w:tc>
          <w:tcPr>
            <w:tcW w:w="2168" w:type="dxa"/>
            <w:noWrap/>
          </w:tcPr>
          <w:p w14:paraId="3C2CC618" w14:textId="1CC8840C"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NOT_YET_RECRUITING</w:t>
            </w:r>
          </w:p>
        </w:tc>
        <w:tc>
          <w:tcPr>
            <w:tcW w:w="4125" w:type="dxa"/>
          </w:tcPr>
          <w:p w14:paraId="1CB86BE0"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4D4FB3E1" w14:textId="77777777" w:rsidTr="00B46704">
        <w:trPr>
          <w:trHeight w:val="300"/>
        </w:trPr>
        <w:tc>
          <w:tcPr>
            <w:tcW w:w="993" w:type="dxa"/>
            <w:noWrap/>
          </w:tcPr>
          <w:p w14:paraId="6BF3B529"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7F79D443" w14:textId="537E727C"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NCT04941703</w:t>
            </w:r>
          </w:p>
        </w:tc>
        <w:tc>
          <w:tcPr>
            <w:tcW w:w="2168" w:type="dxa"/>
            <w:noWrap/>
          </w:tcPr>
          <w:p w14:paraId="7FD0FD9B" w14:textId="34FAECBE"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TERMINATED</w:t>
            </w:r>
          </w:p>
        </w:tc>
        <w:tc>
          <w:tcPr>
            <w:tcW w:w="4125" w:type="dxa"/>
          </w:tcPr>
          <w:p w14:paraId="0F9E1979"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39F86A4C" w14:textId="77777777" w:rsidTr="00B46704">
        <w:trPr>
          <w:trHeight w:val="300"/>
        </w:trPr>
        <w:tc>
          <w:tcPr>
            <w:tcW w:w="993" w:type="dxa"/>
            <w:noWrap/>
          </w:tcPr>
          <w:p w14:paraId="05B49669"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7BFADB2F" w14:textId="19590BDE"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NCT05057897</w:t>
            </w:r>
          </w:p>
        </w:tc>
        <w:tc>
          <w:tcPr>
            <w:tcW w:w="2168" w:type="dxa"/>
            <w:noWrap/>
          </w:tcPr>
          <w:p w14:paraId="61B79E3F" w14:textId="08290B22"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TERMINATED</w:t>
            </w:r>
          </w:p>
        </w:tc>
        <w:tc>
          <w:tcPr>
            <w:tcW w:w="4125" w:type="dxa"/>
          </w:tcPr>
          <w:p w14:paraId="5C3EC09C"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5A1FB759" w14:textId="77777777" w:rsidTr="00B46704">
        <w:trPr>
          <w:trHeight w:val="300"/>
        </w:trPr>
        <w:tc>
          <w:tcPr>
            <w:tcW w:w="993" w:type="dxa"/>
            <w:noWrap/>
          </w:tcPr>
          <w:p w14:paraId="0A12A6A7"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088FFB42" w14:textId="299CD5C5"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NCT04363216</w:t>
            </w:r>
          </w:p>
        </w:tc>
        <w:tc>
          <w:tcPr>
            <w:tcW w:w="2168" w:type="dxa"/>
            <w:noWrap/>
          </w:tcPr>
          <w:p w14:paraId="16A6DB5C" w14:textId="00C1A5CF"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UNKNOWN</w:t>
            </w:r>
          </w:p>
        </w:tc>
        <w:tc>
          <w:tcPr>
            <w:tcW w:w="4125" w:type="dxa"/>
          </w:tcPr>
          <w:p w14:paraId="1A3A1DBC"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240D1D82" w14:textId="77777777" w:rsidTr="00B46704">
        <w:trPr>
          <w:trHeight w:val="300"/>
        </w:trPr>
        <w:tc>
          <w:tcPr>
            <w:tcW w:w="993" w:type="dxa"/>
            <w:noWrap/>
          </w:tcPr>
          <w:p w14:paraId="0DC9C94C"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113C14AC" w14:textId="2002B55E"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NCT05552625</w:t>
            </w:r>
          </w:p>
        </w:tc>
        <w:tc>
          <w:tcPr>
            <w:tcW w:w="2168" w:type="dxa"/>
            <w:noWrap/>
          </w:tcPr>
          <w:p w14:paraId="48F1B678" w14:textId="22F48F59"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COMPLETED</w:t>
            </w:r>
          </w:p>
        </w:tc>
        <w:tc>
          <w:tcPr>
            <w:tcW w:w="4125" w:type="dxa"/>
          </w:tcPr>
          <w:p w14:paraId="7BF1E4F8"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4A814BFA" w14:textId="77777777" w:rsidTr="00B46704">
        <w:trPr>
          <w:trHeight w:val="300"/>
        </w:trPr>
        <w:tc>
          <w:tcPr>
            <w:tcW w:w="993" w:type="dxa"/>
            <w:noWrap/>
          </w:tcPr>
          <w:p w14:paraId="2631C0FF"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5DC5B606" w14:textId="1B2C1127"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NCT04357730</w:t>
            </w:r>
          </w:p>
        </w:tc>
        <w:tc>
          <w:tcPr>
            <w:tcW w:w="2168" w:type="dxa"/>
            <w:noWrap/>
          </w:tcPr>
          <w:p w14:paraId="04E4F7A6" w14:textId="049ACFC3"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COMPLETED</w:t>
            </w:r>
          </w:p>
        </w:tc>
        <w:tc>
          <w:tcPr>
            <w:tcW w:w="4125" w:type="dxa"/>
          </w:tcPr>
          <w:p w14:paraId="5EFD4B42"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3EEC6557" w14:textId="77777777" w:rsidTr="00B46704">
        <w:trPr>
          <w:trHeight w:val="300"/>
        </w:trPr>
        <w:tc>
          <w:tcPr>
            <w:tcW w:w="993" w:type="dxa"/>
            <w:noWrap/>
          </w:tcPr>
          <w:p w14:paraId="5D4C8DA3"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5CE27B8F" w14:textId="42212BB7"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NCT05371288</w:t>
            </w:r>
          </w:p>
        </w:tc>
        <w:tc>
          <w:tcPr>
            <w:tcW w:w="2168" w:type="dxa"/>
            <w:noWrap/>
          </w:tcPr>
          <w:p w14:paraId="77AAF284" w14:textId="0D96F2B3"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NOT_YET_RECRUITING</w:t>
            </w:r>
          </w:p>
        </w:tc>
        <w:tc>
          <w:tcPr>
            <w:tcW w:w="4125" w:type="dxa"/>
          </w:tcPr>
          <w:p w14:paraId="74269C6C"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6F6C33BB" w14:textId="77777777" w:rsidTr="00B46704">
        <w:trPr>
          <w:trHeight w:val="300"/>
        </w:trPr>
        <w:tc>
          <w:tcPr>
            <w:tcW w:w="993" w:type="dxa"/>
            <w:noWrap/>
          </w:tcPr>
          <w:p w14:paraId="0DF89A71"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1549A0BE" w14:textId="72E96556"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NCT04570462</w:t>
            </w:r>
          </w:p>
        </w:tc>
        <w:tc>
          <w:tcPr>
            <w:tcW w:w="2168" w:type="dxa"/>
            <w:noWrap/>
          </w:tcPr>
          <w:p w14:paraId="44A85BA2" w14:textId="7EE189CD"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WITHDRAWN</w:t>
            </w:r>
          </w:p>
        </w:tc>
        <w:tc>
          <w:tcPr>
            <w:tcW w:w="4125" w:type="dxa"/>
          </w:tcPr>
          <w:p w14:paraId="09D0420D"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5936E414" w14:textId="77777777" w:rsidTr="00B46704">
        <w:trPr>
          <w:trHeight w:val="300"/>
        </w:trPr>
        <w:tc>
          <w:tcPr>
            <w:tcW w:w="993" w:type="dxa"/>
            <w:noWrap/>
          </w:tcPr>
          <w:p w14:paraId="397B53D1"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4B4B5D7B" w14:textId="71D51BF8"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NCT04864561</w:t>
            </w:r>
          </w:p>
        </w:tc>
        <w:tc>
          <w:tcPr>
            <w:tcW w:w="2168" w:type="dxa"/>
            <w:noWrap/>
          </w:tcPr>
          <w:p w14:paraId="254E0862" w14:textId="179EE8F7"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COMPLETED</w:t>
            </w:r>
          </w:p>
        </w:tc>
        <w:tc>
          <w:tcPr>
            <w:tcW w:w="4125" w:type="dxa"/>
          </w:tcPr>
          <w:p w14:paraId="3DA46321"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146E972E" w14:textId="77777777" w:rsidTr="00B46704">
        <w:trPr>
          <w:trHeight w:val="300"/>
        </w:trPr>
        <w:tc>
          <w:tcPr>
            <w:tcW w:w="993" w:type="dxa"/>
            <w:noWrap/>
          </w:tcPr>
          <w:p w14:paraId="29D8B37A"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796A0B7C" w14:textId="465C068D"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NCT05363410</w:t>
            </w:r>
          </w:p>
        </w:tc>
        <w:tc>
          <w:tcPr>
            <w:tcW w:w="2168" w:type="dxa"/>
            <w:noWrap/>
          </w:tcPr>
          <w:p w14:paraId="74478EC7" w14:textId="53741940"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NOT_YET_RECRUITING</w:t>
            </w:r>
          </w:p>
        </w:tc>
        <w:tc>
          <w:tcPr>
            <w:tcW w:w="4125" w:type="dxa"/>
          </w:tcPr>
          <w:p w14:paraId="783D5682"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4880F4BA" w14:textId="77777777" w:rsidTr="00B46704">
        <w:trPr>
          <w:trHeight w:val="300"/>
        </w:trPr>
        <w:tc>
          <w:tcPr>
            <w:tcW w:w="993" w:type="dxa"/>
            <w:noWrap/>
          </w:tcPr>
          <w:p w14:paraId="71AA88EA"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3653649B" w14:textId="27F997C6"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NCT04847518</w:t>
            </w:r>
          </w:p>
        </w:tc>
        <w:tc>
          <w:tcPr>
            <w:tcW w:w="2168" w:type="dxa"/>
            <w:noWrap/>
          </w:tcPr>
          <w:p w14:paraId="384761DB" w14:textId="2D405382"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UNKNOWN</w:t>
            </w:r>
          </w:p>
        </w:tc>
        <w:tc>
          <w:tcPr>
            <w:tcW w:w="4125" w:type="dxa"/>
          </w:tcPr>
          <w:p w14:paraId="2581D658"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1D247BD4" w14:textId="77777777" w:rsidTr="00B46704">
        <w:trPr>
          <w:trHeight w:val="300"/>
        </w:trPr>
        <w:tc>
          <w:tcPr>
            <w:tcW w:w="993" w:type="dxa"/>
            <w:noWrap/>
          </w:tcPr>
          <w:p w14:paraId="16395F83"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3211D332" w14:textId="17D06E22"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NCT05836402</w:t>
            </w:r>
          </w:p>
        </w:tc>
        <w:tc>
          <w:tcPr>
            <w:tcW w:w="2168" w:type="dxa"/>
            <w:noWrap/>
          </w:tcPr>
          <w:p w14:paraId="70DFFE40" w14:textId="321DC1E7"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NOT_YET_RECRUITING</w:t>
            </w:r>
          </w:p>
        </w:tc>
        <w:tc>
          <w:tcPr>
            <w:tcW w:w="4125" w:type="dxa"/>
          </w:tcPr>
          <w:p w14:paraId="5C29DC54"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72286E36" w14:textId="77777777" w:rsidTr="00B46704">
        <w:trPr>
          <w:trHeight w:val="300"/>
        </w:trPr>
        <w:tc>
          <w:tcPr>
            <w:tcW w:w="993" w:type="dxa"/>
            <w:noWrap/>
          </w:tcPr>
          <w:p w14:paraId="1BAF27DE"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29993DCD" w14:textId="3AA4938F"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NCT05080244</w:t>
            </w:r>
          </w:p>
        </w:tc>
        <w:tc>
          <w:tcPr>
            <w:tcW w:w="2168" w:type="dxa"/>
            <w:noWrap/>
          </w:tcPr>
          <w:p w14:paraId="76E4A641" w14:textId="56BDAA37"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COMPLETED</w:t>
            </w:r>
          </w:p>
        </w:tc>
        <w:tc>
          <w:tcPr>
            <w:tcW w:w="4125" w:type="dxa"/>
          </w:tcPr>
          <w:p w14:paraId="3CCB0213"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3FCFA60D" w14:textId="77777777" w:rsidTr="00B46704">
        <w:trPr>
          <w:trHeight w:val="300"/>
        </w:trPr>
        <w:tc>
          <w:tcPr>
            <w:tcW w:w="993" w:type="dxa"/>
            <w:noWrap/>
          </w:tcPr>
          <w:p w14:paraId="1418FD90"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1DC43F2D" w14:textId="4537F4F2"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NCT05290298</w:t>
            </w:r>
          </w:p>
        </w:tc>
        <w:tc>
          <w:tcPr>
            <w:tcW w:w="2168" w:type="dxa"/>
            <w:noWrap/>
          </w:tcPr>
          <w:p w14:paraId="0CB86E3A" w14:textId="0EBCB026"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COMPLETED</w:t>
            </w:r>
          </w:p>
        </w:tc>
        <w:tc>
          <w:tcPr>
            <w:tcW w:w="4125" w:type="dxa"/>
          </w:tcPr>
          <w:p w14:paraId="1A69687C"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053AFD68" w14:textId="77777777" w:rsidTr="00B46704">
        <w:trPr>
          <w:trHeight w:val="300"/>
        </w:trPr>
        <w:tc>
          <w:tcPr>
            <w:tcW w:w="993" w:type="dxa"/>
            <w:noWrap/>
          </w:tcPr>
          <w:p w14:paraId="1C2209A1"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60D83536" w14:textId="77BE592C"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NCT04708340</w:t>
            </w:r>
          </w:p>
        </w:tc>
        <w:tc>
          <w:tcPr>
            <w:tcW w:w="2168" w:type="dxa"/>
            <w:noWrap/>
          </w:tcPr>
          <w:p w14:paraId="617E3CA5" w14:textId="5C6FF61A"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ACTIVE_NOT_RECRUITING</w:t>
            </w:r>
          </w:p>
        </w:tc>
        <w:tc>
          <w:tcPr>
            <w:tcW w:w="4125" w:type="dxa"/>
          </w:tcPr>
          <w:p w14:paraId="42E97296"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1A5EB069" w14:textId="77777777" w:rsidTr="00B46704">
        <w:trPr>
          <w:trHeight w:val="300"/>
        </w:trPr>
        <w:tc>
          <w:tcPr>
            <w:tcW w:w="993" w:type="dxa"/>
            <w:noWrap/>
          </w:tcPr>
          <w:p w14:paraId="43182299"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0FF41AAE" w14:textId="4E412CDE"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NCT04420676</w:t>
            </w:r>
          </w:p>
        </w:tc>
        <w:tc>
          <w:tcPr>
            <w:tcW w:w="2168" w:type="dxa"/>
            <w:noWrap/>
          </w:tcPr>
          <w:p w14:paraId="22B0498C" w14:textId="3563304B"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ACTIVE_NOT_RECRUITING</w:t>
            </w:r>
          </w:p>
        </w:tc>
        <w:tc>
          <w:tcPr>
            <w:tcW w:w="4125" w:type="dxa"/>
          </w:tcPr>
          <w:p w14:paraId="60024C82"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3CB9CD2D" w14:textId="77777777" w:rsidTr="00B46704">
        <w:trPr>
          <w:trHeight w:val="300"/>
        </w:trPr>
        <w:tc>
          <w:tcPr>
            <w:tcW w:w="993" w:type="dxa"/>
            <w:noWrap/>
          </w:tcPr>
          <w:p w14:paraId="3DA27DE4" w14:textId="77777777"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1DC47430" w14:textId="39407973"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NCT05715944</w:t>
            </w:r>
          </w:p>
        </w:tc>
        <w:tc>
          <w:tcPr>
            <w:tcW w:w="2168" w:type="dxa"/>
            <w:noWrap/>
          </w:tcPr>
          <w:p w14:paraId="14AA1F8B" w14:textId="79800033" w:rsidR="00A92A05" w:rsidRPr="00903922" w:rsidRDefault="00A92A05" w:rsidP="009C50C6">
            <w:pPr>
              <w:rPr>
                <w:rFonts w:ascii="Calibri" w:hAnsi="Calibri" w:cs="Calibri"/>
                <w:color w:val="000000"/>
                <w:sz w:val="14"/>
                <w:szCs w:val="14"/>
              </w:rPr>
            </w:pPr>
            <w:r w:rsidRPr="00903922">
              <w:rPr>
                <w:rFonts w:ascii="Calibri" w:hAnsi="Calibri" w:cs="Calibri"/>
                <w:color w:val="000000"/>
                <w:sz w:val="14"/>
                <w:szCs w:val="14"/>
              </w:rPr>
              <w:t>COMPLETED</w:t>
            </w:r>
          </w:p>
        </w:tc>
        <w:tc>
          <w:tcPr>
            <w:tcW w:w="4125" w:type="dxa"/>
          </w:tcPr>
          <w:p w14:paraId="5D88E39F" w14:textId="77777777" w:rsidR="00A92A05" w:rsidRPr="00903922" w:rsidRDefault="00A92A05" w:rsidP="009C50C6">
            <w:pPr>
              <w:rPr>
                <w:rFonts w:ascii="Times New Roman" w:eastAsia="Times New Roman" w:hAnsi="Times New Roman" w:cs="Times New Roman"/>
                <w:color w:val="000000"/>
                <w:kern w:val="0"/>
                <w:sz w:val="14"/>
                <w:szCs w:val="14"/>
                <w:lang w:eastAsia="en-NL"/>
                <w14:ligatures w14:val="none"/>
              </w:rPr>
            </w:pPr>
          </w:p>
        </w:tc>
      </w:tr>
      <w:tr w:rsidR="00A92A05" w:rsidRPr="00903922" w14:paraId="78657834" w14:textId="77777777" w:rsidTr="00B46704">
        <w:trPr>
          <w:trHeight w:val="300"/>
        </w:trPr>
        <w:tc>
          <w:tcPr>
            <w:tcW w:w="993" w:type="dxa"/>
            <w:noWrap/>
          </w:tcPr>
          <w:p w14:paraId="3F00FB62" w14:textId="74A0EC29" w:rsidR="00A92A05" w:rsidRPr="00903922" w:rsidRDefault="00A92A05" w:rsidP="009C50C6">
            <w:pPr>
              <w:rPr>
                <w:rFonts w:ascii="Times New Roman" w:eastAsia="Times New Roman" w:hAnsi="Times New Roman" w:cs="Times New Roman"/>
                <w:color w:val="000000"/>
                <w:kern w:val="0"/>
                <w:sz w:val="14"/>
                <w:szCs w:val="14"/>
                <w:lang w:val="en-US" w:eastAsia="en-NL"/>
                <w14:ligatures w14:val="none"/>
              </w:rPr>
            </w:pPr>
            <w:r w:rsidRPr="00903922">
              <w:rPr>
                <w:rFonts w:ascii="Times New Roman" w:eastAsia="Times New Roman" w:hAnsi="Times New Roman" w:cs="Times New Roman"/>
                <w:color w:val="000000"/>
                <w:kern w:val="0"/>
                <w:sz w:val="14"/>
                <w:szCs w:val="14"/>
                <w:lang w:val="en-US" w:eastAsia="en-NL"/>
                <w14:ligatures w14:val="none"/>
              </w:rPr>
              <w:t>Methylene Blue</w:t>
            </w:r>
          </w:p>
        </w:tc>
        <w:tc>
          <w:tcPr>
            <w:tcW w:w="1126" w:type="dxa"/>
            <w:noWrap/>
          </w:tcPr>
          <w:p w14:paraId="23B8B5BF" w14:textId="114463D2" w:rsidR="00A92A05" w:rsidRPr="002706D5" w:rsidRDefault="002706D5" w:rsidP="009C50C6">
            <w:pPr>
              <w:rPr>
                <w:rFonts w:ascii="Calibri" w:hAnsi="Calibri" w:cs="Calibri"/>
                <w:color w:val="000000"/>
                <w:sz w:val="14"/>
                <w:szCs w:val="14"/>
                <w:lang w:val="en-US"/>
              </w:rPr>
            </w:pPr>
            <w:r>
              <w:rPr>
                <w:rFonts w:ascii="Calibri" w:hAnsi="Calibri" w:cs="Calibri"/>
                <w:color w:val="000000"/>
                <w:sz w:val="14"/>
                <w:szCs w:val="14"/>
                <w:lang w:val="en-US"/>
              </w:rPr>
              <w:t>See above</w:t>
            </w:r>
          </w:p>
        </w:tc>
        <w:tc>
          <w:tcPr>
            <w:tcW w:w="2168" w:type="dxa"/>
            <w:noWrap/>
          </w:tcPr>
          <w:p w14:paraId="00211D62" w14:textId="77774EBF" w:rsidR="00A92A05" w:rsidRPr="00903922" w:rsidRDefault="00A92A05" w:rsidP="009C50C6">
            <w:pPr>
              <w:rPr>
                <w:rFonts w:ascii="Calibri" w:hAnsi="Calibri" w:cs="Calibri"/>
                <w:color w:val="000000"/>
                <w:sz w:val="14"/>
                <w:szCs w:val="14"/>
              </w:rPr>
            </w:pPr>
          </w:p>
        </w:tc>
        <w:tc>
          <w:tcPr>
            <w:tcW w:w="4125" w:type="dxa"/>
          </w:tcPr>
          <w:p w14:paraId="1170E689" w14:textId="260A62A6" w:rsidR="00A92A05" w:rsidRPr="002706D5" w:rsidRDefault="002706D5" w:rsidP="009C50C6">
            <w:pPr>
              <w:rPr>
                <w:rFonts w:ascii="Times New Roman" w:eastAsia="Times New Roman" w:hAnsi="Times New Roman" w:cs="Times New Roman"/>
                <w:color w:val="000000"/>
                <w:kern w:val="0"/>
                <w:sz w:val="14"/>
                <w:szCs w:val="14"/>
                <w:lang w:val="en-US" w:eastAsia="en-NL"/>
                <w14:ligatures w14:val="none"/>
              </w:rPr>
            </w:pPr>
            <w:r>
              <w:rPr>
                <w:rFonts w:ascii="Times New Roman" w:eastAsia="Times New Roman" w:hAnsi="Times New Roman" w:cs="Times New Roman"/>
                <w:color w:val="000000"/>
                <w:kern w:val="0"/>
                <w:sz w:val="14"/>
                <w:szCs w:val="14"/>
                <w:lang w:val="en-US" w:eastAsia="en-NL"/>
                <w14:ligatures w14:val="none"/>
              </w:rPr>
              <w:t>See above</w:t>
            </w:r>
          </w:p>
        </w:tc>
      </w:tr>
      <w:tr w:rsidR="00A92A05" w:rsidRPr="00903922" w14:paraId="159920D9" w14:textId="77777777" w:rsidTr="00B46704">
        <w:trPr>
          <w:trHeight w:val="300"/>
        </w:trPr>
        <w:tc>
          <w:tcPr>
            <w:tcW w:w="993" w:type="dxa"/>
            <w:noWrap/>
          </w:tcPr>
          <w:p w14:paraId="386F83AC" w14:textId="1D2178FD" w:rsidR="00A92A05" w:rsidRPr="00903922" w:rsidRDefault="00A92A05" w:rsidP="001F038B">
            <w:pPr>
              <w:rPr>
                <w:rFonts w:ascii="Times New Roman" w:eastAsia="Times New Roman" w:hAnsi="Times New Roman" w:cs="Times New Roman"/>
                <w:color w:val="000000"/>
                <w:kern w:val="0"/>
                <w:sz w:val="14"/>
                <w:szCs w:val="14"/>
                <w:lang w:val="en-US" w:eastAsia="en-NL"/>
                <w14:ligatures w14:val="none"/>
              </w:rPr>
            </w:pPr>
            <w:r w:rsidRPr="00903922">
              <w:rPr>
                <w:rFonts w:ascii="Times New Roman" w:eastAsia="Times New Roman" w:hAnsi="Times New Roman" w:cs="Times New Roman"/>
                <w:color w:val="000000"/>
                <w:kern w:val="0"/>
                <w:sz w:val="14"/>
                <w:szCs w:val="14"/>
                <w:lang w:val="en-US" w:eastAsia="en-NL"/>
                <w14:ligatures w14:val="none"/>
              </w:rPr>
              <w:t>PBM</w:t>
            </w:r>
          </w:p>
        </w:tc>
        <w:tc>
          <w:tcPr>
            <w:tcW w:w="1126" w:type="dxa"/>
            <w:noWrap/>
          </w:tcPr>
          <w:p w14:paraId="291B3753" w14:textId="1F80480D" w:rsidR="00A92A05" w:rsidRPr="00903922" w:rsidRDefault="00A92A05" w:rsidP="001F038B">
            <w:pPr>
              <w:rPr>
                <w:rFonts w:ascii="Calibri" w:hAnsi="Calibri" w:cs="Calibri"/>
                <w:color w:val="000000"/>
                <w:sz w:val="14"/>
                <w:szCs w:val="14"/>
              </w:rPr>
            </w:pPr>
            <w:r w:rsidRPr="00903922">
              <w:rPr>
                <w:rFonts w:ascii="Calibri" w:hAnsi="Calibri" w:cs="Calibri"/>
                <w:color w:val="000000"/>
                <w:sz w:val="14"/>
                <w:szCs w:val="14"/>
              </w:rPr>
              <w:t>NCT04418505</w:t>
            </w:r>
          </w:p>
        </w:tc>
        <w:tc>
          <w:tcPr>
            <w:tcW w:w="2168" w:type="dxa"/>
            <w:noWrap/>
          </w:tcPr>
          <w:p w14:paraId="14263CD4" w14:textId="447291A2" w:rsidR="00A92A05" w:rsidRPr="00903922" w:rsidRDefault="00A92A05" w:rsidP="001F038B">
            <w:pPr>
              <w:rPr>
                <w:rFonts w:ascii="Calibri" w:hAnsi="Calibri" w:cs="Calibri"/>
                <w:color w:val="000000"/>
                <w:sz w:val="14"/>
                <w:szCs w:val="14"/>
              </w:rPr>
            </w:pPr>
            <w:r w:rsidRPr="00903922">
              <w:rPr>
                <w:rFonts w:ascii="Calibri" w:hAnsi="Calibri" w:cs="Calibri"/>
                <w:color w:val="000000"/>
                <w:sz w:val="14"/>
                <w:szCs w:val="14"/>
              </w:rPr>
              <w:t>UNKNOWN</w:t>
            </w:r>
          </w:p>
        </w:tc>
        <w:tc>
          <w:tcPr>
            <w:tcW w:w="4125" w:type="dxa"/>
          </w:tcPr>
          <w:p w14:paraId="7A49BA81" w14:textId="77777777" w:rsidR="00A92A05" w:rsidRDefault="00A92A05" w:rsidP="001F038B">
            <w:pPr>
              <w:rPr>
                <w:rFonts w:ascii="Times New Roman" w:eastAsia="Times New Roman" w:hAnsi="Times New Roman" w:cs="Times New Roman"/>
                <w:color w:val="000000"/>
                <w:kern w:val="0"/>
                <w:sz w:val="14"/>
                <w:szCs w:val="14"/>
                <w:lang w:val="en-US" w:eastAsia="en-NL"/>
                <w14:ligatures w14:val="none"/>
              </w:rPr>
            </w:pPr>
            <w:r>
              <w:rPr>
                <w:rFonts w:ascii="Times New Roman" w:eastAsia="Times New Roman" w:hAnsi="Times New Roman" w:cs="Times New Roman"/>
                <w:color w:val="000000"/>
                <w:kern w:val="0"/>
                <w:sz w:val="14"/>
                <w:szCs w:val="14"/>
                <w:lang w:val="en-US" w:eastAsia="en-NL"/>
                <w14:ligatures w14:val="none"/>
              </w:rPr>
              <w:t>PBM can reduce inflammation in animal models</w:t>
            </w:r>
            <w:r>
              <w:rPr>
                <w:rFonts w:ascii="Times New Roman" w:eastAsia="Times New Roman" w:hAnsi="Times New Roman" w:cs="Times New Roman"/>
                <w:color w:val="000000"/>
                <w:kern w:val="0"/>
                <w:sz w:val="14"/>
                <w:szCs w:val="14"/>
                <w:lang w:val="en-US" w:eastAsia="en-NL"/>
                <w14:ligatures w14:val="none"/>
              </w:rPr>
              <w:fldChar w:fldCharType="begin"/>
            </w:r>
            <w:r>
              <w:rPr>
                <w:rFonts w:ascii="Times New Roman" w:eastAsia="Times New Roman" w:hAnsi="Times New Roman" w:cs="Times New Roman"/>
                <w:color w:val="000000"/>
                <w:kern w:val="0"/>
                <w:sz w:val="14"/>
                <w:szCs w:val="14"/>
                <w:lang w:val="en-US" w:eastAsia="en-NL"/>
                <w14:ligatures w14:val="none"/>
              </w:rPr>
              <w:instrText xml:space="preserve"> ADDIN ZOTERO_ITEM CSL_CITATION {"citationID":"UC7bEuAY","properties":{"formattedCitation":"[43]","plainCitation":"[43]","noteIndex":0},"citationItems":[{"id":11665,"uris":["http://zotero.org/users/7565624/items/ZUF9RH2K"],"itemData":{"id":11665,"type":"article-journal","abstract":"Background\nCOVID-19, as a newly-emerged viral infection has now spread all over the world after originating in Wuhan, China. Pneumonia is the hallmark of the disease, with dyspnea in half of the patients and acute respiratory distress syndrome (ARDS) in up to one –third of the cases. Pulmonary edema, neutrophilic infiltration, and inflammatory cytokine release are the pathologic signs of this disease. The anti-inflammatory effect of the photobiomodulation (PBM) has been confirmed in many previous studies. Therefore, this review study was conducted to evaluate the direct effect of PBM on the acute lung inflammation or ARDS and also accelerating the regeneration of the damaged tissues. The indirect effects of PBM on modulation of the immune system, increasing the blood flow and oxygenation in other tissues were also considered.\nMethodology\nThe databases of PubMed, Cochrane library, and Google Scholar were searched to find the relevant studies. Keywords included the PBM and related terms, lung inflammation, and COVID-19 -related signs. Studies were categorized with respect to the target tissue, laser parameters, and their results.\nResults\nSeventeen related papers were included in this review. All of them were in animal models. They showed that the PBM could significantly decrease the pulmonary edema, neutrophil influx, and generation of pro-inflammatory cytokines (tumor necrosis factor-α (TNF-α), interleukin 1 beta (IL-1β), interleukin 6 (IL-6), intracellular adhesion molecule (ICAM), reactive oxygen species (ROS), isoform of nitric oxide synthase (iNOS), and macrophage inflammatory protein 2 (MIP-2)).\nConclusion\nOur findings revealed that the PBM could be helpful in reducing the lung inflammation and promoting the regeneration of the damaged tissue. PBM can increase the oxygenation indirectly in order to rehabilitate the affected organs. Thus, the infra-red lasers or light-emitting diodes (LEDs) are recommended in this regard.","container-title":"Cytokine","DOI":"10.1016/j.cyto.2020.155312","ISSN":"1043-4666","journalAbbreviation":"Cytokine","language":"en","page":"155312","source":"ScienceDirect","title":"Probable positive effects of the photobiomodulation as an adjunctive treatment in COVID-19: A systematic review","title-short":"Probable positive effects of the photobiomodulation as an adjunctive treatment in COVID-19","URL":"https://www.sciencedirect.com/science/article/pii/S1043466620303288","volume":"137","author":[{"family":"Nejatifard","given":"Marzieh"},{"family":"Asefi","given":"Sohrab"},{"family":"Jamali","given":"Raika"},{"family":"Hamblin","given":"Michael R."},{"family":"Fekrazad","given":"Reza"}],"accessed":{"date-parts":[["2023",6,23]]},"issued":{"date-parts":[["2021",1,1]]}}}],"schema":"https://github.com/citation-style-language/schema/raw/master/csl-citation.json"} </w:instrText>
            </w:r>
            <w:r>
              <w:rPr>
                <w:rFonts w:ascii="Times New Roman" w:eastAsia="Times New Roman" w:hAnsi="Times New Roman" w:cs="Times New Roman"/>
                <w:color w:val="000000"/>
                <w:kern w:val="0"/>
                <w:sz w:val="14"/>
                <w:szCs w:val="14"/>
                <w:lang w:val="en-US" w:eastAsia="en-NL"/>
                <w14:ligatures w14:val="none"/>
              </w:rPr>
              <w:fldChar w:fldCharType="separate"/>
            </w:r>
            <w:r w:rsidRPr="006078A7">
              <w:rPr>
                <w:rFonts w:ascii="Times New Roman" w:hAnsi="Times New Roman" w:cs="Times New Roman"/>
                <w:sz w:val="14"/>
              </w:rPr>
              <w:t>[43]</w:t>
            </w:r>
            <w:r>
              <w:rPr>
                <w:rFonts w:ascii="Times New Roman" w:eastAsia="Times New Roman" w:hAnsi="Times New Roman" w:cs="Times New Roman"/>
                <w:color w:val="000000"/>
                <w:kern w:val="0"/>
                <w:sz w:val="14"/>
                <w:szCs w:val="14"/>
                <w:lang w:val="en-US" w:eastAsia="en-NL"/>
                <w14:ligatures w14:val="none"/>
              </w:rPr>
              <w:fldChar w:fldCharType="end"/>
            </w:r>
            <w:r>
              <w:rPr>
                <w:rFonts w:ascii="Times New Roman" w:eastAsia="Times New Roman" w:hAnsi="Times New Roman" w:cs="Times New Roman"/>
                <w:color w:val="000000"/>
                <w:kern w:val="0"/>
                <w:sz w:val="14"/>
                <w:szCs w:val="14"/>
                <w:lang w:val="en-US" w:eastAsia="en-NL"/>
                <w14:ligatures w14:val="none"/>
              </w:rPr>
              <w:t>.</w:t>
            </w:r>
          </w:p>
          <w:p w14:paraId="19F8440B" w14:textId="7984F214" w:rsidR="00A92A05" w:rsidRPr="00903922" w:rsidRDefault="00A92A05" w:rsidP="001F038B">
            <w:pPr>
              <w:rPr>
                <w:rFonts w:ascii="Times New Roman" w:eastAsia="Times New Roman" w:hAnsi="Times New Roman" w:cs="Times New Roman"/>
                <w:color w:val="000000"/>
                <w:kern w:val="0"/>
                <w:sz w:val="14"/>
                <w:szCs w:val="14"/>
                <w:lang w:eastAsia="en-NL"/>
                <w14:ligatures w14:val="none"/>
              </w:rPr>
            </w:pPr>
            <w:r>
              <w:rPr>
                <w:rFonts w:ascii="Times New Roman" w:eastAsia="Times New Roman" w:hAnsi="Times New Roman" w:cs="Times New Roman"/>
                <w:color w:val="000000"/>
                <w:kern w:val="0"/>
                <w:sz w:val="14"/>
                <w:szCs w:val="14"/>
                <w:lang w:val="en-US" w:eastAsia="en-NL"/>
                <w14:ligatures w14:val="none"/>
              </w:rPr>
              <w:t>Improvement on pulmonary indices and faster recovery, less long covid after infection treated with PBM</w:t>
            </w:r>
            <w:r>
              <w:rPr>
                <w:rFonts w:ascii="Times New Roman" w:eastAsia="Times New Roman" w:hAnsi="Times New Roman" w:cs="Times New Roman"/>
                <w:color w:val="000000"/>
                <w:kern w:val="0"/>
                <w:sz w:val="14"/>
                <w:szCs w:val="14"/>
                <w:lang w:val="en-US" w:eastAsia="en-NL"/>
                <w14:ligatures w14:val="none"/>
              </w:rPr>
              <w:fldChar w:fldCharType="begin"/>
            </w:r>
            <w:r>
              <w:rPr>
                <w:rFonts w:ascii="Times New Roman" w:eastAsia="Times New Roman" w:hAnsi="Times New Roman" w:cs="Times New Roman"/>
                <w:color w:val="000000"/>
                <w:kern w:val="0"/>
                <w:sz w:val="14"/>
                <w:szCs w:val="14"/>
                <w:lang w:val="en-US" w:eastAsia="en-NL"/>
                <w14:ligatures w14:val="none"/>
              </w:rPr>
              <w:instrText xml:space="preserve"> ADDIN ZOTERO_ITEM CSL_CITATION {"citationID":"N0Qor4Ui","properties":{"formattedCitation":"[44]","plainCitation":"[44]","noteIndex":0},"citationItems":[{"id":11668,"uris":["http://zotero.org/users/7565624/items/3CFX6QIF"],"itemData":{"id":11668,"type":"article-journal","abstract":"Purpose\nEvidence-based and effective treatments for COVID-19 are limited, and a new wave of infections and deaths calls for novel, easily implemented treatment strategies. Photobiomodulation therapy (PBMT) is a well-known adjunctive treatment for pain management, wound healing, lymphedema, and cellulitis. PBMT uses light to start a cascade of photochemical reactions that lead to local and systemic anti-inflammatory effects at multiple levels and that stimulate healing. Numerous empirical studies of PBMT for patients with pulmonary disease such as pneumonia, COPD and asthma suggest that PBMT is a safe and effective adjunctive treatment. Recent systematic reviews suggest that PBMT may be applied to target lung tissue in COVID-19 patients. In this preliminary study, we evaluated the effect of adjunctive PBMT on COVID-19 pneumonia and patient clinical status.\n\nPatients and Methods\nWe present a small-scale clinical trial with 10 patients randomized to standard medical care or standard medical care plus adjunctive PBMT. The PBMT group received four daily sessions of near-infrared light treatment targeting the lung tissue via a Multiwave Locked System (MLS) laser. Patient outcomes were measured via blood work, chest x-rays, pulse oximetry and validated scoring tools for pneumonia.\n\nResults\nPBMT patients showed improvement on pulmonary indices such as SMART-COP, BCRSS, RALE, and CAP (Community-Acquired Pneumonia questionnaire). PBMT-treated patients showed rapid recovery, did not require ICU admission or mechanical ventilation, and reported no long-term sequelae at 5 months after treatment. In the control group, 60% of patients were admitted to the ICU for mechanical ventilation. The control group had an overall mortality of 40%. At a 5-month follow-up, 40% of the control group experienced long-term sequelae.\n\nConclusion\nPBMT is a safe and effective potential treatment for COVID-19 pneumonia and improves clinical status in COVID-19 pneumonia.","container-title":"Journal of Inflammation Research","DOI":"10.2147/JIR.S301625","ISSN":"1178-7031","journalAbbreviation":"J Inflamm Res","note":"PMID: 33776469\nPMCID: PMC7989376","page":"965-979","source":"PubMed Central","title":"Evaluation of Adjunctive Photobiomodulation (PBMT) for COVID-19 Pneumonia via Clinical Status and Pulmonary Severity Indices in a Preliminary Trial","URL":"https://www.ncbi.nlm.nih.gov/pmc/articles/PMC7989376/","volume":"14","author":[{"family":"Vetrici","given":"Mariana A"},{"family":"Mokmeli","given":"Soheila"},{"family":"Bohm","given":"Andrew R"},{"family":"Monici","given":"Monica"},{"family":"Sigman","given":"Scott A"}],"accessed":{"date-parts":[["2023",6,23]]},"issued":{"date-parts":[["2021",3,19]]}}}],"schema":"https://github.com/citation-style-language/schema/raw/master/csl-citation.json"} </w:instrText>
            </w:r>
            <w:r>
              <w:rPr>
                <w:rFonts w:ascii="Times New Roman" w:eastAsia="Times New Roman" w:hAnsi="Times New Roman" w:cs="Times New Roman"/>
                <w:color w:val="000000"/>
                <w:kern w:val="0"/>
                <w:sz w:val="14"/>
                <w:szCs w:val="14"/>
                <w:lang w:val="en-US" w:eastAsia="en-NL"/>
                <w14:ligatures w14:val="none"/>
              </w:rPr>
              <w:fldChar w:fldCharType="separate"/>
            </w:r>
            <w:r w:rsidRPr="006078A7">
              <w:rPr>
                <w:rFonts w:ascii="Times New Roman" w:hAnsi="Times New Roman" w:cs="Times New Roman"/>
                <w:sz w:val="14"/>
              </w:rPr>
              <w:t>[44]</w:t>
            </w:r>
            <w:r>
              <w:rPr>
                <w:rFonts w:ascii="Times New Roman" w:eastAsia="Times New Roman" w:hAnsi="Times New Roman" w:cs="Times New Roman"/>
                <w:color w:val="000000"/>
                <w:kern w:val="0"/>
                <w:sz w:val="14"/>
                <w:szCs w:val="14"/>
                <w:lang w:val="en-US" w:eastAsia="en-NL"/>
                <w14:ligatures w14:val="none"/>
              </w:rPr>
              <w:fldChar w:fldCharType="end"/>
            </w:r>
          </w:p>
        </w:tc>
      </w:tr>
      <w:tr w:rsidR="00A92A05" w:rsidRPr="00903922" w14:paraId="6AF8C369" w14:textId="77777777" w:rsidTr="00B46704">
        <w:trPr>
          <w:trHeight w:val="300"/>
        </w:trPr>
        <w:tc>
          <w:tcPr>
            <w:tcW w:w="993" w:type="dxa"/>
            <w:noWrap/>
          </w:tcPr>
          <w:p w14:paraId="744066C9" w14:textId="7C47D5FC" w:rsidR="00A92A05" w:rsidRPr="00903922" w:rsidRDefault="00A92A05" w:rsidP="001F038B">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65B42581" w14:textId="0AAFC878" w:rsidR="00A92A05" w:rsidRPr="00903922" w:rsidRDefault="00A92A05" w:rsidP="001F038B">
            <w:pPr>
              <w:rPr>
                <w:rFonts w:ascii="Calibri" w:hAnsi="Calibri" w:cs="Calibri"/>
                <w:color w:val="000000"/>
                <w:sz w:val="14"/>
                <w:szCs w:val="14"/>
              </w:rPr>
            </w:pPr>
            <w:r w:rsidRPr="00903922">
              <w:rPr>
                <w:rFonts w:ascii="Calibri" w:hAnsi="Calibri" w:cs="Calibri"/>
                <w:color w:val="000000"/>
                <w:sz w:val="14"/>
                <w:szCs w:val="14"/>
              </w:rPr>
              <w:t>NCT04416113</w:t>
            </w:r>
          </w:p>
        </w:tc>
        <w:tc>
          <w:tcPr>
            <w:tcW w:w="2168" w:type="dxa"/>
            <w:noWrap/>
          </w:tcPr>
          <w:p w14:paraId="4B0FA2B3" w14:textId="67340FB1" w:rsidR="00A92A05" w:rsidRPr="00903922" w:rsidRDefault="00A92A05" w:rsidP="001F038B">
            <w:pPr>
              <w:rPr>
                <w:rFonts w:ascii="Calibri" w:hAnsi="Calibri" w:cs="Calibri"/>
                <w:color w:val="000000"/>
                <w:sz w:val="14"/>
                <w:szCs w:val="14"/>
              </w:rPr>
            </w:pPr>
            <w:r w:rsidRPr="00903922">
              <w:rPr>
                <w:rFonts w:ascii="Calibri" w:hAnsi="Calibri" w:cs="Calibri"/>
                <w:color w:val="000000"/>
                <w:sz w:val="14"/>
                <w:szCs w:val="14"/>
              </w:rPr>
              <w:t>ACTIVE_NOT_RECRUITING</w:t>
            </w:r>
          </w:p>
        </w:tc>
        <w:tc>
          <w:tcPr>
            <w:tcW w:w="4125" w:type="dxa"/>
            <w:vMerge w:val="restart"/>
          </w:tcPr>
          <w:p w14:paraId="31E188E4" w14:textId="5B57DBAA" w:rsidR="00A92A05" w:rsidRPr="006078A7" w:rsidRDefault="00A92A05" w:rsidP="001F038B">
            <w:pPr>
              <w:rPr>
                <w:rFonts w:ascii="Times New Roman" w:eastAsia="Times New Roman" w:hAnsi="Times New Roman" w:cs="Times New Roman"/>
                <w:color w:val="000000"/>
                <w:kern w:val="0"/>
                <w:sz w:val="14"/>
                <w:szCs w:val="14"/>
                <w:lang w:val="en-US" w:eastAsia="en-NL"/>
                <w14:ligatures w14:val="none"/>
              </w:rPr>
            </w:pPr>
          </w:p>
        </w:tc>
      </w:tr>
      <w:tr w:rsidR="00A92A05" w:rsidRPr="00903922" w14:paraId="5E2F3EF1" w14:textId="77777777" w:rsidTr="00B46704">
        <w:trPr>
          <w:trHeight w:val="300"/>
        </w:trPr>
        <w:tc>
          <w:tcPr>
            <w:tcW w:w="993" w:type="dxa"/>
            <w:noWrap/>
          </w:tcPr>
          <w:p w14:paraId="646D72E7" w14:textId="77777777" w:rsidR="00A92A05" w:rsidRPr="00903922" w:rsidRDefault="00A92A05" w:rsidP="001F038B">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55DDE727" w14:textId="4248BD73" w:rsidR="00A92A05" w:rsidRPr="00903922" w:rsidRDefault="00A92A05" w:rsidP="001F038B">
            <w:pPr>
              <w:rPr>
                <w:rFonts w:ascii="Calibri" w:hAnsi="Calibri" w:cs="Calibri"/>
                <w:color w:val="000000"/>
                <w:sz w:val="14"/>
                <w:szCs w:val="14"/>
              </w:rPr>
            </w:pPr>
            <w:r w:rsidRPr="00903922">
              <w:rPr>
                <w:rFonts w:ascii="Calibri" w:hAnsi="Calibri" w:cs="Calibri"/>
                <w:color w:val="000000"/>
                <w:sz w:val="14"/>
                <w:szCs w:val="14"/>
              </w:rPr>
              <w:t>NCT05094726</w:t>
            </w:r>
          </w:p>
        </w:tc>
        <w:tc>
          <w:tcPr>
            <w:tcW w:w="2168" w:type="dxa"/>
            <w:noWrap/>
          </w:tcPr>
          <w:p w14:paraId="3CF997D6" w14:textId="472B2584" w:rsidR="00A92A05" w:rsidRPr="00903922" w:rsidRDefault="00A92A05" w:rsidP="001F038B">
            <w:pPr>
              <w:rPr>
                <w:rFonts w:ascii="Calibri" w:hAnsi="Calibri" w:cs="Calibri"/>
                <w:color w:val="000000"/>
                <w:sz w:val="14"/>
                <w:szCs w:val="14"/>
              </w:rPr>
            </w:pPr>
            <w:r w:rsidRPr="00903922">
              <w:rPr>
                <w:rFonts w:ascii="Calibri" w:hAnsi="Calibri" w:cs="Calibri"/>
                <w:color w:val="000000"/>
                <w:sz w:val="14"/>
                <w:szCs w:val="14"/>
              </w:rPr>
              <w:t>RECRUITING</w:t>
            </w:r>
          </w:p>
        </w:tc>
        <w:tc>
          <w:tcPr>
            <w:tcW w:w="4125" w:type="dxa"/>
            <w:vMerge/>
          </w:tcPr>
          <w:p w14:paraId="4E42D052" w14:textId="77777777" w:rsidR="00A92A05" w:rsidRPr="00903922" w:rsidRDefault="00A92A05" w:rsidP="001F038B">
            <w:pPr>
              <w:rPr>
                <w:rFonts w:ascii="Times New Roman" w:eastAsia="Times New Roman" w:hAnsi="Times New Roman" w:cs="Times New Roman"/>
                <w:color w:val="000000"/>
                <w:kern w:val="0"/>
                <w:sz w:val="14"/>
                <w:szCs w:val="14"/>
                <w:lang w:eastAsia="en-NL"/>
                <w14:ligatures w14:val="none"/>
              </w:rPr>
            </w:pPr>
          </w:p>
        </w:tc>
      </w:tr>
      <w:tr w:rsidR="00A92A05" w:rsidRPr="00903922" w14:paraId="6567768F" w14:textId="77777777" w:rsidTr="00B46704">
        <w:trPr>
          <w:trHeight w:val="300"/>
        </w:trPr>
        <w:tc>
          <w:tcPr>
            <w:tcW w:w="993" w:type="dxa"/>
            <w:noWrap/>
          </w:tcPr>
          <w:p w14:paraId="558E9F2E" w14:textId="77777777" w:rsidR="00A92A05" w:rsidRPr="00903922" w:rsidRDefault="00A92A05" w:rsidP="001F038B">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5B7D9CAC" w14:textId="5075624B" w:rsidR="00A92A05" w:rsidRPr="00903922" w:rsidRDefault="00A92A05" w:rsidP="001F038B">
            <w:pPr>
              <w:rPr>
                <w:rFonts w:ascii="Calibri" w:hAnsi="Calibri" w:cs="Calibri"/>
                <w:color w:val="000000"/>
                <w:sz w:val="14"/>
                <w:szCs w:val="14"/>
                <w:lang w:val="en-US"/>
              </w:rPr>
            </w:pPr>
            <w:r w:rsidRPr="00903922">
              <w:rPr>
                <w:rFonts w:ascii="Calibri" w:hAnsi="Calibri" w:cs="Calibri"/>
                <w:color w:val="000000"/>
                <w:sz w:val="14"/>
                <w:szCs w:val="14"/>
              </w:rPr>
              <w:t>NCT05258617</w:t>
            </w:r>
          </w:p>
        </w:tc>
        <w:tc>
          <w:tcPr>
            <w:tcW w:w="2168" w:type="dxa"/>
            <w:noWrap/>
          </w:tcPr>
          <w:p w14:paraId="7CF06113" w14:textId="4BEC38E2" w:rsidR="00A92A05" w:rsidRPr="00903922" w:rsidRDefault="00A92A05" w:rsidP="001F038B">
            <w:pPr>
              <w:rPr>
                <w:rFonts w:ascii="Calibri" w:hAnsi="Calibri" w:cs="Calibri"/>
                <w:color w:val="000000"/>
                <w:sz w:val="14"/>
                <w:szCs w:val="14"/>
              </w:rPr>
            </w:pPr>
            <w:r w:rsidRPr="00903922">
              <w:rPr>
                <w:rFonts w:ascii="Calibri" w:hAnsi="Calibri" w:cs="Calibri"/>
                <w:color w:val="000000"/>
                <w:sz w:val="14"/>
                <w:szCs w:val="14"/>
              </w:rPr>
              <w:t>TERMINATED</w:t>
            </w:r>
          </w:p>
        </w:tc>
        <w:tc>
          <w:tcPr>
            <w:tcW w:w="4125" w:type="dxa"/>
            <w:vMerge/>
          </w:tcPr>
          <w:p w14:paraId="2CC91A01" w14:textId="77777777" w:rsidR="00A92A05" w:rsidRPr="00903922" w:rsidRDefault="00A92A05" w:rsidP="001F038B">
            <w:pPr>
              <w:rPr>
                <w:rFonts w:ascii="Times New Roman" w:eastAsia="Times New Roman" w:hAnsi="Times New Roman" w:cs="Times New Roman"/>
                <w:color w:val="000000"/>
                <w:kern w:val="0"/>
                <w:sz w:val="14"/>
                <w:szCs w:val="14"/>
                <w:lang w:eastAsia="en-NL"/>
                <w14:ligatures w14:val="none"/>
              </w:rPr>
            </w:pPr>
          </w:p>
        </w:tc>
      </w:tr>
      <w:tr w:rsidR="00A92A05" w:rsidRPr="00903922" w14:paraId="226ADDC8" w14:textId="77777777" w:rsidTr="00B46704">
        <w:trPr>
          <w:trHeight w:val="300"/>
        </w:trPr>
        <w:tc>
          <w:tcPr>
            <w:tcW w:w="993" w:type="dxa"/>
            <w:noWrap/>
          </w:tcPr>
          <w:p w14:paraId="4D3C4721" w14:textId="77777777" w:rsidR="00A92A05" w:rsidRPr="00903922" w:rsidRDefault="00A92A05" w:rsidP="001F038B">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1C81AE82" w14:textId="34937D2E" w:rsidR="00A92A05" w:rsidRPr="00903922" w:rsidRDefault="00A92A05" w:rsidP="001F038B">
            <w:pPr>
              <w:rPr>
                <w:rFonts w:ascii="Calibri" w:hAnsi="Calibri" w:cs="Calibri"/>
                <w:color w:val="000000"/>
                <w:sz w:val="14"/>
                <w:szCs w:val="14"/>
                <w:lang w:val="en-US"/>
              </w:rPr>
            </w:pPr>
            <w:r w:rsidRPr="00903922">
              <w:rPr>
                <w:rFonts w:ascii="Calibri" w:hAnsi="Calibri" w:cs="Calibri"/>
                <w:color w:val="000000"/>
                <w:sz w:val="14"/>
                <w:szCs w:val="14"/>
              </w:rPr>
              <w:t>NCT04391712</w:t>
            </w:r>
          </w:p>
        </w:tc>
        <w:tc>
          <w:tcPr>
            <w:tcW w:w="2168" w:type="dxa"/>
            <w:noWrap/>
          </w:tcPr>
          <w:p w14:paraId="36106BD2" w14:textId="4C700B37" w:rsidR="00A92A05" w:rsidRPr="00903922" w:rsidRDefault="00A92A05" w:rsidP="001F038B">
            <w:pPr>
              <w:rPr>
                <w:rFonts w:ascii="Calibri" w:hAnsi="Calibri" w:cs="Calibri"/>
                <w:color w:val="000000"/>
                <w:sz w:val="14"/>
                <w:szCs w:val="14"/>
              </w:rPr>
            </w:pPr>
            <w:r w:rsidRPr="00903922">
              <w:rPr>
                <w:rFonts w:ascii="Calibri" w:hAnsi="Calibri" w:cs="Calibri"/>
                <w:color w:val="000000"/>
                <w:sz w:val="14"/>
                <w:szCs w:val="14"/>
              </w:rPr>
              <w:t>COMPLETED</w:t>
            </w:r>
          </w:p>
        </w:tc>
        <w:tc>
          <w:tcPr>
            <w:tcW w:w="4125" w:type="dxa"/>
            <w:vMerge/>
          </w:tcPr>
          <w:p w14:paraId="2F0532C7" w14:textId="77777777" w:rsidR="00A92A05" w:rsidRPr="00903922" w:rsidRDefault="00A92A05" w:rsidP="001F038B">
            <w:pPr>
              <w:rPr>
                <w:rFonts w:ascii="Times New Roman" w:eastAsia="Times New Roman" w:hAnsi="Times New Roman" w:cs="Times New Roman"/>
                <w:color w:val="000000"/>
                <w:kern w:val="0"/>
                <w:sz w:val="14"/>
                <w:szCs w:val="14"/>
                <w:lang w:eastAsia="en-NL"/>
                <w14:ligatures w14:val="none"/>
              </w:rPr>
            </w:pPr>
          </w:p>
        </w:tc>
      </w:tr>
      <w:tr w:rsidR="00A92A05" w:rsidRPr="00903922" w14:paraId="0618EECE" w14:textId="77777777" w:rsidTr="00B46704">
        <w:trPr>
          <w:trHeight w:val="300"/>
        </w:trPr>
        <w:tc>
          <w:tcPr>
            <w:tcW w:w="993" w:type="dxa"/>
            <w:noWrap/>
          </w:tcPr>
          <w:p w14:paraId="78CB13A0" w14:textId="77777777" w:rsidR="00A92A05" w:rsidRPr="00903922" w:rsidRDefault="00A92A05" w:rsidP="001F038B">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21BCD664" w14:textId="07AE9ACD" w:rsidR="00A92A05" w:rsidRPr="00903922" w:rsidRDefault="00A92A05" w:rsidP="001F038B">
            <w:pPr>
              <w:rPr>
                <w:rFonts w:ascii="Calibri" w:hAnsi="Calibri" w:cs="Calibri"/>
                <w:color w:val="000000"/>
                <w:sz w:val="14"/>
                <w:szCs w:val="14"/>
              </w:rPr>
            </w:pPr>
            <w:r w:rsidRPr="00903922">
              <w:rPr>
                <w:rFonts w:ascii="Calibri" w:hAnsi="Calibri" w:cs="Calibri"/>
                <w:color w:val="000000"/>
                <w:sz w:val="14"/>
                <w:szCs w:val="14"/>
              </w:rPr>
              <w:t>NCT05760092</w:t>
            </w:r>
          </w:p>
        </w:tc>
        <w:tc>
          <w:tcPr>
            <w:tcW w:w="2168" w:type="dxa"/>
            <w:noWrap/>
          </w:tcPr>
          <w:p w14:paraId="64797824" w14:textId="073B3EAD" w:rsidR="00A92A05" w:rsidRPr="00903922" w:rsidRDefault="00A92A05" w:rsidP="001F038B">
            <w:pPr>
              <w:rPr>
                <w:rFonts w:ascii="Calibri" w:hAnsi="Calibri" w:cs="Calibri"/>
                <w:color w:val="000000"/>
                <w:sz w:val="14"/>
                <w:szCs w:val="14"/>
              </w:rPr>
            </w:pPr>
            <w:r w:rsidRPr="00903922">
              <w:rPr>
                <w:rFonts w:ascii="Calibri" w:hAnsi="Calibri" w:cs="Calibri"/>
                <w:color w:val="000000"/>
                <w:sz w:val="14"/>
                <w:szCs w:val="14"/>
              </w:rPr>
              <w:t>RECRUITING</w:t>
            </w:r>
          </w:p>
        </w:tc>
        <w:tc>
          <w:tcPr>
            <w:tcW w:w="4125" w:type="dxa"/>
            <w:vMerge/>
          </w:tcPr>
          <w:p w14:paraId="2302F7AA" w14:textId="77777777" w:rsidR="00A92A05" w:rsidRPr="00903922" w:rsidRDefault="00A92A05" w:rsidP="001F038B">
            <w:pPr>
              <w:rPr>
                <w:rFonts w:ascii="Times New Roman" w:eastAsia="Times New Roman" w:hAnsi="Times New Roman" w:cs="Times New Roman"/>
                <w:color w:val="000000"/>
                <w:kern w:val="0"/>
                <w:sz w:val="14"/>
                <w:szCs w:val="14"/>
                <w:lang w:eastAsia="en-NL"/>
                <w14:ligatures w14:val="none"/>
              </w:rPr>
            </w:pPr>
          </w:p>
        </w:tc>
      </w:tr>
      <w:tr w:rsidR="00A92A05" w:rsidRPr="00903922" w14:paraId="5C43DBCC" w14:textId="77777777" w:rsidTr="00B46704">
        <w:trPr>
          <w:trHeight w:val="300"/>
        </w:trPr>
        <w:tc>
          <w:tcPr>
            <w:tcW w:w="993" w:type="dxa"/>
            <w:noWrap/>
          </w:tcPr>
          <w:p w14:paraId="058DF5CF" w14:textId="77777777" w:rsidR="00A92A05" w:rsidRPr="00903922" w:rsidRDefault="00A92A05" w:rsidP="001F038B">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321BB6AE" w14:textId="621C5973" w:rsidR="00A92A05" w:rsidRPr="00903922" w:rsidRDefault="00A92A05" w:rsidP="001F038B">
            <w:pPr>
              <w:rPr>
                <w:rFonts w:ascii="Calibri" w:hAnsi="Calibri" w:cs="Calibri"/>
                <w:color w:val="000000"/>
                <w:sz w:val="14"/>
                <w:szCs w:val="14"/>
                <w:lang w:val="en-US"/>
              </w:rPr>
            </w:pPr>
            <w:r w:rsidRPr="00903922">
              <w:rPr>
                <w:rFonts w:ascii="Calibri" w:hAnsi="Calibri" w:cs="Calibri"/>
                <w:color w:val="000000"/>
                <w:sz w:val="14"/>
                <w:szCs w:val="14"/>
              </w:rPr>
              <w:t>NCT04386694</w:t>
            </w:r>
          </w:p>
        </w:tc>
        <w:tc>
          <w:tcPr>
            <w:tcW w:w="2168" w:type="dxa"/>
            <w:noWrap/>
          </w:tcPr>
          <w:p w14:paraId="6C3BF8B1" w14:textId="4B7A064D" w:rsidR="00A92A05" w:rsidRPr="00903922" w:rsidRDefault="00A92A05" w:rsidP="001F038B">
            <w:pPr>
              <w:rPr>
                <w:rFonts w:ascii="Calibri" w:hAnsi="Calibri" w:cs="Calibri"/>
                <w:color w:val="000000"/>
                <w:sz w:val="14"/>
                <w:szCs w:val="14"/>
              </w:rPr>
            </w:pPr>
            <w:r w:rsidRPr="00903922">
              <w:rPr>
                <w:rFonts w:ascii="Calibri" w:hAnsi="Calibri" w:cs="Calibri"/>
                <w:color w:val="000000"/>
                <w:sz w:val="14"/>
                <w:szCs w:val="14"/>
              </w:rPr>
              <w:t>COMPLETED</w:t>
            </w:r>
          </w:p>
        </w:tc>
        <w:tc>
          <w:tcPr>
            <w:tcW w:w="4125" w:type="dxa"/>
            <w:vMerge/>
          </w:tcPr>
          <w:p w14:paraId="53C08314" w14:textId="77777777" w:rsidR="00A92A05" w:rsidRPr="00903922" w:rsidRDefault="00A92A05" w:rsidP="001F038B">
            <w:pPr>
              <w:rPr>
                <w:rFonts w:ascii="Times New Roman" w:eastAsia="Times New Roman" w:hAnsi="Times New Roman" w:cs="Times New Roman"/>
                <w:color w:val="000000"/>
                <w:kern w:val="0"/>
                <w:sz w:val="14"/>
                <w:szCs w:val="14"/>
                <w:lang w:eastAsia="en-NL"/>
                <w14:ligatures w14:val="none"/>
              </w:rPr>
            </w:pPr>
          </w:p>
        </w:tc>
      </w:tr>
      <w:tr w:rsidR="00A92A05" w:rsidRPr="00903922" w14:paraId="74380D20" w14:textId="77777777" w:rsidTr="00B46704">
        <w:trPr>
          <w:trHeight w:val="300"/>
        </w:trPr>
        <w:tc>
          <w:tcPr>
            <w:tcW w:w="993" w:type="dxa"/>
            <w:noWrap/>
          </w:tcPr>
          <w:p w14:paraId="3254043E" w14:textId="77777777" w:rsidR="00A92A05" w:rsidRPr="00903922" w:rsidRDefault="00A92A05" w:rsidP="001F038B">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5C337DE9" w14:textId="6DE8666F" w:rsidR="00A92A05" w:rsidRPr="00903922" w:rsidRDefault="00A92A05" w:rsidP="001F038B">
            <w:pPr>
              <w:rPr>
                <w:rFonts w:ascii="Calibri" w:hAnsi="Calibri" w:cs="Calibri"/>
                <w:color w:val="000000"/>
                <w:sz w:val="14"/>
                <w:szCs w:val="14"/>
              </w:rPr>
            </w:pPr>
            <w:r w:rsidRPr="00903922">
              <w:rPr>
                <w:rFonts w:ascii="Calibri" w:hAnsi="Calibri" w:cs="Calibri"/>
                <w:color w:val="000000"/>
                <w:sz w:val="14"/>
                <w:szCs w:val="14"/>
              </w:rPr>
              <w:t>NCT05857124</w:t>
            </w:r>
          </w:p>
        </w:tc>
        <w:tc>
          <w:tcPr>
            <w:tcW w:w="2168" w:type="dxa"/>
            <w:noWrap/>
          </w:tcPr>
          <w:p w14:paraId="3E72471C" w14:textId="478B1B1D" w:rsidR="00A92A05" w:rsidRPr="00903922" w:rsidRDefault="00A92A05" w:rsidP="001F038B">
            <w:pPr>
              <w:rPr>
                <w:rFonts w:ascii="Calibri" w:hAnsi="Calibri" w:cs="Calibri"/>
                <w:color w:val="000000"/>
                <w:sz w:val="14"/>
                <w:szCs w:val="14"/>
              </w:rPr>
            </w:pPr>
            <w:r w:rsidRPr="00903922">
              <w:rPr>
                <w:rFonts w:ascii="Calibri" w:hAnsi="Calibri" w:cs="Calibri"/>
                <w:color w:val="000000"/>
                <w:sz w:val="14"/>
                <w:szCs w:val="14"/>
              </w:rPr>
              <w:t>NOT_YET_RECRUITING</w:t>
            </w:r>
          </w:p>
        </w:tc>
        <w:tc>
          <w:tcPr>
            <w:tcW w:w="4125" w:type="dxa"/>
            <w:vMerge/>
          </w:tcPr>
          <w:p w14:paraId="411ED37D" w14:textId="77777777" w:rsidR="00A92A05" w:rsidRPr="00903922" w:rsidRDefault="00A92A05" w:rsidP="001F038B">
            <w:pPr>
              <w:rPr>
                <w:rFonts w:ascii="Times New Roman" w:eastAsia="Times New Roman" w:hAnsi="Times New Roman" w:cs="Times New Roman"/>
                <w:color w:val="000000"/>
                <w:kern w:val="0"/>
                <w:sz w:val="14"/>
                <w:szCs w:val="14"/>
                <w:lang w:eastAsia="en-NL"/>
                <w14:ligatures w14:val="none"/>
              </w:rPr>
            </w:pPr>
          </w:p>
        </w:tc>
      </w:tr>
      <w:tr w:rsidR="00A92A05" w:rsidRPr="00903922" w14:paraId="3836FFD7" w14:textId="77777777" w:rsidTr="00B46704">
        <w:trPr>
          <w:trHeight w:val="300"/>
        </w:trPr>
        <w:tc>
          <w:tcPr>
            <w:tcW w:w="993" w:type="dxa"/>
            <w:noWrap/>
          </w:tcPr>
          <w:p w14:paraId="255C82E2" w14:textId="77777777" w:rsidR="00A92A05" w:rsidRPr="00903922" w:rsidRDefault="00A92A05" w:rsidP="001F038B">
            <w:pPr>
              <w:rPr>
                <w:rFonts w:ascii="Times New Roman" w:eastAsia="Times New Roman" w:hAnsi="Times New Roman" w:cs="Times New Roman"/>
                <w:color w:val="000000"/>
                <w:kern w:val="0"/>
                <w:sz w:val="14"/>
                <w:szCs w:val="14"/>
                <w:lang w:val="en-US" w:eastAsia="en-NL"/>
                <w14:ligatures w14:val="none"/>
              </w:rPr>
            </w:pPr>
          </w:p>
        </w:tc>
        <w:tc>
          <w:tcPr>
            <w:tcW w:w="1126" w:type="dxa"/>
            <w:noWrap/>
          </w:tcPr>
          <w:p w14:paraId="6915CE1F" w14:textId="254F4A76" w:rsidR="00A92A05" w:rsidRPr="00903922" w:rsidRDefault="00A92A05" w:rsidP="001F038B">
            <w:pPr>
              <w:rPr>
                <w:rFonts w:ascii="Calibri" w:hAnsi="Calibri" w:cs="Calibri"/>
                <w:color w:val="000000"/>
                <w:sz w:val="14"/>
                <w:szCs w:val="14"/>
                <w:lang w:val="en-US"/>
              </w:rPr>
            </w:pPr>
            <w:r w:rsidRPr="00903922">
              <w:rPr>
                <w:rFonts w:ascii="Calibri" w:hAnsi="Calibri" w:cs="Calibri"/>
                <w:color w:val="000000"/>
                <w:sz w:val="14"/>
                <w:szCs w:val="14"/>
              </w:rPr>
              <w:t>NCT05430776</w:t>
            </w:r>
          </w:p>
        </w:tc>
        <w:tc>
          <w:tcPr>
            <w:tcW w:w="2168" w:type="dxa"/>
            <w:noWrap/>
          </w:tcPr>
          <w:p w14:paraId="04917A0B" w14:textId="62D43728" w:rsidR="00A92A05" w:rsidRPr="00903922" w:rsidRDefault="00A92A05" w:rsidP="001F038B">
            <w:pPr>
              <w:rPr>
                <w:rFonts w:ascii="Calibri" w:hAnsi="Calibri" w:cs="Calibri"/>
                <w:color w:val="000000"/>
                <w:sz w:val="14"/>
                <w:szCs w:val="14"/>
              </w:rPr>
            </w:pPr>
            <w:r w:rsidRPr="00903922">
              <w:rPr>
                <w:rFonts w:ascii="Calibri" w:hAnsi="Calibri" w:cs="Calibri"/>
                <w:color w:val="000000"/>
                <w:sz w:val="14"/>
                <w:szCs w:val="14"/>
              </w:rPr>
              <w:t>RECRUITING</w:t>
            </w:r>
          </w:p>
        </w:tc>
        <w:tc>
          <w:tcPr>
            <w:tcW w:w="4125" w:type="dxa"/>
            <w:vMerge/>
          </w:tcPr>
          <w:p w14:paraId="5C03B85C" w14:textId="77777777" w:rsidR="00A92A05" w:rsidRPr="00903922" w:rsidRDefault="00A92A05" w:rsidP="001F038B">
            <w:pPr>
              <w:rPr>
                <w:rFonts w:ascii="Times New Roman" w:eastAsia="Times New Roman" w:hAnsi="Times New Roman" w:cs="Times New Roman"/>
                <w:color w:val="000000"/>
                <w:kern w:val="0"/>
                <w:sz w:val="14"/>
                <w:szCs w:val="14"/>
                <w:lang w:eastAsia="en-NL"/>
                <w14:ligatures w14:val="none"/>
              </w:rPr>
            </w:pPr>
          </w:p>
        </w:tc>
      </w:tr>
    </w:tbl>
    <w:p w14:paraId="0894DED1" w14:textId="77777777" w:rsidR="008B2E55" w:rsidRDefault="008B2E55"/>
    <w:p w14:paraId="106D5046" w14:textId="77777777" w:rsidR="000C6830" w:rsidRPr="000C6830" w:rsidRDefault="000C6830" w:rsidP="000C6830">
      <w:pPr>
        <w:pStyle w:val="Bibliography"/>
        <w:rPr>
          <w:rFonts w:ascii="Calibri" w:hAnsi="Calibri" w:cs="Calibri"/>
        </w:rPr>
      </w:pPr>
      <w:r>
        <w:fldChar w:fldCharType="begin"/>
      </w:r>
      <w:r>
        <w:instrText xml:space="preserve"> ADDIN ZOTERO_BIBL {"uncited":[],"omitted":[],"custom":[]} CSL_BIBLIOGRAPHY </w:instrText>
      </w:r>
      <w:r>
        <w:fldChar w:fldCharType="separate"/>
      </w:r>
      <w:r w:rsidRPr="000C6830">
        <w:rPr>
          <w:rFonts w:ascii="Calibri" w:hAnsi="Calibri" w:cs="Calibri"/>
        </w:rPr>
        <w:t xml:space="preserve">1. </w:t>
      </w:r>
      <w:r w:rsidRPr="000C6830">
        <w:rPr>
          <w:rFonts w:ascii="Calibri" w:hAnsi="Calibri" w:cs="Calibri"/>
        </w:rPr>
        <w:tab/>
        <w:t xml:space="preserve">McCreary, M.R.; Schnell, P.M.; Rhoda, D.A. Randomized Double-Blind Placebo-Controlled Proof-of-Concept Trial of Resveratrol for Outpatient Treatment of Mild Coronavirus Disease (COVID-19). </w:t>
      </w:r>
      <w:r w:rsidRPr="000C6830">
        <w:rPr>
          <w:rFonts w:ascii="Calibri" w:hAnsi="Calibri" w:cs="Calibri"/>
          <w:i/>
          <w:iCs/>
        </w:rPr>
        <w:t>Sci Rep</w:t>
      </w:r>
      <w:r w:rsidRPr="000C6830">
        <w:rPr>
          <w:rFonts w:ascii="Calibri" w:hAnsi="Calibri" w:cs="Calibri"/>
        </w:rPr>
        <w:t xml:space="preserve"> </w:t>
      </w:r>
      <w:r w:rsidRPr="000C6830">
        <w:rPr>
          <w:rFonts w:ascii="Calibri" w:hAnsi="Calibri" w:cs="Calibri"/>
          <w:b/>
          <w:bCs/>
        </w:rPr>
        <w:t>2022</w:t>
      </w:r>
      <w:r w:rsidRPr="000C6830">
        <w:rPr>
          <w:rFonts w:ascii="Calibri" w:hAnsi="Calibri" w:cs="Calibri"/>
        </w:rPr>
        <w:t xml:space="preserve">, </w:t>
      </w:r>
      <w:r w:rsidRPr="000C6830">
        <w:rPr>
          <w:rFonts w:ascii="Calibri" w:hAnsi="Calibri" w:cs="Calibri"/>
          <w:i/>
          <w:iCs/>
        </w:rPr>
        <w:t>12</w:t>
      </w:r>
      <w:r w:rsidRPr="000C6830">
        <w:rPr>
          <w:rFonts w:ascii="Calibri" w:hAnsi="Calibri" w:cs="Calibri"/>
        </w:rPr>
        <w:t>, 10978, doi:10.1038/s41598-022-13920-9.</w:t>
      </w:r>
    </w:p>
    <w:p w14:paraId="4CAD51EB" w14:textId="77777777" w:rsidR="000C6830" w:rsidRPr="000C6830" w:rsidRDefault="000C6830" w:rsidP="000C6830">
      <w:pPr>
        <w:pStyle w:val="Bibliography"/>
        <w:rPr>
          <w:rFonts w:ascii="Calibri" w:hAnsi="Calibri" w:cs="Calibri"/>
        </w:rPr>
      </w:pPr>
      <w:r w:rsidRPr="000C6830">
        <w:rPr>
          <w:rFonts w:ascii="Calibri" w:hAnsi="Calibri" w:cs="Calibri"/>
        </w:rPr>
        <w:t xml:space="preserve">2. </w:t>
      </w:r>
      <w:r w:rsidRPr="000C6830">
        <w:rPr>
          <w:rFonts w:ascii="Calibri" w:hAnsi="Calibri" w:cs="Calibri"/>
        </w:rPr>
        <w:tab/>
        <w:t>Mittra, I.; Souza, R. de; Bhadade, R.; Madke, T.; Shankpal, P.D.; Joshi, M.; Qayyumi, B.; Bhattacharjee, A.; Gota, V.; Gupta, S.; et al. Resveratrol and Copper for Treatment of Severe COVID-19: An Observational Study (RESCU 002) 2020, 2020.07.21.20151423.</w:t>
      </w:r>
    </w:p>
    <w:p w14:paraId="302C6F9A" w14:textId="77777777" w:rsidR="000C6830" w:rsidRPr="000C6830" w:rsidRDefault="000C6830" w:rsidP="000C6830">
      <w:pPr>
        <w:pStyle w:val="Bibliography"/>
        <w:rPr>
          <w:rFonts w:ascii="Calibri" w:hAnsi="Calibri" w:cs="Calibri"/>
        </w:rPr>
      </w:pPr>
      <w:r w:rsidRPr="000C6830">
        <w:rPr>
          <w:rFonts w:ascii="Calibri" w:hAnsi="Calibri" w:cs="Calibri"/>
        </w:rPr>
        <w:t xml:space="preserve">3. </w:t>
      </w:r>
      <w:r w:rsidRPr="000C6830">
        <w:rPr>
          <w:rFonts w:ascii="Calibri" w:hAnsi="Calibri" w:cs="Calibri"/>
        </w:rPr>
        <w:tab/>
        <w:t xml:space="preserve">Vahedian-Azimi, A.; Abbasifard, M.; Rahimi-Bashar, F.; Guest, P.C.; Majeed, M.; Mohammadi, A.; Banach, M.; Jamialahmadi, T.; Sahebkar, A. Effectiveness of Curcumin on Outcomes of Hospitalized COVID-19 Patients: A Systematic Review of Clinical Trials. </w:t>
      </w:r>
      <w:r w:rsidRPr="000C6830">
        <w:rPr>
          <w:rFonts w:ascii="Calibri" w:hAnsi="Calibri" w:cs="Calibri"/>
          <w:i/>
          <w:iCs/>
        </w:rPr>
        <w:t>Nutrients</w:t>
      </w:r>
      <w:r w:rsidRPr="000C6830">
        <w:rPr>
          <w:rFonts w:ascii="Calibri" w:hAnsi="Calibri" w:cs="Calibri"/>
        </w:rPr>
        <w:t xml:space="preserve"> </w:t>
      </w:r>
      <w:r w:rsidRPr="000C6830">
        <w:rPr>
          <w:rFonts w:ascii="Calibri" w:hAnsi="Calibri" w:cs="Calibri"/>
          <w:b/>
          <w:bCs/>
        </w:rPr>
        <w:t>2022</w:t>
      </w:r>
      <w:r w:rsidRPr="000C6830">
        <w:rPr>
          <w:rFonts w:ascii="Calibri" w:hAnsi="Calibri" w:cs="Calibri"/>
        </w:rPr>
        <w:t xml:space="preserve">, </w:t>
      </w:r>
      <w:r w:rsidRPr="000C6830">
        <w:rPr>
          <w:rFonts w:ascii="Calibri" w:hAnsi="Calibri" w:cs="Calibri"/>
          <w:i/>
          <w:iCs/>
        </w:rPr>
        <w:t>14</w:t>
      </w:r>
      <w:r w:rsidRPr="000C6830">
        <w:rPr>
          <w:rFonts w:ascii="Calibri" w:hAnsi="Calibri" w:cs="Calibri"/>
        </w:rPr>
        <w:t>, 256, doi:10.3390/nu14020256.</w:t>
      </w:r>
    </w:p>
    <w:p w14:paraId="33C22882" w14:textId="77777777" w:rsidR="000C6830" w:rsidRPr="000C6830" w:rsidRDefault="000C6830" w:rsidP="000C6830">
      <w:pPr>
        <w:pStyle w:val="Bibliography"/>
        <w:rPr>
          <w:rFonts w:ascii="Calibri" w:hAnsi="Calibri" w:cs="Calibri"/>
        </w:rPr>
      </w:pPr>
      <w:r w:rsidRPr="000C6830">
        <w:rPr>
          <w:rFonts w:ascii="Calibri" w:hAnsi="Calibri" w:cs="Calibri"/>
        </w:rPr>
        <w:t xml:space="preserve">4. </w:t>
      </w:r>
      <w:r w:rsidRPr="000C6830">
        <w:rPr>
          <w:rFonts w:ascii="Calibri" w:hAnsi="Calibri" w:cs="Calibri"/>
        </w:rPr>
        <w:tab/>
        <w:t xml:space="preserve">Pawar, K.S.; Mastud, R.N.; Pawar, S.K.; Pawar, S.S.; Bhoite, R.R.; Bhoite, R.R.; Kulkarni, M.V.; Deshpande, A.R. Oral Curcumin With Piperine as Adjuvant Therapy for the Treatment of COVID-19: A Randomized Clinical Trial. </w:t>
      </w:r>
      <w:r w:rsidRPr="000C6830">
        <w:rPr>
          <w:rFonts w:ascii="Calibri" w:hAnsi="Calibri" w:cs="Calibri"/>
          <w:i/>
          <w:iCs/>
        </w:rPr>
        <w:t>Frontiers in Pharmacology</w:t>
      </w:r>
      <w:r w:rsidRPr="000C6830">
        <w:rPr>
          <w:rFonts w:ascii="Calibri" w:hAnsi="Calibri" w:cs="Calibri"/>
        </w:rPr>
        <w:t xml:space="preserve"> </w:t>
      </w:r>
      <w:r w:rsidRPr="000C6830">
        <w:rPr>
          <w:rFonts w:ascii="Calibri" w:hAnsi="Calibri" w:cs="Calibri"/>
          <w:b/>
          <w:bCs/>
        </w:rPr>
        <w:t>2021</w:t>
      </w:r>
      <w:r w:rsidRPr="000C6830">
        <w:rPr>
          <w:rFonts w:ascii="Calibri" w:hAnsi="Calibri" w:cs="Calibri"/>
        </w:rPr>
        <w:t xml:space="preserve">, </w:t>
      </w:r>
      <w:r w:rsidRPr="000C6830">
        <w:rPr>
          <w:rFonts w:ascii="Calibri" w:hAnsi="Calibri" w:cs="Calibri"/>
          <w:i/>
          <w:iCs/>
        </w:rPr>
        <w:t>12</w:t>
      </w:r>
      <w:r w:rsidRPr="000C6830">
        <w:rPr>
          <w:rFonts w:ascii="Calibri" w:hAnsi="Calibri" w:cs="Calibri"/>
        </w:rPr>
        <w:t>.</w:t>
      </w:r>
    </w:p>
    <w:p w14:paraId="3A98DA98" w14:textId="77777777" w:rsidR="000C6830" w:rsidRPr="000C6830" w:rsidRDefault="000C6830" w:rsidP="000C6830">
      <w:pPr>
        <w:pStyle w:val="Bibliography"/>
        <w:rPr>
          <w:rFonts w:ascii="Calibri" w:hAnsi="Calibri" w:cs="Calibri"/>
        </w:rPr>
      </w:pPr>
      <w:r w:rsidRPr="000C6830">
        <w:rPr>
          <w:rFonts w:ascii="Calibri" w:hAnsi="Calibri" w:cs="Calibri"/>
        </w:rPr>
        <w:t xml:space="preserve">5. </w:t>
      </w:r>
      <w:r w:rsidRPr="000C6830">
        <w:rPr>
          <w:rFonts w:ascii="Calibri" w:hAnsi="Calibri" w:cs="Calibri"/>
        </w:rPr>
        <w:tab/>
        <w:t xml:space="preserve">Bettuzzi, S.; Gabba, L.; Cataldo, S. Efficacy of a Polyphenolic, Standardized Green Tea Extract for the Treatment of COVID-19 Syndrome: A Proof-of-Principle Study. </w:t>
      </w:r>
      <w:r w:rsidRPr="000C6830">
        <w:rPr>
          <w:rFonts w:ascii="Calibri" w:hAnsi="Calibri" w:cs="Calibri"/>
          <w:i/>
          <w:iCs/>
        </w:rPr>
        <w:t>COVID</w:t>
      </w:r>
      <w:r w:rsidRPr="000C6830">
        <w:rPr>
          <w:rFonts w:ascii="Calibri" w:hAnsi="Calibri" w:cs="Calibri"/>
        </w:rPr>
        <w:t xml:space="preserve"> </w:t>
      </w:r>
      <w:r w:rsidRPr="000C6830">
        <w:rPr>
          <w:rFonts w:ascii="Calibri" w:hAnsi="Calibri" w:cs="Calibri"/>
          <w:b/>
          <w:bCs/>
        </w:rPr>
        <w:t>2021</w:t>
      </w:r>
      <w:r w:rsidRPr="000C6830">
        <w:rPr>
          <w:rFonts w:ascii="Calibri" w:hAnsi="Calibri" w:cs="Calibri"/>
        </w:rPr>
        <w:t xml:space="preserve">, </w:t>
      </w:r>
      <w:r w:rsidRPr="000C6830">
        <w:rPr>
          <w:rFonts w:ascii="Calibri" w:hAnsi="Calibri" w:cs="Calibri"/>
          <w:i/>
          <w:iCs/>
        </w:rPr>
        <w:t>1</w:t>
      </w:r>
      <w:r w:rsidRPr="000C6830">
        <w:rPr>
          <w:rFonts w:ascii="Calibri" w:hAnsi="Calibri" w:cs="Calibri"/>
        </w:rPr>
        <w:t>, 2–12, doi:10.3390/covid1010002.</w:t>
      </w:r>
    </w:p>
    <w:p w14:paraId="1506CB1E" w14:textId="77777777" w:rsidR="000C6830" w:rsidRPr="000C6830" w:rsidRDefault="000C6830" w:rsidP="000C6830">
      <w:pPr>
        <w:pStyle w:val="Bibliography"/>
        <w:rPr>
          <w:rFonts w:ascii="Calibri" w:hAnsi="Calibri" w:cs="Calibri"/>
        </w:rPr>
      </w:pPr>
      <w:r w:rsidRPr="000C6830">
        <w:rPr>
          <w:rFonts w:ascii="Calibri" w:hAnsi="Calibri" w:cs="Calibri"/>
        </w:rPr>
        <w:lastRenderedPageBreak/>
        <w:t xml:space="preserve">6. </w:t>
      </w:r>
      <w:r w:rsidRPr="000C6830">
        <w:rPr>
          <w:rFonts w:ascii="Calibri" w:hAnsi="Calibri" w:cs="Calibri"/>
        </w:rPr>
        <w:tab/>
        <w:t xml:space="preserve">Camell, C.D.; Yousefzadeh, M.J.; Zhu, Y.; Prata, L.G.P.L.; Huggins, M.A.; Pierson, M.; Zhang, L.; O’Kelly, R.D.; Pirtskhalava, T.; Xun, P.; et al. Senolytics Reduce Coronavirus-Related Mortality in Old Mice. </w:t>
      </w:r>
      <w:r w:rsidRPr="000C6830">
        <w:rPr>
          <w:rFonts w:ascii="Calibri" w:hAnsi="Calibri" w:cs="Calibri"/>
          <w:i/>
          <w:iCs/>
        </w:rPr>
        <w:t>Science</w:t>
      </w:r>
      <w:r w:rsidRPr="000C6830">
        <w:rPr>
          <w:rFonts w:ascii="Calibri" w:hAnsi="Calibri" w:cs="Calibri"/>
        </w:rPr>
        <w:t xml:space="preserve"> </w:t>
      </w:r>
      <w:r w:rsidRPr="000C6830">
        <w:rPr>
          <w:rFonts w:ascii="Calibri" w:hAnsi="Calibri" w:cs="Calibri"/>
          <w:b/>
          <w:bCs/>
        </w:rPr>
        <w:t>2021</w:t>
      </w:r>
      <w:r w:rsidRPr="000C6830">
        <w:rPr>
          <w:rFonts w:ascii="Calibri" w:hAnsi="Calibri" w:cs="Calibri"/>
        </w:rPr>
        <w:t xml:space="preserve">, </w:t>
      </w:r>
      <w:r w:rsidRPr="000C6830">
        <w:rPr>
          <w:rFonts w:ascii="Calibri" w:hAnsi="Calibri" w:cs="Calibri"/>
          <w:i/>
          <w:iCs/>
        </w:rPr>
        <w:t>373</w:t>
      </w:r>
      <w:r w:rsidRPr="000C6830">
        <w:rPr>
          <w:rFonts w:ascii="Calibri" w:hAnsi="Calibri" w:cs="Calibri"/>
        </w:rPr>
        <w:t>, eabe4832, doi:10.1126/science.abe4832.</w:t>
      </w:r>
    </w:p>
    <w:p w14:paraId="40AB05D4" w14:textId="77777777" w:rsidR="000C6830" w:rsidRPr="000C6830" w:rsidRDefault="000C6830" w:rsidP="000C6830">
      <w:pPr>
        <w:pStyle w:val="Bibliography"/>
        <w:rPr>
          <w:rFonts w:ascii="Calibri" w:hAnsi="Calibri" w:cs="Calibri"/>
        </w:rPr>
      </w:pPr>
      <w:r w:rsidRPr="000C6830">
        <w:rPr>
          <w:rFonts w:ascii="Calibri" w:hAnsi="Calibri" w:cs="Calibri"/>
        </w:rPr>
        <w:t xml:space="preserve">7. </w:t>
      </w:r>
      <w:r w:rsidRPr="000C6830">
        <w:rPr>
          <w:rFonts w:ascii="Calibri" w:hAnsi="Calibri" w:cs="Calibri"/>
        </w:rPr>
        <w:tab/>
        <w:t xml:space="preserve">Hu, Q.; Zhang, Q.-Y.; Peng, C.-F.; Ma, Z.; Han, Y.-L. Efficiency of Nicotinamide-Based Supportive Therapy in Lymphopenia for Patients with Ordinary or Severe COVID-19: A Randomized Controlled Trial. </w:t>
      </w:r>
      <w:r w:rsidRPr="000C6830">
        <w:rPr>
          <w:rFonts w:ascii="Calibri" w:hAnsi="Calibri" w:cs="Calibri"/>
          <w:i/>
          <w:iCs/>
        </w:rPr>
        <w:t>Medicine (Baltimore)</w:t>
      </w:r>
      <w:r w:rsidRPr="000C6830">
        <w:rPr>
          <w:rFonts w:ascii="Calibri" w:hAnsi="Calibri" w:cs="Calibri"/>
        </w:rPr>
        <w:t xml:space="preserve"> </w:t>
      </w:r>
      <w:r w:rsidRPr="000C6830">
        <w:rPr>
          <w:rFonts w:ascii="Calibri" w:hAnsi="Calibri" w:cs="Calibri"/>
          <w:b/>
          <w:bCs/>
        </w:rPr>
        <w:t>2022</w:t>
      </w:r>
      <w:r w:rsidRPr="000C6830">
        <w:rPr>
          <w:rFonts w:ascii="Calibri" w:hAnsi="Calibri" w:cs="Calibri"/>
        </w:rPr>
        <w:t xml:space="preserve">, </w:t>
      </w:r>
      <w:r w:rsidRPr="000C6830">
        <w:rPr>
          <w:rFonts w:ascii="Calibri" w:hAnsi="Calibri" w:cs="Calibri"/>
          <w:i/>
          <w:iCs/>
        </w:rPr>
        <w:t>101</w:t>
      </w:r>
      <w:r w:rsidRPr="000C6830">
        <w:rPr>
          <w:rFonts w:ascii="Calibri" w:hAnsi="Calibri" w:cs="Calibri"/>
        </w:rPr>
        <w:t>, e31138, doi:10.1097/MD.0000000000031138.</w:t>
      </w:r>
    </w:p>
    <w:p w14:paraId="7C0B7E3D" w14:textId="77777777" w:rsidR="000C6830" w:rsidRPr="000C6830" w:rsidRDefault="000C6830" w:rsidP="000C6830">
      <w:pPr>
        <w:pStyle w:val="Bibliography"/>
        <w:rPr>
          <w:rFonts w:ascii="Calibri" w:hAnsi="Calibri" w:cs="Calibri"/>
        </w:rPr>
      </w:pPr>
      <w:r w:rsidRPr="000C6830">
        <w:rPr>
          <w:rFonts w:ascii="Calibri" w:hAnsi="Calibri" w:cs="Calibri"/>
        </w:rPr>
        <w:t xml:space="preserve">8. </w:t>
      </w:r>
      <w:r w:rsidRPr="000C6830">
        <w:rPr>
          <w:rFonts w:ascii="Calibri" w:hAnsi="Calibri" w:cs="Calibri"/>
        </w:rPr>
        <w:tab/>
        <w:t xml:space="preserve">Khalaji, A.; Behnoush, A.H.; Alilou, S.; Rezaee, M.; Peiman, S.; Sahebkar, A. Adjunctive Therapy with Lipid-Lowering Agents in COVID-19: A Systematic Review and Meta-Analysis of Randomized Controlled Trials. </w:t>
      </w:r>
      <w:r w:rsidRPr="000C6830">
        <w:rPr>
          <w:rFonts w:ascii="Calibri" w:hAnsi="Calibri" w:cs="Calibri"/>
          <w:i/>
          <w:iCs/>
        </w:rPr>
        <w:t>Lipids Health Dis</w:t>
      </w:r>
      <w:r w:rsidRPr="000C6830">
        <w:rPr>
          <w:rFonts w:ascii="Calibri" w:hAnsi="Calibri" w:cs="Calibri"/>
        </w:rPr>
        <w:t xml:space="preserve"> </w:t>
      </w:r>
      <w:r w:rsidRPr="000C6830">
        <w:rPr>
          <w:rFonts w:ascii="Calibri" w:hAnsi="Calibri" w:cs="Calibri"/>
          <w:b/>
          <w:bCs/>
        </w:rPr>
        <w:t>2023</w:t>
      </w:r>
      <w:r w:rsidRPr="000C6830">
        <w:rPr>
          <w:rFonts w:ascii="Calibri" w:hAnsi="Calibri" w:cs="Calibri"/>
        </w:rPr>
        <w:t xml:space="preserve">, </w:t>
      </w:r>
      <w:r w:rsidRPr="000C6830">
        <w:rPr>
          <w:rFonts w:ascii="Calibri" w:hAnsi="Calibri" w:cs="Calibri"/>
          <w:i/>
          <w:iCs/>
        </w:rPr>
        <w:t>22</w:t>
      </w:r>
      <w:r w:rsidRPr="000C6830">
        <w:rPr>
          <w:rFonts w:ascii="Calibri" w:hAnsi="Calibri" w:cs="Calibri"/>
        </w:rPr>
        <w:t>, 61, doi:10.1186/s12944-023-01828-w.</w:t>
      </w:r>
    </w:p>
    <w:p w14:paraId="5FF6DD66" w14:textId="77777777" w:rsidR="000C6830" w:rsidRPr="000C6830" w:rsidRDefault="000C6830" w:rsidP="000C6830">
      <w:pPr>
        <w:pStyle w:val="Bibliography"/>
        <w:rPr>
          <w:rFonts w:ascii="Calibri" w:hAnsi="Calibri" w:cs="Calibri"/>
        </w:rPr>
      </w:pPr>
      <w:r w:rsidRPr="000C6830">
        <w:rPr>
          <w:rFonts w:ascii="Calibri" w:hAnsi="Calibri" w:cs="Calibri"/>
        </w:rPr>
        <w:t xml:space="preserve">9. </w:t>
      </w:r>
      <w:r w:rsidRPr="000C6830">
        <w:rPr>
          <w:rFonts w:ascii="Calibri" w:hAnsi="Calibri" w:cs="Calibri"/>
        </w:rPr>
        <w:tab/>
        <w:t xml:space="preserve">Lan, S.-H.; Lee, H.-Z.; Chao, C.-M.; Chang, S.-P.; Lu, L.-C.; Lai, C.-C. Efficacy of Melatonin in the Treatment of Patients with COVID-19: A Systematic Review and Meta-Analysis of Randomized Controlled Trials. </w:t>
      </w:r>
      <w:r w:rsidRPr="000C6830">
        <w:rPr>
          <w:rFonts w:ascii="Calibri" w:hAnsi="Calibri" w:cs="Calibri"/>
          <w:i/>
          <w:iCs/>
        </w:rPr>
        <w:t>Journal of Medical Virology</w:t>
      </w:r>
      <w:r w:rsidRPr="000C6830">
        <w:rPr>
          <w:rFonts w:ascii="Calibri" w:hAnsi="Calibri" w:cs="Calibri"/>
        </w:rPr>
        <w:t xml:space="preserve"> </w:t>
      </w:r>
      <w:r w:rsidRPr="000C6830">
        <w:rPr>
          <w:rFonts w:ascii="Calibri" w:hAnsi="Calibri" w:cs="Calibri"/>
          <w:b/>
          <w:bCs/>
        </w:rPr>
        <w:t>2022</w:t>
      </w:r>
      <w:r w:rsidRPr="000C6830">
        <w:rPr>
          <w:rFonts w:ascii="Calibri" w:hAnsi="Calibri" w:cs="Calibri"/>
        </w:rPr>
        <w:t xml:space="preserve">, </w:t>
      </w:r>
      <w:r w:rsidRPr="000C6830">
        <w:rPr>
          <w:rFonts w:ascii="Calibri" w:hAnsi="Calibri" w:cs="Calibri"/>
          <w:i/>
          <w:iCs/>
        </w:rPr>
        <w:t>94</w:t>
      </w:r>
      <w:r w:rsidRPr="000C6830">
        <w:rPr>
          <w:rFonts w:ascii="Calibri" w:hAnsi="Calibri" w:cs="Calibri"/>
        </w:rPr>
        <w:t>, 2102–2107, doi:10.1002/jmv.27595.</w:t>
      </w:r>
    </w:p>
    <w:p w14:paraId="1C9879FC" w14:textId="77777777" w:rsidR="000C6830" w:rsidRPr="000C6830" w:rsidRDefault="000C6830" w:rsidP="000C6830">
      <w:pPr>
        <w:pStyle w:val="Bibliography"/>
        <w:rPr>
          <w:rFonts w:ascii="Calibri" w:hAnsi="Calibri" w:cs="Calibri"/>
        </w:rPr>
      </w:pPr>
      <w:r w:rsidRPr="000C6830">
        <w:rPr>
          <w:rFonts w:ascii="Calibri" w:hAnsi="Calibri" w:cs="Calibri"/>
        </w:rPr>
        <w:t xml:space="preserve">10. </w:t>
      </w:r>
      <w:r w:rsidRPr="000C6830">
        <w:rPr>
          <w:rFonts w:ascii="Calibri" w:hAnsi="Calibri" w:cs="Calibri"/>
        </w:rPr>
        <w:tab/>
        <w:t xml:space="preserve">Pattnaik, B.R.; Bhatraju, N.; Kashyap, S.; Verma, U.; Madan, K.; Guleria, R.; Agrawal, A.; Mohan, A. Effect of a Nutraceutical Drug in COPD Condition: A Pilot Study of in Vitro, in Vivo and Clinical Trial. </w:t>
      </w:r>
      <w:r w:rsidRPr="000C6830">
        <w:rPr>
          <w:rFonts w:ascii="Calibri" w:hAnsi="Calibri" w:cs="Calibri"/>
          <w:i/>
          <w:iCs/>
        </w:rPr>
        <w:t>European Respiratory Journal</w:t>
      </w:r>
      <w:r w:rsidRPr="000C6830">
        <w:rPr>
          <w:rFonts w:ascii="Calibri" w:hAnsi="Calibri" w:cs="Calibri"/>
        </w:rPr>
        <w:t xml:space="preserve"> </w:t>
      </w:r>
      <w:r w:rsidRPr="000C6830">
        <w:rPr>
          <w:rFonts w:ascii="Calibri" w:hAnsi="Calibri" w:cs="Calibri"/>
          <w:b/>
          <w:bCs/>
        </w:rPr>
        <w:t>2022</w:t>
      </w:r>
      <w:r w:rsidRPr="000C6830">
        <w:rPr>
          <w:rFonts w:ascii="Calibri" w:hAnsi="Calibri" w:cs="Calibri"/>
        </w:rPr>
        <w:t xml:space="preserve">, </w:t>
      </w:r>
      <w:r w:rsidRPr="000C6830">
        <w:rPr>
          <w:rFonts w:ascii="Calibri" w:hAnsi="Calibri" w:cs="Calibri"/>
          <w:i/>
          <w:iCs/>
        </w:rPr>
        <w:t>60</w:t>
      </w:r>
      <w:r w:rsidRPr="000C6830">
        <w:rPr>
          <w:rFonts w:ascii="Calibri" w:hAnsi="Calibri" w:cs="Calibri"/>
        </w:rPr>
        <w:t>, doi:10.1183/13993003.congress-2022.1661.</w:t>
      </w:r>
    </w:p>
    <w:p w14:paraId="208C698D" w14:textId="77777777" w:rsidR="000C6830" w:rsidRPr="000C6830" w:rsidRDefault="000C6830" w:rsidP="000C6830">
      <w:pPr>
        <w:pStyle w:val="Bibliography"/>
        <w:rPr>
          <w:rFonts w:ascii="Calibri" w:hAnsi="Calibri" w:cs="Calibri"/>
        </w:rPr>
      </w:pPr>
      <w:r w:rsidRPr="000C6830">
        <w:rPr>
          <w:rFonts w:ascii="Calibri" w:hAnsi="Calibri" w:cs="Calibri"/>
        </w:rPr>
        <w:t xml:space="preserve">11. </w:t>
      </w:r>
      <w:r w:rsidRPr="000C6830">
        <w:rPr>
          <w:rFonts w:ascii="Calibri" w:hAnsi="Calibri" w:cs="Calibri"/>
        </w:rPr>
        <w:tab/>
        <w:t xml:space="preserve">Barbara, C.; Clavario, P.; De Marzo, V.; Lotti, R.; Guglielmi, G.; Porcile, A.; Russo, C.; Griffo, R.; Mäkikallio, T.; Hautala, A.J.; et al. Effects of Exercise Rehabilitation in Patients with Long Coronavirus Disease 2019. </w:t>
      </w:r>
      <w:r w:rsidRPr="000C6830">
        <w:rPr>
          <w:rFonts w:ascii="Calibri" w:hAnsi="Calibri" w:cs="Calibri"/>
          <w:i/>
          <w:iCs/>
        </w:rPr>
        <w:t>European Journal of Preventive Cardiology</w:t>
      </w:r>
      <w:r w:rsidRPr="000C6830">
        <w:rPr>
          <w:rFonts w:ascii="Calibri" w:hAnsi="Calibri" w:cs="Calibri"/>
        </w:rPr>
        <w:t xml:space="preserve"> </w:t>
      </w:r>
      <w:r w:rsidRPr="000C6830">
        <w:rPr>
          <w:rFonts w:ascii="Calibri" w:hAnsi="Calibri" w:cs="Calibri"/>
          <w:b/>
          <w:bCs/>
        </w:rPr>
        <w:t>2022</w:t>
      </w:r>
      <w:r w:rsidRPr="000C6830">
        <w:rPr>
          <w:rFonts w:ascii="Calibri" w:hAnsi="Calibri" w:cs="Calibri"/>
        </w:rPr>
        <w:t xml:space="preserve">, </w:t>
      </w:r>
      <w:r w:rsidRPr="000C6830">
        <w:rPr>
          <w:rFonts w:ascii="Calibri" w:hAnsi="Calibri" w:cs="Calibri"/>
          <w:i/>
          <w:iCs/>
        </w:rPr>
        <w:t>29</w:t>
      </w:r>
      <w:r w:rsidRPr="000C6830">
        <w:rPr>
          <w:rFonts w:ascii="Calibri" w:hAnsi="Calibri" w:cs="Calibri"/>
        </w:rPr>
        <w:t>, e258–e260, doi:10.1093/eurjpc/zwac019.</w:t>
      </w:r>
    </w:p>
    <w:p w14:paraId="45BA181F" w14:textId="77777777" w:rsidR="000C6830" w:rsidRPr="000C6830" w:rsidRDefault="000C6830" w:rsidP="000C6830">
      <w:pPr>
        <w:pStyle w:val="Bibliography"/>
        <w:rPr>
          <w:rFonts w:ascii="Calibri" w:hAnsi="Calibri" w:cs="Calibri"/>
        </w:rPr>
      </w:pPr>
      <w:r w:rsidRPr="000C6830">
        <w:rPr>
          <w:rFonts w:ascii="Calibri" w:hAnsi="Calibri" w:cs="Calibri"/>
        </w:rPr>
        <w:t xml:space="preserve">12. </w:t>
      </w:r>
      <w:r w:rsidRPr="000C6830">
        <w:rPr>
          <w:rFonts w:ascii="Calibri" w:hAnsi="Calibri" w:cs="Calibri"/>
        </w:rPr>
        <w:tab/>
        <w:t xml:space="preserve">Nopp, S.; Moik, F.; Klok, F.A.; Gattinger, D.; Petrovic, M.; Vonbank, K.; Koczulla, A.R.; Ay, C.; Zwick, R.H. Outpatient Pulmonary Rehabilitation in Patients with Long COVID Improves Exercise Capacity, Functional Status, Dyspnea, Fatigue, and Quality of Life. </w:t>
      </w:r>
      <w:r w:rsidRPr="000C6830">
        <w:rPr>
          <w:rFonts w:ascii="Calibri" w:hAnsi="Calibri" w:cs="Calibri"/>
          <w:i/>
          <w:iCs/>
        </w:rPr>
        <w:t>Respiration</w:t>
      </w:r>
      <w:r w:rsidRPr="000C6830">
        <w:rPr>
          <w:rFonts w:ascii="Calibri" w:hAnsi="Calibri" w:cs="Calibri"/>
        </w:rPr>
        <w:t xml:space="preserve"> </w:t>
      </w:r>
      <w:r w:rsidRPr="000C6830">
        <w:rPr>
          <w:rFonts w:ascii="Calibri" w:hAnsi="Calibri" w:cs="Calibri"/>
          <w:b/>
          <w:bCs/>
        </w:rPr>
        <w:t>2022</w:t>
      </w:r>
      <w:r w:rsidRPr="000C6830">
        <w:rPr>
          <w:rFonts w:ascii="Calibri" w:hAnsi="Calibri" w:cs="Calibri"/>
        </w:rPr>
        <w:t xml:space="preserve">, </w:t>
      </w:r>
      <w:r w:rsidRPr="000C6830">
        <w:rPr>
          <w:rFonts w:ascii="Calibri" w:hAnsi="Calibri" w:cs="Calibri"/>
          <w:i/>
          <w:iCs/>
        </w:rPr>
        <w:t>101</w:t>
      </w:r>
      <w:r w:rsidRPr="000C6830">
        <w:rPr>
          <w:rFonts w:ascii="Calibri" w:hAnsi="Calibri" w:cs="Calibri"/>
        </w:rPr>
        <w:t>, 593–601, doi:10.1159/000522118.</w:t>
      </w:r>
    </w:p>
    <w:p w14:paraId="0F3C2532" w14:textId="77777777" w:rsidR="000C6830" w:rsidRPr="000C6830" w:rsidRDefault="000C6830" w:rsidP="000C6830">
      <w:pPr>
        <w:pStyle w:val="Bibliography"/>
        <w:rPr>
          <w:rFonts w:ascii="Calibri" w:hAnsi="Calibri" w:cs="Calibri"/>
        </w:rPr>
      </w:pPr>
      <w:r w:rsidRPr="000C6830">
        <w:rPr>
          <w:rFonts w:ascii="Calibri" w:hAnsi="Calibri" w:cs="Calibri"/>
        </w:rPr>
        <w:t xml:space="preserve">13. </w:t>
      </w:r>
      <w:r w:rsidRPr="000C6830">
        <w:rPr>
          <w:rFonts w:ascii="Calibri" w:hAnsi="Calibri" w:cs="Calibri"/>
        </w:rPr>
        <w:tab/>
        <w:t xml:space="preserve">Romanet, C.; Wormser, J.; Fels, A.; Lucas, P.; Prudat, C.; Sacco, E.; Bruel, C.; Plantefève, G.; Pene, F.; Chatellier, G.; et al. Effectiveness of Exercise Training on the Dyspnoea of Individuals with Long COVID: A Randomised Controlled Multicentre Trial. </w:t>
      </w:r>
      <w:r w:rsidRPr="000C6830">
        <w:rPr>
          <w:rFonts w:ascii="Calibri" w:hAnsi="Calibri" w:cs="Calibri"/>
          <w:i/>
          <w:iCs/>
        </w:rPr>
        <w:t>Annals of Physical and Rehabilitation Medicine</w:t>
      </w:r>
      <w:r w:rsidRPr="000C6830">
        <w:rPr>
          <w:rFonts w:ascii="Calibri" w:hAnsi="Calibri" w:cs="Calibri"/>
        </w:rPr>
        <w:t xml:space="preserve"> </w:t>
      </w:r>
      <w:r w:rsidRPr="000C6830">
        <w:rPr>
          <w:rFonts w:ascii="Calibri" w:hAnsi="Calibri" w:cs="Calibri"/>
          <w:b/>
          <w:bCs/>
        </w:rPr>
        <w:t>2023</w:t>
      </w:r>
      <w:r w:rsidRPr="000C6830">
        <w:rPr>
          <w:rFonts w:ascii="Calibri" w:hAnsi="Calibri" w:cs="Calibri"/>
        </w:rPr>
        <w:t xml:space="preserve">, </w:t>
      </w:r>
      <w:r w:rsidRPr="000C6830">
        <w:rPr>
          <w:rFonts w:ascii="Calibri" w:hAnsi="Calibri" w:cs="Calibri"/>
          <w:i/>
          <w:iCs/>
        </w:rPr>
        <w:t>66</w:t>
      </w:r>
      <w:r w:rsidRPr="000C6830">
        <w:rPr>
          <w:rFonts w:ascii="Calibri" w:hAnsi="Calibri" w:cs="Calibri"/>
        </w:rPr>
        <w:t>, 101765, doi:10.1016/j.rehab.2023.101765.</w:t>
      </w:r>
    </w:p>
    <w:p w14:paraId="116BB107" w14:textId="77777777" w:rsidR="000C6830" w:rsidRPr="000C6830" w:rsidRDefault="000C6830" w:rsidP="000C6830">
      <w:pPr>
        <w:pStyle w:val="Bibliography"/>
        <w:rPr>
          <w:rFonts w:ascii="Calibri" w:hAnsi="Calibri" w:cs="Calibri"/>
        </w:rPr>
      </w:pPr>
      <w:r w:rsidRPr="000C6830">
        <w:rPr>
          <w:rFonts w:ascii="Calibri" w:hAnsi="Calibri" w:cs="Calibri"/>
        </w:rPr>
        <w:t xml:space="preserve">14. </w:t>
      </w:r>
      <w:r w:rsidRPr="000C6830">
        <w:rPr>
          <w:rFonts w:ascii="Calibri" w:hAnsi="Calibri" w:cs="Calibri"/>
        </w:rPr>
        <w:tab/>
        <w:t xml:space="preserve">Winchester, S.; John, S.; Jabbar, K.; John, I. Clinical Efficacy of Nitric Oxide Nasal Spray (NONS) for the Treatment of Mild COVID-19 Infection. </w:t>
      </w:r>
      <w:r w:rsidRPr="000C6830">
        <w:rPr>
          <w:rFonts w:ascii="Calibri" w:hAnsi="Calibri" w:cs="Calibri"/>
          <w:i/>
          <w:iCs/>
        </w:rPr>
        <w:t>Journal of Infection</w:t>
      </w:r>
      <w:r w:rsidRPr="000C6830">
        <w:rPr>
          <w:rFonts w:ascii="Calibri" w:hAnsi="Calibri" w:cs="Calibri"/>
        </w:rPr>
        <w:t xml:space="preserve"> </w:t>
      </w:r>
      <w:r w:rsidRPr="000C6830">
        <w:rPr>
          <w:rFonts w:ascii="Calibri" w:hAnsi="Calibri" w:cs="Calibri"/>
          <w:b/>
          <w:bCs/>
        </w:rPr>
        <w:t>2021</w:t>
      </w:r>
      <w:r w:rsidRPr="000C6830">
        <w:rPr>
          <w:rFonts w:ascii="Calibri" w:hAnsi="Calibri" w:cs="Calibri"/>
        </w:rPr>
        <w:t xml:space="preserve">, </w:t>
      </w:r>
      <w:r w:rsidRPr="000C6830">
        <w:rPr>
          <w:rFonts w:ascii="Calibri" w:hAnsi="Calibri" w:cs="Calibri"/>
          <w:i/>
          <w:iCs/>
        </w:rPr>
        <w:t>83</w:t>
      </w:r>
      <w:r w:rsidRPr="000C6830">
        <w:rPr>
          <w:rFonts w:ascii="Calibri" w:hAnsi="Calibri" w:cs="Calibri"/>
        </w:rPr>
        <w:t>, 237–279, doi:10.1016/j.jinf.2021.05.009.</w:t>
      </w:r>
    </w:p>
    <w:p w14:paraId="6B73266B" w14:textId="77777777" w:rsidR="000C6830" w:rsidRPr="000C6830" w:rsidRDefault="000C6830" w:rsidP="000C6830">
      <w:pPr>
        <w:pStyle w:val="Bibliography"/>
        <w:rPr>
          <w:rFonts w:ascii="Calibri" w:hAnsi="Calibri" w:cs="Calibri"/>
        </w:rPr>
      </w:pPr>
      <w:r w:rsidRPr="000C6830">
        <w:rPr>
          <w:rFonts w:ascii="Calibri" w:hAnsi="Calibri" w:cs="Calibri"/>
        </w:rPr>
        <w:t xml:space="preserve">15. </w:t>
      </w:r>
      <w:r w:rsidRPr="000C6830">
        <w:rPr>
          <w:rFonts w:ascii="Calibri" w:hAnsi="Calibri" w:cs="Calibri"/>
        </w:rPr>
        <w:tab/>
        <w:t xml:space="preserve">Zhong, M.; Sun, A.; Xiao, T.; Yao, G.; Sang, L.; Zheng, X.; Zhang, J.; Jin, X.; Xu, L.; Yang, W.; et al. A Randomized, Single-Blind, Group Sequential, Active-Controlled Study to Evaluate the Clinical Efficacy and Safety of α-Lipoic Acid for Critically Ill Patients With Coronavirus Disease 2019 (COVID-19). </w:t>
      </w:r>
      <w:r w:rsidRPr="000C6830">
        <w:rPr>
          <w:rFonts w:ascii="Calibri" w:hAnsi="Calibri" w:cs="Calibri"/>
          <w:i/>
          <w:iCs/>
        </w:rPr>
        <w:t>Frontiers in Medicine</w:t>
      </w:r>
      <w:r w:rsidRPr="000C6830">
        <w:rPr>
          <w:rFonts w:ascii="Calibri" w:hAnsi="Calibri" w:cs="Calibri"/>
        </w:rPr>
        <w:t xml:space="preserve"> </w:t>
      </w:r>
      <w:r w:rsidRPr="000C6830">
        <w:rPr>
          <w:rFonts w:ascii="Calibri" w:hAnsi="Calibri" w:cs="Calibri"/>
          <w:b/>
          <w:bCs/>
        </w:rPr>
        <w:t>2022</w:t>
      </w:r>
      <w:r w:rsidRPr="000C6830">
        <w:rPr>
          <w:rFonts w:ascii="Calibri" w:hAnsi="Calibri" w:cs="Calibri"/>
        </w:rPr>
        <w:t xml:space="preserve">, </w:t>
      </w:r>
      <w:r w:rsidRPr="000C6830">
        <w:rPr>
          <w:rFonts w:ascii="Calibri" w:hAnsi="Calibri" w:cs="Calibri"/>
          <w:i/>
          <w:iCs/>
        </w:rPr>
        <w:t>8</w:t>
      </w:r>
      <w:r w:rsidRPr="000C6830">
        <w:rPr>
          <w:rFonts w:ascii="Calibri" w:hAnsi="Calibri" w:cs="Calibri"/>
        </w:rPr>
        <w:t>.</w:t>
      </w:r>
    </w:p>
    <w:p w14:paraId="3B95BEA6" w14:textId="77777777" w:rsidR="000C6830" w:rsidRPr="000C6830" w:rsidRDefault="000C6830" w:rsidP="000C6830">
      <w:pPr>
        <w:pStyle w:val="Bibliography"/>
        <w:rPr>
          <w:rFonts w:ascii="Calibri" w:hAnsi="Calibri" w:cs="Calibri"/>
        </w:rPr>
      </w:pPr>
      <w:r w:rsidRPr="000C6830">
        <w:rPr>
          <w:rFonts w:ascii="Calibri" w:hAnsi="Calibri" w:cs="Calibri"/>
        </w:rPr>
        <w:t xml:space="preserve">16. </w:t>
      </w:r>
      <w:r w:rsidRPr="000C6830">
        <w:rPr>
          <w:rFonts w:ascii="Calibri" w:hAnsi="Calibri" w:cs="Calibri"/>
        </w:rPr>
        <w:tab/>
        <w:t xml:space="preserve">Altay, O.; Arif, M.; Li, X.; Yang, H.; Aydın, M.; Alkurt, G.; Kim, W.; Akyol, D.; Zhang, C.; Dinler-Doganay, G.; et al. Combined Metabolic Activators Accelerates Recovery in Mild-to-Moderate COVID-19. </w:t>
      </w:r>
      <w:r w:rsidRPr="000C6830">
        <w:rPr>
          <w:rFonts w:ascii="Calibri" w:hAnsi="Calibri" w:cs="Calibri"/>
          <w:i/>
          <w:iCs/>
        </w:rPr>
        <w:t>Advanced Science</w:t>
      </w:r>
      <w:r w:rsidRPr="000C6830">
        <w:rPr>
          <w:rFonts w:ascii="Calibri" w:hAnsi="Calibri" w:cs="Calibri"/>
        </w:rPr>
        <w:t xml:space="preserve"> </w:t>
      </w:r>
      <w:r w:rsidRPr="000C6830">
        <w:rPr>
          <w:rFonts w:ascii="Calibri" w:hAnsi="Calibri" w:cs="Calibri"/>
          <w:b/>
          <w:bCs/>
        </w:rPr>
        <w:t>2021</w:t>
      </w:r>
      <w:r w:rsidRPr="000C6830">
        <w:rPr>
          <w:rFonts w:ascii="Calibri" w:hAnsi="Calibri" w:cs="Calibri"/>
        </w:rPr>
        <w:t xml:space="preserve">, </w:t>
      </w:r>
      <w:r w:rsidRPr="000C6830">
        <w:rPr>
          <w:rFonts w:ascii="Calibri" w:hAnsi="Calibri" w:cs="Calibri"/>
          <w:i/>
          <w:iCs/>
        </w:rPr>
        <w:t>8</w:t>
      </w:r>
      <w:r w:rsidRPr="000C6830">
        <w:rPr>
          <w:rFonts w:ascii="Calibri" w:hAnsi="Calibri" w:cs="Calibri"/>
        </w:rPr>
        <w:t>, 2101222, doi:10.1002/advs.202101222.</w:t>
      </w:r>
    </w:p>
    <w:p w14:paraId="7ABFAFCE" w14:textId="77777777" w:rsidR="000C6830" w:rsidRPr="000C6830" w:rsidRDefault="000C6830" w:rsidP="000C6830">
      <w:pPr>
        <w:pStyle w:val="Bibliography"/>
        <w:rPr>
          <w:rFonts w:ascii="Calibri" w:hAnsi="Calibri" w:cs="Calibri"/>
        </w:rPr>
      </w:pPr>
      <w:r w:rsidRPr="000C6830">
        <w:rPr>
          <w:rFonts w:ascii="Calibri" w:hAnsi="Calibri" w:cs="Calibri"/>
        </w:rPr>
        <w:t xml:space="preserve">17. </w:t>
      </w:r>
      <w:r w:rsidRPr="000C6830">
        <w:rPr>
          <w:rFonts w:ascii="Calibri" w:hAnsi="Calibri" w:cs="Calibri"/>
        </w:rPr>
        <w:tab/>
        <w:t xml:space="preserve">Li, C.; Ou, R.; Wei, Q.; Shang, H. Carnitine and COVID-19 Susceptibility and Severity: A Mendelian Randomization Study. </w:t>
      </w:r>
      <w:r w:rsidRPr="000C6830">
        <w:rPr>
          <w:rFonts w:ascii="Calibri" w:hAnsi="Calibri" w:cs="Calibri"/>
          <w:i/>
          <w:iCs/>
        </w:rPr>
        <w:t>Frontiers in Nutrition</w:t>
      </w:r>
      <w:r w:rsidRPr="000C6830">
        <w:rPr>
          <w:rFonts w:ascii="Calibri" w:hAnsi="Calibri" w:cs="Calibri"/>
        </w:rPr>
        <w:t xml:space="preserve"> </w:t>
      </w:r>
      <w:r w:rsidRPr="000C6830">
        <w:rPr>
          <w:rFonts w:ascii="Calibri" w:hAnsi="Calibri" w:cs="Calibri"/>
          <w:b/>
          <w:bCs/>
        </w:rPr>
        <w:t>2021</w:t>
      </w:r>
      <w:r w:rsidRPr="000C6830">
        <w:rPr>
          <w:rFonts w:ascii="Calibri" w:hAnsi="Calibri" w:cs="Calibri"/>
        </w:rPr>
        <w:t xml:space="preserve">, </w:t>
      </w:r>
      <w:r w:rsidRPr="000C6830">
        <w:rPr>
          <w:rFonts w:ascii="Calibri" w:hAnsi="Calibri" w:cs="Calibri"/>
          <w:i/>
          <w:iCs/>
        </w:rPr>
        <w:t>8</w:t>
      </w:r>
      <w:r w:rsidRPr="000C6830">
        <w:rPr>
          <w:rFonts w:ascii="Calibri" w:hAnsi="Calibri" w:cs="Calibri"/>
        </w:rPr>
        <w:t>.</w:t>
      </w:r>
    </w:p>
    <w:p w14:paraId="26C8794F" w14:textId="77777777" w:rsidR="000C6830" w:rsidRPr="000C6830" w:rsidRDefault="000C6830" w:rsidP="000C6830">
      <w:pPr>
        <w:pStyle w:val="Bibliography"/>
        <w:rPr>
          <w:rFonts w:ascii="Calibri" w:hAnsi="Calibri" w:cs="Calibri"/>
        </w:rPr>
      </w:pPr>
      <w:r w:rsidRPr="000C6830">
        <w:rPr>
          <w:rFonts w:ascii="Calibri" w:hAnsi="Calibri" w:cs="Calibri"/>
        </w:rPr>
        <w:t xml:space="preserve">18. </w:t>
      </w:r>
      <w:r w:rsidRPr="000C6830">
        <w:rPr>
          <w:rFonts w:ascii="Calibri" w:hAnsi="Calibri" w:cs="Calibri"/>
        </w:rPr>
        <w:tab/>
        <w:t xml:space="preserve">Negro, R.W.D.; Turco, P.; Povero, M. Nebivolol: An Effective Option against Long-Lasting Dyspnoea Following COVID-19 Pneumonia - a Pivotal Double-Blind, Cross-over Controlled Study. </w:t>
      </w:r>
      <w:r w:rsidRPr="000C6830">
        <w:rPr>
          <w:rFonts w:ascii="Calibri" w:hAnsi="Calibri" w:cs="Calibri"/>
          <w:i/>
          <w:iCs/>
        </w:rPr>
        <w:t>Multidisciplinary Respiratory Medicine</w:t>
      </w:r>
      <w:r w:rsidRPr="000C6830">
        <w:rPr>
          <w:rFonts w:ascii="Calibri" w:hAnsi="Calibri" w:cs="Calibri"/>
        </w:rPr>
        <w:t xml:space="preserve"> </w:t>
      </w:r>
      <w:r w:rsidRPr="000C6830">
        <w:rPr>
          <w:rFonts w:ascii="Calibri" w:hAnsi="Calibri" w:cs="Calibri"/>
          <w:b/>
          <w:bCs/>
        </w:rPr>
        <w:t>2022</w:t>
      </w:r>
      <w:r w:rsidRPr="000C6830">
        <w:rPr>
          <w:rFonts w:ascii="Calibri" w:hAnsi="Calibri" w:cs="Calibri"/>
        </w:rPr>
        <w:t xml:space="preserve">, </w:t>
      </w:r>
      <w:r w:rsidRPr="000C6830">
        <w:rPr>
          <w:rFonts w:ascii="Calibri" w:hAnsi="Calibri" w:cs="Calibri"/>
          <w:i/>
          <w:iCs/>
        </w:rPr>
        <w:t>17</w:t>
      </w:r>
      <w:r w:rsidRPr="000C6830">
        <w:rPr>
          <w:rFonts w:ascii="Calibri" w:hAnsi="Calibri" w:cs="Calibri"/>
        </w:rPr>
        <w:t>, doi:10.4081/mrm.2022.886.</w:t>
      </w:r>
    </w:p>
    <w:p w14:paraId="73E28EC2" w14:textId="77777777" w:rsidR="000C6830" w:rsidRPr="000C6830" w:rsidRDefault="000C6830" w:rsidP="000C6830">
      <w:pPr>
        <w:pStyle w:val="Bibliography"/>
        <w:rPr>
          <w:rFonts w:ascii="Calibri" w:hAnsi="Calibri" w:cs="Calibri"/>
        </w:rPr>
      </w:pPr>
      <w:r w:rsidRPr="000C6830">
        <w:rPr>
          <w:rFonts w:ascii="Calibri" w:hAnsi="Calibri" w:cs="Calibri"/>
        </w:rPr>
        <w:t xml:space="preserve">19. </w:t>
      </w:r>
      <w:r w:rsidRPr="000C6830">
        <w:rPr>
          <w:rFonts w:ascii="Calibri" w:hAnsi="Calibri" w:cs="Calibri"/>
        </w:rPr>
        <w:tab/>
        <w:t xml:space="preserve">Cheema, H.A.; Sohail, A.; Fatima, A.; Shahid, A.; Shahzil, M.; Ur Rehman, M.E.; Awan, R.U.; Chinnam, S.; Nashwan, A.J. Quercetin for the Treatment of COVID-19 Patients: A Systematic Review and Meta-Analysis. </w:t>
      </w:r>
      <w:r w:rsidRPr="000C6830">
        <w:rPr>
          <w:rFonts w:ascii="Calibri" w:hAnsi="Calibri" w:cs="Calibri"/>
          <w:i/>
          <w:iCs/>
        </w:rPr>
        <w:t>Reviews in Medical Virology</w:t>
      </w:r>
      <w:r w:rsidRPr="000C6830">
        <w:rPr>
          <w:rFonts w:ascii="Calibri" w:hAnsi="Calibri" w:cs="Calibri"/>
        </w:rPr>
        <w:t xml:space="preserve"> </w:t>
      </w:r>
      <w:r w:rsidRPr="000C6830">
        <w:rPr>
          <w:rFonts w:ascii="Calibri" w:hAnsi="Calibri" w:cs="Calibri"/>
          <w:b/>
          <w:bCs/>
        </w:rPr>
        <w:t>2023</w:t>
      </w:r>
      <w:r w:rsidRPr="000C6830">
        <w:rPr>
          <w:rFonts w:ascii="Calibri" w:hAnsi="Calibri" w:cs="Calibri"/>
        </w:rPr>
        <w:t xml:space="preserve">, </w:t>
      </w:r>
      <w:r w:rsidRPr="000C6830">
        <w:rPr>
          <w:rFonts w:ascii="Calibri" w:hAnsi="Calibri" w:cs="Calibri"/>
          <w:i/>
          <w:iCs/>
        </w:rPr>
        <w:t>33</w:t>
      </w:r>
      <w:r w:rsidRPr="000C6830">
        <w:rPr>
          <w:rFonts w:ascii="Calibri" w:hAnsi="Calibri" w:cs="Calibri"/>
        </w:rPr>
        <w:t>, e2427, doi:10.1002/rmv.2427.</w:t>
      </w:r>
    </w:p>
    <w:p w14:paraId="558B981E" w14:textId="77777777" w:rsidR="000C6830" w:rsidRPr="000C6830" w:rsidRDefault="000C6830" w:rsidP="000C6830">
      <w:pPr>
        <w:pStyle w:val="Bibliography"/>
        <w:rPr>
          <w:rFonts w:ascii="Calibri" w:hAnsi="Calibri" w:cs="Calibri"/>
        </w:rPr>
      </w:pPr>
      <w:r w:rsidRPr="000C6830">
        <w:rPr>
          <w:rFonts w:ascii="Calibri" w:hAnsi="Calibri" w:cs="Calibri"/>
        </w:rPr>
        <w:t xml:space="preserve">20. </w:t>
      </w:r>
      <w:r w:rsidRPr="000C6830">
        <w:rPr>
          <w:rFonts w:ascii="Calibri" w:hAnsi="Calibri" w:cs="Calibri"/>
        </w:rPr>
        <w:tab/>
        <w:t xml:space="preserve">Gomaa, A.A.; Mohamed, H.S.; Abd-ellatief, R.B.; Gomaa, M.A.; Hammam, D.S. Advancing Combination Treatment with Glycyrrhizin and Boswellic Acids for Hospitalized Patients with Moderate COVID-19 Infection: A Randomized Clinical Trial. </w:t>
      </w:r>
      <w:r w:rsidRPr="000C6830">
        <w:rPr>
          <w:rFonts w:ascii="Calibri" w:hAnsi="Calibri" w:cs="Calibri"/>
          <w:i/>
          <w:iCs/>
        </w:rPr>
        <w:t>Inflammopharmacol</w:t>
      </w:r>
      <w:r w:rsidRPr="000C6830">
        <w:rPr>
          <w:rFonts w:ascii="Calibri" w:hAnsi="Calibri" w:cs="Calibri"/>
        </w:rPr>
        <w:t xml:space="preserve"> </w:t>
      </w:r>
      <w:r w:rsidRPr="000C6830">
        <w:rPr>
          <w:rFonts w:ascii="Calibri" w:hAnsi="Calibri" w:cs="Calibri"/>
          <w:b/>
          <w:bCs/>
        </w:rPr>
        <w:t>2022</w:t>
      </w:r>
      <w:r w:rsidRPr="000C6830">
        <w:rPr>
          <w:rFonts w:ascii="Calibri" w:hAnsi="Calibri" w:cs="Calibri"/>
        </w:rPr>
        <w:t xml:space="preserve">, </w:t>
      </w:r>
      <w:r w:rsidRPr="000C6830">
        <w:rPr>
          <w:rFonts w:ascii="Calibri" w:hAnsi="Calibri" w:cs="Calibri"/>
          <w:i/>
          <w:iCs/>
        </w:rPr>
        <w:t>30</w:t>
      </w:r>
      <w:r w:rsidRPr="000C6830">
        <w:rPr>
          <w:rFonts w:ascii="Calibri" w:hAnsi="Calibri" w:cs="Calibri"/>
        </w:rPr>
        <w:t>, 477–486, doi:10.1007/s10787-022-00939-7.</w:t>
      </w:r>
    </w:p>
    <w:p w14:paraId="6757A99D" w14:textId="77777777" w:rsidR="000C6830" w:rsidRPr="000C6830" w:rsidRDefault="000C6830" w:rsidP="000C6830">
      <w:pPr>
        <w:pStyle w:val="Bibliography"/>
        <w:rPr>
          <w:rFonts w:ascii="Calibri" w:hAnsi="Calibri" w:cs="Calibri"/>
        </w:rPr>
      </w:pPr>
      <w:r w:rsidRPr="000C6830">
        <w:rPr>
          <w:rFonts w:ascii="Calibri" w:hAnsi="Calibri" w:cs="Calibri"/>
        </w:rPr>
        <w:t xml:space="preserve">21. </w:t>
      </w:r>
      <w:r w:rsidRPr="000C6830">
        <w:rPr>
          <w:rFonts w:ascii="Calibri" w:hAnsi="Calibri" w:cs="Calibri"/>
        </w:rPr>
        <w:tab/>
        <w:t xml:space="preserve">Banerjee, S.; Baidya, S.K.; Adhikari, N.; Ghosh, B.; Jha, T. Glycyrrhizin as a Promising Kryptonite against SARS-CoV-2: Clinical, Experimental, and Theoretical Evidences. </w:t>
      </w:r>
      <w:r w:rsidRPr="000C6830">
        <w:rPr>
          <w:rFonts w:ascii="Calibri" w:hAnsi="Calibri" w:cs="Calibri"/>
          <w:i/>
          <w:iCs/>
        </w:rPr>
        <w:t>Journal of Molecular Structure</w:t>
      </w:r>
      <w:r w:rsidRPr="000C6830">
        <w:rPr>
          <w:rFonts w:ascii="Calibri" w:hAnsi="Calibri" w:cs="Calibri"/>
        </w:rPr>
        <w:t xml:space="preserve"> </w:t>
      </w:r>
      <w:r w:rsidRPr="000C6830">
        <w:rPr>
          <w:rFonts w:ascii="Calibri" w:hAnsi="Calibri" w:cs="Calibri"/>
          <w:b/>
          <w:bCs/>
        </w:rPr>
        <w:t>2023</w:t>
      </w:r>
      <w:r w:rsidRPr="000C6830">
        <w:rPr>
          <w:rFonts w:ascii="Calibri" w:hAnsi="Calibri" w:cs="Calibri"/>
        </w:rPr>
        <w:t xml:space="preserve">, </w:t>
      </w:r>
      <w:r w:rsidRPr="000C6830">
        <w:rPr>
          <w:rFonts w:ascii="Calibri" w:hAnsi="Calibri" w:cs="Calibri"/>
          <w:i/>
          <w:iCs/>
        </w:rPr>
        <w:t>1275</w:t>
      </w:r>
      <w:r w:rsidRPr="000C6830">
        <w:rPr>
          <w:rFonts w:ascii="Calibri" w:hAnsi="Calibri" w:cs="Calibri"/>
        </w:rPr>
        <w:t>, 134642, doi:10.1016/j.molstruc.2022.134642.</w:t>
      </w:r>
    </w:p>
    <w:p w14:paraId="2912C966" w14:textId="77777777" w:rsidR="000C6830" w:rsidRPr="000C6830" w:rsidRDefault="000C6830" w:rsidP="000C6830">
      <w:pPr>
        <w:pStyle w:val="Bibliography"/>
        <w:rPr>
          <w:rFonts w:ascii="Calibri" w:hAnsi="Calibri" w:cs="Calibri"/>
        </w:rPr>
      </w:pPr>
      <w:r w:rsidRPr="000C6830">
        <w:rPr>
          <w:rFonts w:ascii="Calibri" w:hAnsi="Calibri" w:cs="Calibri"/>
        </w:rPr>
        <w:t xml:space="preserve">22. </w:t>
      </w:r>
      <w:r w:rsidRPr="000C6830">
        <w:rPr>
          <w:rFonts w:ascii="Calibri" w:hAnsi="Calibri" w:cs="Calibri"/>
        </w:rPr>
        <w:tab/>
        <w:t>Gomaa, A.A.; Abdel-</w:t>
      </w:r>
      <w:proofErr w:type="spellStart"/>
      <w:r w:rsidRPr="000C6830">
        <w:rPr>
          <w:rFonts w:ascii="Calibri" w:hAnsi="Calibri" w:cs="Calibri"/>
        </w:rPr>
        <w:t>Wadood</w:t>
      </w:r>
      <w:proofErr w:type="spellEnd"/>
      <w:r w:rsidRPr="000C6830">
        <w:rPr>
          <w:rFonts w:ascii="Calibri" w:hAnsi="Calibri" w:cs="Calibri"/>
        </w:rPr>
        <w:t xml:space="preserve">, Y.A.; Gomaa, M.A. Glycyrrhizin and Boswellic Acids, the Golden Nutraceuticals: Multitargeting for Treatment of Mild–Moderate COVID-19 and Prevention of Post-COVID Cognitive Impairment. </w:t>
      </w:r>
      <w:r w:rsidRPr="000C6830">
        <w:rPr>
          <w:rFonts w:ascii="Calibri" w:hAnsi="Calibri" w:cs="Calibri"/>
          <w:i/>
          <w:iCs/>
        </w:rPr>
        <w:t>Inflammopharmacol</w:t>
      </w:r>
      <w:r w:rsidRPr="000C6830">
        <w:rPr>
          <w:rFonts w:ascii="Calibri" w:hAnsi="Calibri" w:cs="Calibri"/>
        </w:rPr>
        <w:t xml:space="preserve"> </w:t>
      </w:r>
      <w:r w:rsidRPr="000C6830">
        <w:rPr>
          <w:rFonts w:ascii="Calibri" w:hAnsi="Calibri" w:cs="Calibri"/>
          <w:b/>
          <w:bCs/>
        </w:rPr>
        <w:t>2022</w:t>
      </w:r>
      <w:r w:rsidRPr="000C6830">
        <w:rPr>
          <w:rFonts w:ascii="Calibri" w:hAnsi="Calibri" w:cs="Calibri"/>
        </w:rPr>
        <w:t xml:space="preserve">, </w:t>
      </w:r>
      <w:r w:rsidRPr="000C6830">
        <w:rPr>
          <w:rFonts w:ascii="Calibri" w:hAnsi="Calibri" w:cs="Calibri"/>
          <w:i/>
          <w:iCs/>
        </w:rPr>
        <w:t>30</w:t>
      </w:r>
      <w:r w:rsidRPr="000C6830">
        <w:rPr>
          <w:rFonts w:ascii="Calibri" w:hAnsi="Calibri" w:cs="Calibri"/>
        </w:rPr>
        <w:t>, 1977–1992, doi:10.1007/s10787-022-01062-3.</w:t>
      </w:r>
    </w:p>
    <w:p w14:paraId="50C50DF8" w14:textId="77777777" w:rsidR="000C6830" w:rsidRPr="000C6830" w:rsidRDefault="000C6830" w:rsidP="000C6830">
      <w:pPr>
        <w:pStyle w:val="Bibliography"/>
        <w:rPr>
          <w:rFonts w:ascii="Calibri" w:hAnsi="Calibri" w:cs="Calibri"/>
        </w:rPr>
      </w:pPr>
      <w:r w:rsidRPr="000C6830">
        <w:rPr>
          <w:rFonts w:ascii="Calibri" w:hAnsi="Calibri" w:cs="Calibri"/>
        </w:rPr>
        <w:t xml:space="preserve">23. </w:t>
      </w:r>
      <w:r w:rsidRPr="000C6830">
        <w:rPr>
          <w:rFonts w:ascii="Calibri" w:hAnsi="Calibri" w:cs="Calibri"/>
        </w:rPr>
        <w:tab/>
        <w:t xml:space="preserve">Semmarath, W.; Mapoung, S.; Umsumarng, S.; Arjsri, P.; Srisawad, K.; Thippraphan, P.; Yodkeeree, S.; Dejkriengkraikul, P. Cyanidin-3-O-Glucoside and Peonidin-3-O-Glucoside-Rich Fraction of Black Rice Germ and Bran Suppresses Inflammatory Responses from SARS-CoV-2 Spike Glycoprotein S1-Induction In Vitro in A549 Lung Cells and THP-1 Macrophages via Inhibition of the NLRP3 Inflammasome Pathway. </w:t>
      </w:r>
      <w:r w:rsidRPr="000C6830">
        <w:rPr>
          <w:rFonts w:ascii="Calibri" w:hAnsi="Calibri" w:cs="Calibri"/>
          <w:i/>
          <w:iCs/>
        </w:rPr>
        <w:t>Nutrients</w:t>
      </w:r>
      <w:r w:rsidRPr="000C6830">
        <w:rPr>
          <w:rFonts w:ascii="Calibri" w:hAnsi="Calibri" w:cs="Calibri"/>
        </w:rPr>
        <w:t xml:space="preserve"> </w:t>
      </w:r>
      <w:r w:rsidRPr="000C6830">
        <w:rPr>
          <w:rFonts w:ascii="Calibri" w:hAnsi="Calibri" w:cs="Calibri"/>
          <w:b/>
          <w:bCs/>
        </w:rPr>
        <w:t>2022</w:t>
      </w:r>
      <w:r w:rsidRPr="000C6830">
        <w:rPr>
          <w:rFonts w:ascii="Calibri" w:hAnsi="Calibri" w:cs="Calibri"/>
        </w:rPr>
        <w:t xml:space="preserve">, </w:t>
      </w:r>
      <w:r w:rsidRPr="000C6830">
        <w:rPr>
          <w:rFonts w:ascii="Calibri" w:hAnsi="Calibri" w:cs="Calibri"/>
          <w:i/>
          <w:iCs/>
        </w:rPr>
        <w:t>14</w:t>
      </w:r>
      <w:r w:rsidRPr="000C6830">
        <w:rPr>
          <w:rFonts w:ascii="Calibri" w:hAnsi="Calibri" w:cs="Calibri"/>
        </w:rPr>
        <w:t>, 2738, doi:10.3390/nu14132738.</w:t>
      </w:r>
    </w:p>
    <w:p w14:paraId="32B5BA9C" w14:textId="77777777" w:rsidR="000C6830" w:rsidRPr="000C6830" w:rsidRDefault="000C6830" w:rsidP="000C6830">
      <w:pPr>
        <w:pStyle w:val="Bibliography"/>
        <w:rPr>
          <w:rFonts w:ascii="Calibri" w:hAnsi="Calibri" w:cs="Calibri"/>
        </w:rPr>
      </w:pPr>
      <w:r w:rsidRPr="000C6830">
        <w:rPr>
          <w:rFonts w:ascii="Calibri" w:hAnsi="Calibri" w:cs="Calibri"/>
        </w:rPr>
        <w:lastRenderedPageBreak/>
        <w:t xml:space="preserve">24. </w:t>
      </w:r>
      <w:r w:rsidRPr="000C6830">
        <w:rPr>
          <w:rFonts w:ascii="Calibri" w:hAnsi="Calibri" w:cs="Calibri"/>
        </w:rPr>
        <w:tab/>
        <w:t xml:space="preserve">Jaimes-Gualdrón, T.; Flórez-Álvarez, L.; Zapata-Cardona, M.I.; Rojano, B.A.; Rugeles, M.T.; Zapata-Builes, W. Corozo (Bactris Guineensis) Fruit Extract Has Antiviral Activity in Vitro against SARS-CoV-2. </w:t>
      </w:r>
      <w:r w:rsidRPr="000C6830">
        <w:rPr>
          <w:rFonts w:ascii="Calibri" w:hAnsi="Calibri" w:cs="Calibri"/>
          <w:i/>
          <w:iCs/>
        </w:rPr>
        <w:t>Functional Foods in Health and Disease</w:t>
      </w:r>
      <w:r w:rsidRPr="000C6830">
        <w:rPr>
          <w:rFonts w:ascii="Calibri" w:hAnsi="Calibri" w:cs="Calibri"/>
        </w:rPr>
        <w:t xml:space="preserve"> </w:t>
      </w:r>
      <w:r w:rsidRPr="000C6830">
        <w:rPr>
          <w:rFonts w:ascii="Calibri" w:hAnsi="Calibri" w:cs="Calibri"/>
          <w:b/>
          <w:bCs/>
        </w:rPr>
        <w:t>2022</w:t>
      </w:r>
      <w:r w:rsidRPr="000C6830">
        <w:rPr>
          <w:rFonts w:ascii="Calibri" w:hAnsi="Calibri" w:cs="Calibri"/>
        </w:rPr>
        <w:t xml:space="preserve">, </w:t>
      </w:r>
      <w:r w:rsidRPr="000C6830">
        <w:rPr>
          <w:rFonts w:ascii="Calibri" w:hAnsi="Calibri" w:cs="Calibri"/>
          <w:i/>
          <w:iCs/>
        </w:rPr>
        <w:t>12</w:t>
      </w:r>
      <w:r w:rsidRPr="000C6830">
        <w:rPr>
          <w:rFonts w:ascii="Calibri" w:hAnsi="Calibri" w:cs="Calibri"/>
        </w:rPr>
        <w:t>, 534–546.</w:t>
      </w:r>
    </w:p>
    <w:p w14:paraId="00C4D282" w14:textId="77777777" w:rsidR="000C6830" w:rsidRPr="000C6830" w:rsidRDefault="000C6830" w:rsidP="000C6830">
      <w:pPr>
        <w:pStyle w:val="Bibliography"/>
        <w:rPr>
          <w:rFonts w:ascii="Calibri" w:hAnsi="Calibri" w:cs="Calibri"/>
        </w:rPr>
      </w:pPr>
      <w:r w:rsidRPr="000C6830">
        <w:rPr>
          <w:rFonts w:ascii="Calibri" w:hAnsi="Calibri" w:cs="Calibri"/>
        </w:rPr>
        <w:t xml:space="preserve">25. </w:t>
      </w:r>
      <w:r w:rsidRPr="000C6830">
        <w:rPr>
          <w:rFonts w:ascii="Calibri" w:hAnsi="Calibri" w:cs="Calibri"/>
        </w:rPr>
        <w:tab/>
        <w:t xml:space="preserve">Dabholkar, N.; Gorantla, S.; Dubey, S.K.; Alexander, A.; Taliyan, R.; Singhvi, G. Repurposing Methylene Blue in the Management of COVID-19: Mechanistic Aspects and Clinical Investigations. </w:t>
      </w:r>
      <w:r w:rsidRPr="000C6830">
        <w:rPr>
          <w:rFonts w:ascii="Calibri" w:hAnsi="Calibri" w:cs="Calibri"/>
          <w:i/>
          <w:iCs/>
        </w:rPr>
        <w:t>Biomedicine &amp; Pharmacotherapy</w:t>
      </w:r>
      <w:r w:rsidRPr="000C6830">
        <w:rPr>
          <w:rFonts w:ascii="Calibri" w:hAnsi="Calibri" w:cs="Calibri"/>
        </w:rPr>
        <w:t xml:space="preserve"> </w:t>
      </w:r>
      <w:r w:rsidRPr="000C6830">
        <w:rPr>
          <w:rFonts w:ascii="Calibri" w:hAnsi="Calibri" w:cs="Calibri"/>
          <w:b/>
          <w:bCs/>
        </w:rPr>
        <w:t>2021</w:t>
      </w:r>
      <w:r w:rsidRPr="000C6830">
        <w:rPr>
          <w:rFonts w:ascii="Calibri" w:hAnsi="Calibri" w:cs="Calibri"/>
        </w:rPr>
        <w:t xml:space="preserve">, </w:t>
      </w:r>
      <w:r w:rsidRPr="000C6830">
        <w:rPr>
          <w:rFonts w:ascii="Calibri" w:hAnsi="Calibri" w:cs="Calibri"/>
          <w:i/>
          <w:iCs/>
        </w:rPr>
        <w:t>142</w:t>
      </w:r>
      <w:r w:rsidRPr="000C6830">
        <w:rPr>
          <w:rFonts w:ascii="Calibri" w:hAnsi="Calibri" w:cs="Calibri"/>
        </w:rPr>
        <w:t>, 112023, doi:10.1016/j.biopha.2021.112023.</w:t>
      </w:r>
    </w:p>
    <w:p w14:paraId="19CC84EB" w14:textId="77777777" w:rsidR="000C6830" w:rsidRPr="000C6830" w:rsidRDefault="000C6830" w:rsidP="000C6830">
      <w:pPr>
        <w:pStyle w:val="Bibliography"/>
        <w:rPr>
          <w:rFonts w:ascii="Calibri" w:hAnsi="Calibri" w:cs="Calibri"/>
        </w:rPr>
      </w:pPr>
      <w:r w:rsidRPr="000C6830">
        <w:rPr>
          <w:rFonts w:ascii="Calibri" w:hAnsi="Calibri" w:cs="Calibri"/>
        </w:rPr>
        <w:t xml:space="preserve">26. </w:t>
      </w:r>
      <w:r w:rsidRPr="000C6830">
        <w:rPr>
          <w:rFonts w:ascii="Calibri" w:hAnsi="Calibri" w:cs="Calibri"/>
        </w:rPr>
        <w:tab/>
        <w:t xml:space="preserve">Hamidi-Alamdari, D.; Hafizi-Lotfabadi, S.; Bagheri-Moghaddam, A.; Safari, H.; Mozdourian, M.; Javidarabshahi, Z.; Peivandi-Yazdi, A.; Ali-Zeraati, A.; Sedaghat, A.; Poursadegh, F.; et al. Methylene Blue for Treatment of Hospitalized COVID-19 Patients: A Randomized, Controlled, Open-Label Clinical Trial, Phase 2. </w:t>
      </w:r>
      <w:r w:rsidRPr="000C6830">
        <w:rPr>
          <w:rFonts w:ascii="Calibri" w:hAnsi="Calibri" w:cs="Calibri"/>
          <w:i/>
          <w:iCs/>
        </w:rPr>
        <w:t>Revista de investigación clínica</w:t>
      </w:r>
      <w:r w:rsidRPr="000C6830">
        <w:rPr>
          <w:rFonts w:ascii="Calibri" w:hAnsi="Calibri" w:cs="Calibri"/>
        </w:rPr>
        <w:t xml:space="preserve"> </w:t>
      </w:r>
      <w:r w:rsidRPr="000C6830">
        <w:rPr>
          <w:rFonts w:ascii="Calibri" w:hAnsi="Calibri" w:cs="Calibri"/>
          <w:b/>
          <w:bCs/>
        </w:rPr>
        <w:t>2021</w:t>
      </w:r>
      <w:r w:rsidRPr="000C6830">
        <w:rPr>
          <w:rFonts w:ascii="Calibri" w:hAnsi="Calibri" w:cs="Calibri"/>
        </w:rPr>
        <w:t xml:space="preserve">, </w:t>
      </w:r>
      <w:r w:rsidRPr="000C6830">
        <w:rPr>
          <w:rFonts w:ascii="Calibri" w:hAnsi="Calibri" w:cs="Calibri"/>
          <w:i/>
          <w:iCs/>
        </w:rPr>
        <w:t>73</w:t>
      </w:r>
      <w:r w:rsidRPr="000C6830">
        <w:rPr>
          <w:rFonts w:ascii="Calibri" w:hAnsi="Calibri" w:cs="Calibri"/>
        </w:rPr>
        <w:t>, 190–198, doi:10.24875/ric.21000028.</w:t>
      </w:r>
    </w:p>
    <w:p w14:paraId="5F6CD052" w14:textId="77777777" w:rsidR="009207CC" w:rsidRDefault="000C6830" w:rsidP="000C6830">
      <w:pPr>
        <w:pStyle w:val="Bibliography"/>
        <w:rPr>
          <w:rFonts w:ascii="Calibri" w:hAnsi="Calibri" w:cs="Calibri"/>
        </w:rPr>
      </w:pPr>
      <w:r w:rsidRPr="000C6830">
        <w:rPr>
          <w:rFonts w:ascii="Calibri" w:hAnsi="Calibri" w:cs="Calibri"/>
        </w:rPr>
        <w:t xml:space="preserve">27. </w:t>
      </w:r>
      <w:r w:rsidRPr="000C6830">
        <w:rPr>
          <w:rFonts w:ascii="Calibri" w:hAnsi="Calibri" w:cs="Calibri"/>
        </w:rPr>
        <w:tab/>
        <w:t xml:space="preserve">Patidar, V.; Sharma, A.; Bhoraskar, S.; Tripathi, A.P.; Dhaneriya, S. The Role of Nebulized Methylene Blue [NMB] </w:t>
      </w:r>
    </w:p>
    <w:p w14:paraId="5613EDFC" w14:textId="55920F96" w:rsidR="000C6830" w:rsidRPr="000C6830" w:rsidRDefault="000C6830" w:rsidP="000C6830">
      <w:pPr>
        <w:pStyle w:val="Bibliography"/>
        <w:rPr>
          <w:rFonts w:ascii="Calibri" w:hAnsi="Calibri" w:cs="Calibri"/>
        </w:rPr>
      </w:pPr>
      <w:r w:rsidRPr="000C6830">
        <w:rPr>
          <w:rFonts w:ascii="Calibri" w:hAnsi="Calibri" w:cs="Calibri"/>
        </w:rPr>
        <w:t xml:space="preserve">in The Management of COVID-19 Cases: An Observational Study. </w:t>
      </w:r>
      <w:r w:rsidRPr="000C6830">
        <w:rPr>
          <w:rFonts w:ascii="Calibri" w:hAnsi="Calibri" w:cs="Calibri"/>
          <w:i/>
          <w:iCs/>
        </w:rPr>
        <w:t>International Journal of Medical Arts</w:t>
      </w:r>
      <w:r w:rsidRPr="000C6830">
        <w:rPr>
          <w:rFonts w:ascii="Calibri" w:hAnsi="Calibri" w:cs="Calibri"/>
        </w:rPr>
        <w:t xml:space="preserve"> </w:t>
      </w:r>
      <w:r w:rsidRPr="000C6830">
        <w:rPr>
          <w:rFonts w:ascii="Calibri" w:hAnsi="Calibri" w:cs="Calibri"/>
          <w:b/>
          <w:bCs/>
        </w:rPr>
        <w:t>2022</w:t>
      </w:r>
      <w:r w:rsidRPr="000C6830">
        <w:rPr>
          <w:rFonts w:ascii="Calibri" w:hAnsi="Calibri" w:cs="Calibri"/>
        </w:rPr>
        <w:t xml:space="preserve">, </w:t>
      </w:r>
      <w:r w:rsidRPr="000C6830">
        <w:rPr>
          <w:rFonts w:ascii="Calibri" w:hAnsi="Calibri" w:cs="Calibri"/>
          <w:i/>
          <w:iCs/>
        </w:rPr>
        <w:t>4</w:t>
      </w:r>
      <w:r w:rsidRPr="000C6830">
        <w:rPr>
          <w:rFonts w:ascii="Calibri" w:hAnsi="Calibri" w:cs="Calibri"/>
        </w:rPr>
        <w:t>, 2129–2132, doi:10.21608/ijma.2022.112347.1416.</w:t>
      </w:r>
    </w:p>
    <w:p w14:paraId="559DADE1" w14:textId="77777777" w:rsidR="000C6830" w:rsidRPr="000C6830" w:rsidRDefault="000C6830" w:rsidP="000C6830">
      <w:pPr>
        <w:pStyle w:val="Bibliography"/>
        <w:rPr>
          <w:rFonts w:ascii="Calibri" w:hAnsi="Calibri" w:cs="Calibri"/>
        </w:rPr>
      </w:pPr>
      <w:r w:rsidRPr="000C6830">
        <w:rPr>
          <w:rFonts w:ascii="Calibri" w:hAnsi="Calibri" w:cs="Calibri"/>
        </w:rPr>
        <w:t xml:space="preserve">28. </w:t>
      </w:r>
      <w:r w:rsidRPr="000C6830">
        <w:rPr>
          <w:rFonts w:ascii="Calibri" w:hAnsi="Calibri" w:cs="Calibri"/>
        </w:rPr>
        <w:tab/>
        <w:t xml:space="preserve">Alamdari, D.H.; Moghaddam, A.B.; Amini, S.; Keramati, M.R.; Zarmehri, A.M.; Alamdari, A.H.; Damsaz, M.; Banpour, H.; Yarahmadi, A.; Koliakos, G. Application of Methylene Blue -Vitamin C –N-Acetyl Cysteine for Treatment of Critically Ill COVID-19 Patients, Report of a Phase-I Clinical Trial. </w:t>
      </w:r>
      <w:r w:rsidRPr="000C6830">
        <w:rPr>
          <w:rFonts w:ascii="Calibri" w:hAnsi="Calibri" w:cs="Calibri"/>
          <w:i/>
          <w:iCs/>
        </w:rPr>
        <w:t>European Journal of Pharmacology</w:t>
      </w:r>
      <w:r w:rsidRPr="000C6830">
        <w:rPr>
          <w:rFonts w:ascii="Calibri" w:hAnsi="Calibri" w:cs="Calibri"/>
        </w:rPr>
        <w:t xml:space="preserve"> </w:t>
      </w:r>
      <w:r w:rsidRPr="000C6830">
        <w:rPr>
          <w:rFonts w:ascii="Calibri" w:hAnsi="Calibri" w:cs="Calibri"/>
          <w:b/>
          <w:bCs/>
        </w:rPr>
        <w:t>2020</w:t>
      </w:r>
      <w:r w:rsidRPr="000C6830">
        <w:rPr>
          <w:rFonts w:ascii="Calibri" w:hAnsi="Calibri" w:cs="Calibri"/>
        </w:rPr>
        <w:t xml:space="preserve">, </w:t>
      </w:r>
      <w:r w:rsidRPr="000C6830">
        <w:rPr>
          <w:rFonts w:ascii="Calibri" w:hAnsi="Calibri" w:cs="Calibri"/>
          <w:i/>
          <w:iCs/>
        </w:rPr>
        <w:t>885</w:t>
      </w:r>
      <w:r w:rsidRPr="000C6830">
        <w:rPr>
          <w:rFonts w:ascii="Calibri" w:hAnsi="Calibri" w:cs="Calibri"/>
        </w:rPr>
        <w:t>, 173494, doi:10.1016/j.ejphar.2020.173494.</w:t>
      </w:r>
    </w:p>
    <w:p w14:paraId="1D248448" w14:textId="77777777" w:rsidR="000C6830" w:rsidRPr="000C6830" w:rsidRDefault="000C6830" w:rsidP="000C6830">
      <w:pPr>
        <w:pStyle w:val="Bibliography"/>
        <w:rPr>
          <w:rFonts w:ascii="Calibri" w:hAnsi="Calibri" w:cs="Calibri"/>
        </w:rPr>
      </w:pPr>
      <w:r w:rsidRPr="000C6830">
        <w:rPr>
          <w:rFonts w:ascii="Calibri" w:hAnsi="Calibri" w:cs="Calibri"/>
        </w:rPr>
        <w:t xml:space="preserve">29. </w:t>
      </w:r>
      <w:r w:rsidRPr="000C6830">
        <w:rPr>
          <w:rFonts w:ascii="Calibri" w:hAnsi="Calibri" w:cs="Calibri"/>
        </w:rPr>
        <w:tab/>
        <w:t xml:space="preserve">Mahale, N.; Godavarthy, P.; Marreddy, S.; Gokhale, S.D.; Funde, P.; Rajhans, P.A.; Akole, P.V.; Pawar, B.; Bhurke, B.; Dalvi, P.; et al. Intravenous Methylene Blue as a Rescue Therapy in the Management of Refractory Hypoxia in COVID-19 ARDS Patients: A Case Series. </w:t>
      </w:r>
      <w:r w:rsidRPr="000C6830">
        <w:rPr>
          <w:rFonts w:ascii="Calibri" w:hAnsi="Calibri" w:cs="Calibri"/>
          <w:i/>
          <w:iCs/>
        </w:rPr>
        <w:t>Indian J Crit Care Med</w:t>
      </w:r>
      <w:r w:rsidRPr="000C6830">
        <w:rPr>
          <w:rFonts w:ascii="Calibri" w:hAnsi="Calibri" w:cs="Calibri"/>
        </w:rPr>
        <w:t xml:space="preserve"> </w:t>
      </w:r>
      <w:r w:rsidRPr="000C6830">
        <w:rPr>
          <w:rFonts w:ascii="Calibri" w:hAnsi="Calibri" w:cs="Calibri"/>
          <w:b/>
          <w:bCs/>
        </w:rPr>
        <w:t>2021</w:t>
      </w:r>
      <w:r w:rsidRPr="000C6830">
        <w:rPr>
          <w:rFonts w:ascii="Calibri" w:hAnsi="Calibri" w:cs="Calibri"/>
        </w:rPr>
        <w:t xml:space="preserve">, </w:t>
      </w:r>
      <w:r w:rsidRPr="000C6830">
        <w:rPr>
          <w:rFonts w:ascii="Calibri" w:hAnsi="Calibri" w:cs="Calibri"/>
          <w:i/>
          <w:iCs/>
        </w:rPr>
        <w:t>25</w:t>
      </w:r>
      <w:r w:rsidRPr="000C6830">
        <w:rPr>
          <w:rFonts w:ascii="Calibri" w:hAnsi="Calibri" w:cs="Calibri"/>
        </w:rPr>
        <w:t>, 934–938, doi:10.5005/jp-journals-10071-23905.</w:t>
      </w:r>
    </w:p>
    <w:p w14:paraId="1CF37515" w14:textId="77777777" w:rsidR="000C6830" w:rsidRPr="000C6830" w:rsidRDefault="000C6830" w:rsidP="000C6830">
      <w:pPr>
        <w:pStyle w:val="Bibliography"/>
        <w:rPr>
          <w:rFonts w:ascii="Calibri" w:hAnsi="Calibri" w:cs="Calibri"/>
        </w:rPr>
      </w:pPr>
      <w:r w:rsidRPr="000C6830">
        <w:rPr>
          <w:rFonts w:ascii="Calibri" w:hAnsi="Calibri" w:cs="Calibri"/>
        </w:rPr>
        <w:t xml:space="preserve">30. </w:t>
      </w:r>
      <w:r w:rsidRPr="000C6830">
        <w:rPr>
          <w:rFonts w:ascii="Calibri" w:hAnsi="Calibri" w:cs="Calibri"/>
        </w:rPr>
        <w:tab/>
        <w:t xml:space="preserve">Yella, S.H.T.; Yella, S.S.T.; Sasanka, K.S.B.S.K.; Thangaraju, P. Does Methylene Blue Satisfy an Option in COVID-19 ARDS. </w:t>
      </w:r>
      <w:r w:rsidRPr="000C6830">
        <w:rPr>
          <w:rFonts w:ascii="Calibri" w:hAnsi="Calibri" w:cs="Calibri"/>
          <w:i/>
          <w:iCs/>
        </w:rPr>
        <w:t>Infectious Disorders - Drug TargetsDisorders)</w:t>
      </w:r>
      <w:r w:rsidRPr="000C6830">
        <w:rPr>
          <w:rFonts w:ascii="Calibri" w:hAnsi="Calibri" w:cs="Calibri"/>
        </w:rPr>
        <w:t xml:space="preserve"> </w:t>
      </w:r>
      <w:r w:rsidRPr="000C6830">
        <w:rPr>
          <w:rFonts w:ascii="Calibri" w:hAnsi="Calibri" w:cs="Calibri"/>
          <w:b/>
          <w:bCs/>
        </w:rPr>
        <w:t>2022</w:t>
      </w:r>
      <w:r w:rsidRPr="000C6830">
        <w:rPr>
          <w:rFonts w:ascii="Calibri" w:hAnsi="Calibri" w:cs="Calibri"/>
        </w:rPr>
        <w:t xml:space="preserve">, </w:t>
      </w:r>
      <w:r w:rsidRPr="000C6830">
        <w:rPr>
          <w:rFonts w:ascii="Calibri" w:hAnsi="Calibri" w:cs="Calibri"/>
          <w:i/>
          <w:iCs/>
        </w:rPr>
        <w:t>22</w:t>
      </w:r>
      <w:r w:rsidRPr="000C6830">
        <w:rPr>
          <w:rFonts w:ascii="Calibri" w:hAnsi="Calibri" w:cs="Calibri"/>
        </w:rPr>
        <w:t>, 62–65, doi:10.2174/1871526522666220317155947.</w:t>
      </w:r>
    </w:p>
    <w:p w14:paraId="42DF5F93" w14:textId="77777777" w:rsidR="000C6830" w:rsidRPr="000C6830" w:rsidRDefault="000C6830" w:rsidP="000C6830">
      <w:pPr>
        <w:pStyle w:val="Bibliography"/>
        <w:rPr>
          <w:rFonts w:ascii="Calibri" w:hAnsi="Calibri" w:cs="Calibri"/>
        </w:rPr>
      </w:pPr>
      <w:r w:rsidRPr="000C6830">
        <w:rPr>
          <w:rFonts w:ascii="Calibri" w:hAnsi="Calibri" w:cs="Calibri"/>
        </w:rPr>
        <w:t xml:space="preserve">31. </w:t>
      </w:r>
      <w:r w:rsidRPr="000C6830">
        <w:rPr>
          <w:rFonts w:ascii="Calibri" w:hAnsi="Calibri" w:cs="Calibri"/>
        </w:rPr>
        <w:tab/>
        <w:t xml:space="preserve">Henry, M.; Summa, M.; Patrick, L.; Schwartz, L. A Cohort of Cancer Patients with No Reported Cases of SARS-CoV-2 Infection: The Possible Preventive Role of Methylene Blue. </w:t>
      </w:r>
      <w:r w:rsidRPr="000C6830">
        <w:rPr>
          <w:rFonts w:ascii="Calibri" w:hAnsi="Calibri" w:cs="Calibri"/>
          <w:i/>
          <w:iCs/>
        </w:rPr>
        <w:t>Substantia</w:t>
      </w:r>
      <w:r w:rsidRPr="000C6830">
        <w:rPr>
          <w:rFonts w:ascii="Calibri" w:hAnsi="Calibri" w:cs="Calibri"/>
        </w:rPr>
        <w:t xml:space="preserve"> </w:t>
      </w:r>
      <w:r w:rsidRPr="000C6830">
        <w:rPr>
          <w:rFonts w:ascii="Calibri" w:hAnsi="Calibri" w:cs="Calibri"/>
          <w:b/>
          <w:bCs/>
        </w:rPr>
        <w:t>2020</w:t>
      </w:r>
      <w:r w:rsidRPr="000C6830">
        <w:rPr>
          <w:rFonts w:ascii="Calibri" w:hAnsi="Calibri" w:cs="Calibri"/>
        </w:rPr>
        <w:t>, 888–888, doi:10.13128/Substantia-888.</w:t>
      </w:r>
    </w:p>
    <w:p w14:paraId="0E62660B" w14:textId="77777777" w:rsidR="000C6830" w:rsidRPr="000C6830" w:rsidRDefault="000C6830" w:rsidP="000C6830">
      <w:pPr>
        <w:pStyle w:val="Bibliography"/>
        <w:rPr>
          <w:rFonts w:ascii="Calibri" w:hAnsi="Calibri" w:cs="Calibri"/>
        </w:rPr>
      </w:pPr>
      <w:r w:rsidRPr="000C6830">
        <w:rPr>
          <w:rFonts w:ascii="Calibri" w:hAnsi="Calibri" w:cs="Calibri"/>
        </w:rPr>
        <w:t xml:space="preserve">32. </w:t>
      </w:r>
      <w:r w:rsidRPr="000C6830">
        <w:rPr>
          <w:rFonts w:ascii="Calibri" w:hAnsi="Calibri" w:cs="Calibri"/>
        </w:rPr>
        <w:tab/>
        <w:t xml:space="preserve">Rawat, D.; Roy, A.; Maitra, S.; Gulati, A.; Khanna, P.; Baidya, D.K. Vitamin C and COVID-19 Treatment: A Systematic Review and Meta-Analysis of Randomized Controlled Trials. </w:t>
      </w:r>
      <w:r w:rsidRPr="000C6830">
        <w:rPr>
          <w:rFonts w:ascii="Calibri" w:hAnsi="Calibri" w:cs="Calibri"/>
          <w:i/>
          <w:iCs/>
        </w:rPr>
        <w:t>Diabetes &amp; Metabolic Syndrome: Clinical Research &amp; Reviews</w:t>
      </w:r>
      <w:r w:rsidRPr="000C6830">
        <w:rPr>
          <w:rFonts w:ascii="Calibri" w:hAnsi="Calibri" w:cs="Calibri"/>
        </w:rPr>
        <w:t xml:space="preserve"> </w:t>
      </w:r>
      <w:r w:rsidRPr="000C6830">
        <w:rPr>
          <w:rFonts w:ascii="Calibri" w:hAnsi="Calibri" w:cs="Calibri"/>
          <w:b/>
          <w:bCs/>
        </w:rPr>
        <w:t>2021</w:t>
      </w:r>
      <w:r w:rsidRPr="000C6830">
        <w:rPr>
          <w:rFonts w:ascii="Calibri" w:hAnsi="Calibri" w:cs="Calibri"/>
        </w:rPr>
        <w:t xml:space="preserve">, </w:t>
      </w:r>
      <w:r w:rsidRPr="000C6830">
        <w:rPr>
          <w:rFonts w:ascii="Calibri" w:hAnsi="Calibri" w:cs="Calibri"/>
          <w:i/>
          <w:iCs/>
        </w:rPr>
        <w:t>15</w:t>
      </w:r>
      <w:r w:rsidRPr="000C6830">
        <w:rPr>
          <w:rFonts w:ascii="Calibri" w:hAnsi="Calibri" w:cs="Calibri"/>
        </w:rPr>
        <w:t>, 102324, doi:10.1016/j.dsx.2021.102324.</w:t>
      </w:r>
    </w:p>
    <w:p w14:paraId="6FF16D17" w14:textId="77777777" w:rsidR="000C6830" w:rsidRPr="000C6830" w:rsidRDefault="000C6830" w:rsidP="000C6830">
      <w:pPr>
        <w:pStyle w:val="Bibliography"/>
        <w:rPr>
          <w:rFonts w:ascii="Calibri" w:hAnsi="Calibri" w:cs="Calibri"/>
        </w:rPr>
      </w:pPr>
      <w:r w:rsidRPr="000C6830">
        <w:rPr>
          <w:rFonts w:ascii="Calibri" w:hAnsi="Calibri" w:cs="Calibri"/>
        </w:rPr>
        <w:t xml:space="preserve">33. </w:t>
      </w:r>
      <w:r w:rsidRPr="000C6830">
        <w:rPr>
          <w:rFonts w:ascii="Calibri" w:hAnsi="Calibri" w:cs="Calibri"/>
        </w:rPr>
        <w:tab/>
        <w:t xml:space="preserve">Hemilä, H.; de Man, A.M.E. Vitamin C and COVID-19. </w:t>
      </w:r>
      <w:r w:rsidRPr="000C6830">
        <w:rPr>
          <w:rFonts w:ascii="Calibri" w:hAnsi="Calibri" w:cs="Calibri"/>
          <w:i/>
          <w:iCs/>
        </w:rPr>
        <w:t>Frontiers in Medicine</w:t>
      </w:r>
      <w:r w:rsidRPr="000C6830">
        <w:rPr>
          <w:rFonts w:ascii="Calibri" w:hAnsi="Calibri" w:cs="Calibri"/>
        </w:rPr>
        <w:t xml:space="preserve"> </w:t>
      </w:r>
      <w:r w:rsidRPr="000C6830">
        <w:rPr>
          <w:rFonts w:ascii="Calibri" w:hAnsi="Calibri" w:cs="Calibri"/>
          <w:b/>
          <w:bCs/>
        </w:rPr>
        <w:t>2021</w:t>
      </w:r>
      <w:r w:rsidRPr="000C6830">
        <w:rPr>
          <w:rFonts w:ascii="Calibri" w:hAnsi="Calibri" w:cs="Calibri"/>
        </w:rPr>
        <w:t xml:space="preserve">, </w:t>
      </w:r>
      <w:r w:rsidRPr="000C6830">
        <w:rPr>
          <w:rFonts w:ascii="Calibri" w:hAnsi="Calibri" w:cs="Calibri"/>
          <w:i/>
          <w:iCs/>
        </w:rPr>
        <w:t>7</w:t>
      </w:r>
      <w:r w:rsidRPr="000C6830">
        <w:rPr>
          <w:rFonts w:ascii="Calibri" w:hAnsi="Calibri" w:cs="Calibri"/>
        </w:rPr>
        <w:t>.</w:t>
      </w:r>
    </w:p>
    <w:p w14:paraId="1BF2F4EF" w14:textId="77777777" w:rsidR="000C6830" w:rsidRPr="000C6830" w:rsidRDefault="000C6830" w:rsidP="000C6830">
      <w:pPr>
        <w:pStyle w:val="Bibliography"/>
        <w:rPr>
          <w:rFonts w:ascii="Calibri" w:hAnsi="Calibri" w:cs="Calibri"/>
        </w:rPr>
      </w:pPr>
      <w:r w:rsidRPr="000C6830">
        <w:rPr>
          <w:rFonts w:ascii="Calibri" w:hAnsi="Calibri" w:cs="Calibri"/>
        </w:rPr>
        <w:t xml:space="preserve">34. </w:t>
      </w:r>
      <w:r w:rsidRPr="000C6830">
        <w:rPr>
          <w:rFonts w:ascii="Calibri" w:hAnsi="Calibri" w:cs="Calibri"/>
        </w:rPr>
        <w:tab/>
        <w:t xml:space="preserve">Assimakopoulos, S.F.; Aretha, D.; Komninos, D.; Dimitropoulou, D.; Lagadinou, M.; Leonidou, L.; Oikonomou, I.; Mouzaki, A.; Marangos, M. N-Acetyl-Cysteine Reduces the Risk for Mechanical Ventilation and Mortality in Patients with COVID-19 Pneumonia: A Two-Center Retrospective Cohort Study. </w:t>
      </w:r>
      <w:r w:rsidRPr="000C6830">
        <w:rPr>
          <w:rFonts w:ascii="Calibri" w:hAnsi="Calibri" w:cs="Calibri"/>
          <w:i/>
          <w:iCs/>
        </w:rPr>
        <w:t>Infectious Diseases</w:t>
      </w:r>
      <w:r w:rsidRPr="000C6830">
        <w:rPr>
          <w:rFonts w:ascii="Calibri" w:hAnsi="Calibri" w:cs="Calibri"/>
        </w:rPr>
        <w:t xml:space="preserve"> </w:t>
      </w:r>
      <w:r w:rsidRPr="000C6830">
        <w:rPr>
          <w:rFonts w:ascii="Calibri" w:hAnsi="Calibri" w:cs="Calibri"/>
          <w:b/>
          <w:bCs/>
        </w:rPr>
        <w:t>2021</w:t>
      </w:r>
      <w:r w:rsidRPr="000C6830">
        <w:rPr>
          <w:rFonts w:ascii="Calibri" w:hAnsi="Calibri" w:cs="Calibri"/>
        </w:rPr>
        <w:t xml:space="preserve">, </w:t>
      </w:r>
      <w:r w:rsidRPr="000C6830">
        <w:rPr>
          <w:rFonts w:ascii="Calibri" w:hAnsi="Calibri" w:cs="Calibri"/>
          <w:i/>
          <w:iCs/>
        </w:rPr>
        <w:t>53</w:t>
      </w:r>
      <w:r w:rsidRPr="000C6830">
        <w:rPr>
          <w:rFonts w:ascii="Calibri" w:hAnsi="Calibri" w:cs="Calibri"/>
        </w:rPr>
        <w:t>, 847–854, doi:10.1080/23744235.2021.1945675.</w:t>
      </w:r>
    </w:p>
    <w:p w14:paraId="52AB25C0" w14:textId="77777777" w:rsidR="000C6830" w:rsidRPr="000C6830" w:rsidRDefault="000C6830" w:rsidP="000C6830">
      <w:pPr>
        <w:pStyle w:val="Bibliography"/>
        <w:rPr>
          <w:rFonts w:ascii="Calibri" w:hAnsi="Calibri" w:cs="Calibri"/>
        </w:rPr>
      </w:pPr>
      <w:r w:rsidRPr="000C6830">
        <w:rPr>
          <w:rFonts w:ascii="Calibri" w:hAnsi="Calibri" w:cs="Calibri"/>
        </w:rPr>
        <w:t xml:space="preserve">35. </w:t>
      </w:r>
      <w:r w:rsidRPr="000C6830">
        <w:rPr>
          <w:rFonts w:ascii="Calibri" w:hAnsi="Calibri" w:cs="Calibri"/>
        </w:rPr>
        <w:tab/>
        <w:t xml:space="preserve">Paraskevas, T.; Kantanis, A.; Karalis, I.; Michailides, C.; Karamouzos, V.; Koniari, I.; Pierrakos, C.; Velissaris, D. N-Acetylcysteine Efficacy in Patients Hospitalized with COVID-19 Pneumonia: A Systematic Review and Meta-Analysis. </w:t>
      </w:r>
      <w:r w:rsidRPr="000C6830">
        <w:rPr>
          <w:rFonts w:ascii="Calibri" w:hAnsi="Calibri" w:cs="Calibri"/>
          <w:i/>
          <w:iCs/>
        </w:rPr>
        <w:t>Romanian Journal of Internal Medicine</w:t>
      </w:r>
      <w:r w:rsidRPr="000C6830">
        <w:rPr>
          <w:rFonts w:ascii="Calibri" w:hAnsi="Calibri" w:cs="Calibri"/>
        </w:rPr>
        <w:t xml:space="preserve"> </w:t>
      </w:r>
      <w:r w:rsidRPr="000C6830">
        <w:rPr>
          <w:rFonts w:ascii="Calibri" w:hAnsi="Calibri" w:cs="Calibri"/>
          <w:b/>
          <w:bCs/>
        </w:rPr>
        <w:t>2023</w:t>
      </w:r>
      <w:r w:rsidRPr="000C6830">
        <w:rPr>
          <w:rFonts w:ascii="Calibri" w:hAnsi="Calibri" w:cs="Calibri"/>
        </w:rPr>
        <w:t xml:space="preserve">, </w:t>
      </w:r>
      <w:r w:rsidRPr="000C6830">
        <w:rPr>
          <w:rFonts w:ascii="Calibri" w:hAnsi="Calibri" w:cs="Calibri"/>
          <w:i/>
          <w:iCs/>
        </w:rPr>
        <w:t>61</w:t>
      </w:r>
      <w:r w:rsidRPr="000C6830">
        <w:rPr>
          <w:rFonts w:ascii="Calibri" w:hAnsi="Calibri" w:cs="Calibri"/>
        </w:rPr>
        <w:t>, 41–52, doi:10.2478/rjim-2023-0001.</w:t>
      </w:r>
    </w:p>
    <w:p w14:paraId="0AD4280C" w14:textId="77777777" w:rsidR="000C6830" w:rsidRPr="000C6830" w:rsidRDefault="000C6830" w:rsidP="000C6830">
      <w:pPr>
        <w:pStyle w:val="Bibliography"/>
        <w:rPr>
          <w:rFonts w:ascii="Calibri" w:hAnsi="Calibri" w:cs="Calibri"/>
        </w:rPr>
      </w:pPr>
      <w:r w:rsidRPr="000C6830">
        <w:rPr>
          <w:rFonts w:ascii="Calibri" w:hAnsi="Calibri" w:cs="Calibri"/>
        </w:rPr>
        <w:t xml:space="preserve">36. </w:t>
      </w:r>
      <w:r w:rsidRPr="000C6830">
        <w:rPr>
          <w:rFonts w:ascii="Calibri" w:hAnsi="Calibri" w:cs="Calibri"/>
        </w:rPr>
        <w:tab/>
        <w:t xml:space="preserve">La Carrubba, A.; Veronese, N.; Di Bella, G.; Cusumano, C.; Di Prazza, A.; Ciriminna, S.; Ganci, A.; Naro, L.; Dominguez, L.J.; Barbagallo, M.; et al. Prognostic Value of Magnesium in COVID-19: Findings from the COMEPA Study. </w:t>
      </w:r>
      <w:r w:rsidRPr="000C6830">
        <w:rPr>
          <w:rFonts w:ascii="Calibri" w:hAnsi="Calibri" w:cs="Calibri"/>
          <w:i/>
          <w:iCs/>
        </w:rPr>
        <w:t>Nutrients</w:t>
      </w:r>
      <w:r w:rsidRPr="000C6830">
        <w:rPr>
          <w:rFonts w:ascii="Calibri" w:hAnsi="Calibri" w:cs="Calibri"/>
        </w:rPr>
        <w:t xml:space="preserve"> </w:t>
      </w:r>
      <w:r w:rsidRPr="000C6830">
        <w:rPr>
          <w:rFonts w:ascii="Calibri" w:hAnsi="Calibri" w:cs="Calibri"/>
          <w:b/>
          <w:bCs/>
        </w:rPr>
        <w:t>2023</w:t>
      </w:r>
      <w:r w:rsidRPr="000C6830">
        <w:rPr>
          <w:rFonts w:ascii="Calibri" w:hAnsi="Calibri" w:cs="Calibri"/>
        </w:rPr>
        <w:t xml:space="preserve">, </w:t>
      </w:r>
      <w:r w:rsidRPr="000C6830">
        <w:rPr>
          <w:rFonts w:ascii="Calibri" w:hAnsi="Calibri" w:cs="Calibri"/>
          <w:i/>
          <w:iCs/>
        </w:rPr>
        <w:t>15</w:t>
      </w:r>
      <w:r w:rsidRPr="000C6830">
        <w:rPr>
          <w:rFonts w:ascii="Calibri" w:hAnsi="Calibri" w:cs="Calibri"/>
        </w:rPr>
        <w:t>, 830, doi:10.3390/nu15040830.</w:t>
      </w:r>
    </w:p>
    <w:p w14:paraId="0810FA0D" w14:textId="77777777" w:rsidR="000C6830" w:rsidRPr="000C6830" w:rsidRDefault="000C6830" w:rsidP="000C6830">
      <w:pPr>
        <w:pStyle w:val="Bibliography"/>
        <w:rPr>
          <w:rFonts w:ascii="Calibri" w:hAnsi="Calibri" w:cs="Calibri"/>
        </w:rPr>
      </w:pPr>
      <w:r w:rsidRPr="000C6830">
        <w:rPr>
          <w:rFonts w:ascii="Calibri" w:hAnsi="Calibri" w:cs="Calibri"/>
        </w:rPr>
        <w:t xml:space="preserve">37. </w:t>
      </w:r>
      <w:r w:rsidRPr="000C6830">
        <w:rPr>
          <w:rFonts w:ascii="Calibri" w:hAnsi="Calibri" w:cs="Calibri"/>
        </w:rPr>
        <w:tab/>
        <w:t xml:space="preserve">Segev, A.; Sagir, A.; Matetzky, S.; Segev, A.; Atar, S.; Shechter, M. Admission Serum Magnesium Levels Is Associated with Short and Long-Term Clinical Outcomes in COVID-19 Patients. </w:t>
      </w:r>
      <w:r w:rsidRPr="000C6830">
        <w:rPr>
          <w:rFonts w:ascii="Calibri" w:hAnsi="Calibri" w:cs="Calibri"/>
          <w:i/>
          <w:iCs/>
        </w:rPr>
        <w:t>Nutrients</w:t>
      </w:r>
      <w:r w:rsidRPr="000C6830">
        <w:rPr>
          <w:rFonts w:ascii="Calibri" w:hAnsi="Calibri" w:cs="Calibri"/>
        </w:rPr>
        <w:t xml:space="preserve"> </w:t>
      </w:r>
      <w:r w:rsidRPr="000C6830">
        <w:rPr>
          <w:rFonts w:ascii="Calibri" w:hAnsi="Calibri" w:cs="Calibri"/>
          <w:b/>
          <w:bCs/>
        </w:rPr>
        <w:t>2023</w:t>
      </w:r>
      <w:r w:rsidRPr="000C6830">
        <w:rPr>
          <w:rFonts w:ascii="Calibri" w:hAnsi="Calibri" w:cs="Calibri"/>
        </w:rPr>
        <w:t xml:space="preserve">, </w:t>
      </w:r>
      <w:r w:rsidRPr="000C6830">
        <w:rPr>
          <w:rFonts w:ascii="Calibri" w:hAnsi="Calibri" w:cs="Calibri"/>
          <w:i/>
          <w:iCs/>
        </w:rPr>
        <w:t>15</w:t>
      </w:r>
      <w:r w:rsidRPr="000C6830">
        <w:rPr>
          <w:rFonts w:ascii="Calibri" w:hAnsi="Calibri" w:cs="Calibri"/>
        </w:rPr>
        <w:t>, 2016, doi:10.3390/nu15092016.</w:t>
      </w:r>
    </w:p>
    <w:p w14:paraId="0E558637" w14:textId="77777777" w:rsidR="000C6830" w:rsidRPr="000C6830" w:rsidRDefault="000C6830" w:rsidP="000C6830">
      <w:pPr>
        <w:pStyle w:val="Bibliography"/>
        <w:rPr>
          <w:rFonts w:ascii="Calibri" w:hAnsi="Calibri" w:cs="Calibri"/>
        </w:rPr>
      </w:pPr>
      <w:r w:rsidRPr="000C6830">
        <w:rPr>
          <w:rFonts w:ascii="Calibri" w:hAnsi="Calibri" w:cs="Calibri"/>
        </w:rPr>
        <w:t xml:space="preserve">38. </w:t>
      </w:r>
      <w:r w:rsidRPr="000C6830">
        <w:rPr>
          <w:rFonts w:ascii="Calibri" w:hAnsi="Calibri" w:cs="Calibri"/>
        </w:rPr>
        <w:tab/>
        <w:t xml:space="preserve">Pulido Perez, P.; Póndigo de los Angeles, J.A.; Perez Peralta, A.; Ramirez Mojica, E.; Torres Rasgado, E.; Hernandez-Hernandez, M.E.; Romero, J.R. Reduction in Serum Magnesium Levels and Renal Function Are Associated with Increased Mortality in Obese COVID-19 Patients. </w:t>
      </w:r>
      <w:r w:rsidRPr="000C6830">
        <w:rPr>
          <w:rFonts w:ascii="Calibri" w:hAnsi="Calibri" w:cs="Calibri"/>
          <w:i/>
          <w:iCs/>
        </w:rPr>
        <w:t>Nutrients</w:t>
      </w:r>
      <w:r w:rsidRPr="000C6830">
        <w:rPr>
          <w:rFonts w:ascii="Calibri" w:hAnsi="Calibri" w:cs="Calibri"/>
        </w:rPr>
        <w:t xml:space="preserve"> </w:t>
      </w:r>
      <w:r w:rsidRPr="000C6830">
        <w:rPr>
          <w:rFonts w:ascii="Calibri" w:hAnsi="Calibri" w:cs="Calibri"/>
          <w:b/>
          <w:bCs/>
        </w:rPr>
        <w:t>2022</w:t>
      </w:r>
      <w:r w:rsidRPr="000C6830">
        <w:rPr>
          <w:rFonts w:ascii="Calibri" w:hAnsi="Calibri" w:cs="Calibri"/>
        </w:rPr>
        <w:t xml:space="preserve">, </w:t>
      </w:r>
      <w:r w:rsidRPr="000C6830">
        <w:rPr>
          <w:rFonts w:ascii="Calibri" w:hAnsi="Calibri" w:cs="Calibri"/>
          <w:i/>
          <w:iCs/>
        </w:rPr>
        <w:t>14</w:t>
      </w:r>
      <w:r w:rsidRPr="000C6830">
        <w:rPr>
          <w:rFonts w:ascii="Calibri" w:hAnsi="Calibri" w:cs="Calibri"/>
        </w:rPr>
        <w:t>, 4054, doi:10.3390/nu14194054.</w:t>
      </w:r>
    </w:p>
    <w:p w14:paraId="020A9605" w14:textId="77777777" w:rsidR="000C6830" w:rsidRPr="000C6830" w:rsidRDefault="000C6830" w:rsidP="000C6830">
      <w:pPr>
        <w:pStyle w:val="Bibliography"/>
        <w:rPr>
          <w:rFonts w:ascii="Calibri" w:hAnsi="Calibri" w:cs="Calibri"/>
        </w:rPr>
      </w:pPr>
      <w:r w:rsidRPr="000C6830">
        <w:rPr>
          <w:rFonts w:ascii="Calibri" w:hAnsi="Calibri" w:cs="Calibri"/>
        </w:rPr>
        <w:t xml:space="preserve">39. </w:t>
      </w:r>
      <w:r w:rsidRPr="000C6830">
        <w:rPr>
          <w:rFonts w:ascii="Calibri" w:hAnsi="Calibri" w:cs="Calibri"/>
        </w:rPr>
        <w:tab/>
        <w:t xml:space="preserve">Díez, J.J.; Iglesias, P.; García, A.; Martín-Casasempere, I.; Bernabéu-Andréu, F.A. Serum Calcium, Magnesium, and Phosphorus Levels in Patients with COVID-19: Relationships with Poor Outcome and Mortality. </w:t>
      </w:r>
      <w:r w:rsidRPr="000C6830">
        <w:rPr>
          <w:rFonts w:ascii="Calibri" w:hAnsi="Calibri" w:cs="Calibri"/>
          <w:i/>
          <w:iCs/>
        </w:rPr>
        <w:t>Horm Metab Res</w:t>
      </w:r>
      <w:r w:rsidRPr="000C6830">
        <w:rPr>
          <w:rFonts w:ascii="Calibri" w:hAnsi="Calibri" w:cs="Calibri"/>
        </w:rPr>
        <w:t xml:space="preserve"> </w:t>
      </w:r>
      <w:r w:rsidRPr="000C6830">
        <w:rPr>
          <w:rFonts w:ascii="Calibri" w:hAnsi="Calibri" w:cs="Calibri"/>
          <w:b/>
          <w:bCs/>
        </w:rPr>
        <w:t>2023</w:t>
      </w:r>
      <w:r w:rsidRPr="000C6830">
        <w:rPr>
          <w:rFonts w:ascii="Calibri" w:hAnsi="Calibri" w:cs="Calibri"/>
        </w:rPr>
        <w:t xml:space="preserve">, </w:t>
      </w:r>
      <w:r w:rsidRPr="000C6830">
        <w:rPr>
          <w:rFonts w:ascii="Calibri" w:hAnsi="Calibri" w:cs="Calibri"/>
          <w:i/>
          <w:iCs/>
        </w:rPr>
        <w:t>55</w:t>
      </w:r>
      <w:r w:rsidRPr="000C6830">
        <w:rPr>
          <w:rFonts w:ascii="Calibri" w:hAnsi="Calibri" w:cs="Calibri"/>
        </w:rPr>
        <w:t>, 31–39, doi:10.1055/a-1899-8862.</w:t>
      </w:r>
    </w:p>
    <w:p w14:paraId="6B29ED78" w14:textId="77777777" w:rsidR="000C6830" w:rsidRPr="000C6830" w:rsidRDefault="000C6830" w:rsidP="000C6830">
      <w:pPr>
        <w:pStyle w:val="Bibliography"/>
        <w:rPr>
          <w:rFonts w:ascii="Calibri" w:hAnsi="Calibri" w:cs="Calibri"/>
        </w:rPr>
      </w:pPr>
      <w:r w:rsidRPr="000C6830">
        <w:rPr>
          <w:rFonts w:ascii="Calibri" w:hAnsi="Calibri" w:cs="Calibri"/>
        </w:rPr>
        <w:t xml:space="preserve">40. </w:t>
      </w:r>
      <w:r w:rsidRPr="000C6830">
        <w:rPr>
          <w:rFonts w:ascii="Calibri" w:hAnsi="Calibri" w:cs="Calibri"/>
        </w:rPr>
        <w:tab/>
        <w:t xml:space="preserve">Guerrero-Romero, F.; Mercado, M.; Rodriguez-Moran, M.; Ramírez-Renteria, C.; Martínez-Aguilar, G.; Marrero-Rodríguez, D.; Ferreira-Hermosillo, A.; Simental-Mendía, L.E.; Remba-Shapiro, I.; Gamboa-Gómez, C.I.; et al. Magnesium-to-Calcium Ratio and Mortality from COVID-19. </w:t>
      </w:r>
      <w:r w:rsidRPr="000C6830">
        <w:rPr>
          <w:rFonts w:ascii="Calibri" w:hAnsi="Calibri" w:cs="Calibri"/>
          <w:i/>
          <w:iCs/>
        </w:rPr>
        <w:t>Nutrients</w:t>
      </w:r>
      <w:r w:rsidRPr="000C6830">
        <w:rPr>
          <w:rFonts w:ascii="Calibri" w:hAnsi="Calibri" w:cs="Calibri"/>
        </w:rPr>
        <w:t xml:space="preserve"> </w:t>
      </w:r>
      <w:r w:rsidRPr="000C6830">
        <w:rPr>
          <w:rFonts w:ascii="Calibri" w:hAnsi="Calibri" w:cs="Calibri"/>
          <w:b/>
          <w:bCs/>
        </w:rPr>
        <w:t>2022</w:t>
      </w:r>
      <w:r w:rsidRPr="000C6830">
        <w:rPr>
          <w:rFonts w:ascii="Calibri" w:hAnsi="Calibri" w:cs="Calibri"/>
        </w:rPr>
        <w:t xml:space="preserve">, </w:t>
      </w:r>
      <w:r w:rsidRPr="000C6830">
        <w:rPr>
          <w:rFonts w:ascii="Calibri" w:hAnsi="Calibri" w:cs="Calibri"/>
          <w:i/>
          <w:iCs/>
        </w:rPr>
        <w:t>14</w:t>
      </w:r>
      <w:r w:rsidRPr="000C6830">
        <w:rPr>
          <w:rFonts w:ascii="Calibri" w:hAnsi="Calibri" w:cs="Calibri"/>
        </w:rPr>
        <w:t>, 1686, doi:10.3390/nu14091686.</w:t>
      </w:r>
    </w:p>
    <w:p w14:paraId="42880284" w14:textId="77777777" w:rsidR="000C6830" w:rsidRPr="000C6830" w:rsidRDefault="000C6830" w:rsidP="000C6830">
      <w:pPr>
        <w:pStyle w:val="Bibliography"/>
        <w:rPr>
          <w:rFonts w:ascii="Calibri" w:hAnsi="Calibri" w:cs="Calibri"/>
        </w:rPr>
      </w:pPr>
      <w:r w:rsidRPr="000C6830">
        <w:rPr>
          <w:rFonts w:ascii="Calibri" w:hAnsi="Calibri" w:cs="Calibri"/>
        </w:rPr>
        <w:lastRenderedPageBreak/>
        <w:t xml:space="preserve">41. </w:t>
      </w:r>
      <w:r w:rsidRPr="000C6830">
        <w:rPr>
          <w:rFonts w:ascii="Calibri" w:hAnsi="Calibri" w:cs="Calibri"/>
        </w:rPr>
        <w:tab/>
        <w:t xml:space="preserve">Tian, J.; Tang, L.; Liu, X.; Li, Y.; Chen, J.; Huang, W.; Liu, M. Populations in Low-Magnesium Areas Were Associated with Higher Risk of Infection in COVID-19’s Early Transmission: A Nationwide Retrospective Cohort Study in the United States. </w:t>
      </w:r>
      <w:r w:rsidRPr="000C6830">
        <w:rPr>
          <w:rFonts w:ascii="Calibri" w:hAnsi="Calibri" w:cs="Calibri"/>
          <w:i/>
          <w:iCs/>
        </w:rPr>
        <w:t>Nutrients</w:t>
      </w:r>
      <w:r w:rsidRPr="000C6830">
        <w:rPr>
          <w:rFonts w:ascii="Calibri" w:hAnsi="Calibri" w:cs="Calibri"/>
        </w:rPr>
        <w:t xml:space="preserve"> </w:t>
      </w:r>
      <w:r w:rsidRPr="000C6830">
        <w:rPr>
          <w:rFonts w:ascii="Calibri" w:hAnsi="Calibri" w:cs="Calibri"/>
          <w:b/>
          <w:bCs/>
        </w:rPr>
        <w:t>2022</w:t>
      </w:r>
      <w:r w:rsidRPr="000C6830">
        <w:rPr>
          <w:rFonts w:ascii="Calibri" w:hAnsi="Calibri" w:cs="Calibri"/>
        </w:rPr>
        <w:t xml:space="preserve">, </w:t>
      </w:r>
      <w:r w:rsidRPr="000C6830">
        <w:rPr>
          <w:rFonts w:ascii="Calibri" w:hAnsi="Calibri" w:cs="Calibri"/>
          <w:i/>
          <w:iCs/>
        </w:rPr>
        <w:t>14</w:t>
      </w:r>
      <w:r w:rsidRPr="000C6830">
        <w:rPr>
          <w:rFonts w:ascii="Calibri" w:hAnsi="Calibri" w:cs="Calibri"/>
        </w:rPr>
        <w:t>, 909, doi:10.3390/nu14040909.</w:t>
      </w:r>
    </w:p>
    <w:p w14:paraId="76D55E56" w14:textId="77777777" w:rsidR="000C6830" w:rsidRPr="000C6830" w:rsidRDefault="000C6830" w:rsidP="000C6830">
      <w:pPr>
        <w:pStyle w:val="Bibliography"/>
        <w:rPr>
          <w:rFonts w:ascii="Calibri" w:hAnsi="Calibri" w:cs="Calibri"/>
        </w:rPr>
      </w:pPr>
      <w:r w:rsidRPr="000C6830">
        <w:rPr>
          <w:rFonts w:ascii="Calibri" w:hAnsi="Calibri" w:cs="Calibri"/>
        </w:rPr>
        <w:t xml:space="preserve">42. </w:t>
      </w:r>
      <w:r w:rsidRPr="000C6830">
        <w:rPr>
          <w:rFonts w:ascii="Calibri" w:hAnsi="Calibri" w:cs="Calibri"/>
        </w:rPr>
        <w:tab/>
        <w:t xml:space="preserve">Tan, C.W.; Ho, L.P.; Kalimuddin, S.; Cherng, B.P.Z.; Teh, Y.E.; Thien, S.Y.; Wong, H.M.; Tern, P.J.W.; Chandran, M.; Chay, J.W.M.; et al. Cohort Study to Evaluate the Effect of Vitamin D, Magnesium, and Vitamin B12 in Combination on Progression to Severe Outcomes in Older Patients with Coronavirus (COVID-19). </w:t>
      </w:r>
      <w:r w:rsidRPr="000C6830">
        <w:rPr>
          <w:rFonts w:ascii="Calibri" w:hAnsi="Calibri" w:cs="Calibri"/>
          <w:i/>
          <w:iCs/>
        </w:rPr>
        <w:t>Nutrition</w:t>
      </w:r>
      <w:r w:rsidRPr="000C6830">
        <w:rPr>
          <w:rFonts w:ascii="Calibri" w:hAnsi="Calibri" w:cs="Calibri"/>
        </w:rPr>
        <w:t xml:space="preserve"> </w:t>
      </w:r>
      <w:r w:rsidRPr="000C6830">
        <w:rPr>
          <w:rFonts w:ascii="Calibri" w:hAnsi="Calibri" w:cs="Calibri"/>
          <w:b/>
          <w:bCs/>
        </w:rPr>
        <w:t>2020</w:t>
      </w:r>
      <w:r w:rsidRPr="000C6830">
        <w:rPr>
          <w:rFonts w:ascii="Calibri" w:hAnsi="Calibri" w:cs="Calibri"/>
        </w:rPr>
        <w:t xml:space="preserve">, </w:t>
      </w:r>
      <w:r w:rsidRPr="000C6830">
        <w:rPr>
          <w:rFonts w:ascii="Calibri" w:hAnsi="Calibri" w:cs="Calibri"/>
          <w:i/>
          <w:iCs/>
        </w:rPr>
        <w:t>79–80</w:t>
      </w:r>
      <w:r w:rsidRPr="000C6830">
        <w:rPr>
          <w:rFonts w:ascii="Calibri" w:hAnsi="Calibri" w:cs="Calibri"/>
        </w:rPr>
        <w:t>, 111017, doi:10.1016/j.nut.2020.111017.</w:t>
      </w:r>
    </w:p>
    <w:p w14:paraId="72910805" w14:textId="77777777" w:rsidR="000C6830" w:rsidRPr="000C6830" w:rsidRDefault="000C6830" w:rsidP="000C6830">
      <w:pPr>
        <w:pStyle w:val="Bibliography"/>
        <w:rPr>
          <w:rFonts w:ascii="Calibri" w:hAnsi="Calibri" w:cs="Calibri"/>
        </w:rPr>
      </w:pPr>
      <w:r w:rsidRPr="000C6830">
        <w:rPr>
          <w:rFonts w:ascii="Calibri" w:hAnsi="Calibri" w:cs="Calibri"/>
        </w:rPr>
        <w:t xml:space="preserve">43. </w:t>
      </w:r>
      <w:r w:rsidRPr="000C6830">
        <w:rPr>
          <w:rFonts w:ascii="Calibri" w:hAnsi="Calibri" w:cs="Calibri"/>
        </w:rPr>
        <w:tab/>
        <w:t xml:space="preserve">Nejatifard, M.; Asefi, S.; Jamali, R.; Hamblin, M.R.; Fekrazad, R. Probable Positive Effects of the Photobiomodulation as an Adjunctive Treatment in COVID-19: A Systematic Review. </w:t>
      </w:r>
      <w:r w:rsidRPr="000C6830">
        <w:rPr>
          <w:rFonts w:ascii="Calibri" w:hAnsi="Calibri" w:cs="Calibri"/>
          <w:i/>
          <w:iCs/>
        </w:rPr>
        <w:t>Cytokine</w:t>
      </w:r>
      <w:r w:rsidRPr="000C6830">
        <w:rPr>
          <w:rFonts w:ascii="Calibri" w:hAnsi="Calibri" w:cs="Calibri"/>
        </w:rPr>
        <w:t xml:space="preserve"> </w:t>
      </w:r>
      <w:r w:rsidRPr="000C6830">
        <w:rPr>
          <w:rFonts w:ascii="Calibri" w:hAnsi="Calibri" w:cs="Calibri"/>
          <w:b/>
          <w:bCs/>
        </w:rPr>
        <w:t>2021</w:t>
      </w:r>
      <w:r w:rsidRPr="000C6830">
        <w:rPr>
          <w:rFonts w:ascii="Calibri" w:hAnsi="Calibri" w:cs="Calibri"/>
        </w:rPr>
        <w:t xml:space="preserve">, </w:t>
      </w:r>
      <w:r w:rsidRPr="000C6830">
        <w:rPr>
          <w:rFonts w:ascii="Calibri" w:hAnsi="Calibri" w:cs="Calibri"/>
          <w:i/>
          <w:iCs/>
        </w:rPr>
        <w:t>137</w:t>
      </w:r>
      <w:r w:rsidRPr="000C6830">
        <w:rPr>
          <w:rFonts w:ascii="Calibri" w:hAnsi="Calibri" w:cs="Calibri"/>
        </w:rPr>
        <w:t>, 155312, doi:10.1016/j.cyto.2020.155312.</w:t>
      </w:r>
    </w:p>
    <w:p w14:paraId="40ED8E8B" w14:textId="77777777" w:rsidR="000C6830" w:rsidRPr="000C6830" w:rsidRDefault="000C6830" w:rsidP="000C6830">
      <w:pPr>
        <w:pStyle w:val="Bibliography"/>
        <w:rPr>
          <w:rFonts w:ascii="Calibri" w:hAnsi="Calibri" w:cs="Calibri"/>
        </w:rPr>
      </w:pPr>
      <w:r w:rsidRPr="000C6830">
        <w:rPr>
          <w:rFonts w:ascii="Calibri" w:hAnsi="Calibri" w:cs="Calibri"/>
        </w:rPr>
        <w:t xml:space="preserve">44. </w:t>
      </w:r>
      <w:r w:rsidRPr="000C6830">
        <w:rPr>
          <w:rFonts w:ascii="Calibri" w:hAnsi="Calibri" w:cs="Calibri"/>
        </w:rPr>
        <w:tab/>
        <w:t xml:space="preserve">Vetrici, M.A.; Mokmeli, S.; Bohm, A.R.; Monici, M.; Sigman, S.A. Evaluation of Adjunctive Photobiomodulation (PBMT) for COVID-19 Pneumonia via Clinical Status and Pulmonary Severity Indices in a Preliminary Trial. </w:t>
      </w:r>
      <w:r w:rsidRPr="000C6830">
        <w:rPr>
          <w:rFonts w:ascii="Calibri" w:hAnsi="Calibri" w:cs="Calibri"/>
          <w:i/>
          <w:iCs/>
        </w:rPr>
        <w:t>J Inflamm Res</w:t>
      </w:r>
      <w:r w:rsidRPr="000C6830">
        <w:rPr>
          <w:rFonts w:ascii="Calibri" w:hAnsi="Calibri" w:cs="Calibri"/>
        </w:rPr>
        <w:t xml:space="preserve"> </w:t>
      </w:r>
      <w:r w:rsidRPr="000C6830">
        <w:rPr>
          <w:rFonts w:ascii="Calibri" w:hAnsi="Calibri" w:cs="Calibri"/>
          <w:b/>
          <w:bCs/>
        </w:rPr>
        <w:t>2021</w:t>
      </w:r>
      <w:r w:rsidRPr="000C6830">
        <w:rPr>
          <w:rFonts w:ascii="Calibri" w:hAnsi="Calibri" w:cs="Calibri"/>
        </w:rPr>
        <w:t xml:space="preserve">, </w:t>
      </w:r>
      <w:r w:rsidRPr="000C6830">
        <w:rPr>
          <w:rFonts w:ascii="Calibri" w:hAnsi="Calibri" w:cs="Calibri"/>
          <w:i/>
          <w:iCs/>
        </w:rPr>
        <w:t>14</w:t>
      </w:r>
      <w:r w:rsidRPr="000C6830">
        <w:rPr>
          <w:rFonts w:ascii="Calibri" w:hAnsi="Calibri" w:cs="Calibri"/>
        </w:rPr>
        <w:t>, 965–979, doi:10.2147/JIR.S301625.</w:t>
      </w:r>
    </w:p>
    <w:p w14:paraId="2C71151C" w14:textId="0B2050CD" w:rsidR="00B46704" w:rsidRDefault="000C6830">
      <w:r>
        <w:fldChar w:fldCharType="end"/>
      </w:r>
    </w:p>
    <w:sectPr w:rsidR="00B46704" w:rsidSect="009039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1E750" w14:textId="77777777" w:rsidR="00B9464F" w:rsidRDefault="00B9464F" w:rsidP="009C50C6">
      <w:pPr>
        <w:spacing w:after="0" w:line="240" w:lineRule="auto"/>
      </w:pPr>
      <w:r>
        <w:separator/>
      </w:r>
    </w:p>
  </w:endnote>
  <w:endnote w:type="continuationSeparator" w:id="0">
    <w:p w14:paraId="3FB76A47" w14:textId="77777777" w:rsidR="00B9464F" w:rsidRDefault="00B9464F" w:rsidP="009C5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6FEC0" w14:textId="77777777" w:rsidR="00B9464F" w:rsidRDefault="00B9464F" w:rsidP="009C50C6">
      <w:pPr>
        <w:spacing w:after="0" w:line="240" w:lineRule="auto"/>
      </w:pPr>
      <w:r>
        <w:separator/>
      </w:r>
    </w:p>
  </w:footnote>
  <w:footnote w:type="continuationSeparator" w:id="0">
    <w:p w14:paraId="44071038" w14:textId="77777777" w:rsidR="00B9464F" w:rsidRDefault="00B9464F" w:rsidP="009C50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135"/>
    <w:rsid w:val="000C6830"/>
    <w:rsid w:val="000E55B0"/>
    <w:rsid w:val="00192E9D"/>
    <w:rsid w:val="001F038B"/>
    <w:rsid w:val="002706D5"/>
    <w:rsid w:val="002A56A8"/>
    <w:rsid w:val="002B6BF9"/>
    <w:rsid w:val="003135D5"/>
    <w:rsid w:val="00353388"/>
    <w:rsid w:val="00355AC8"/>
    <w:rsid w:val="00363130"/>
    <w:rsid w:val="00366D83"/>
    <w:rsid w:val="00392BF1"/>
    <w:rsid w:val="003C5E6F"/>
    <w:rsid w:val="005D4135"/>
    <w:rsid w:val="006078A7"/>
    <w:rsid w:val="0072616C"/>
    <w:rsid w:val="008224C5"/>
    <w:rsid w:val="008A17DB"/>
    <w:rsid w:val="008B2E55"/>
    <w:rsid w:val="00903922"/>
    <w:rsid w:val="009207CC"/>
    <w:rsid w:val="009271A4"/>
    <w:rsid w:val="00954E3F"/>
    <w:rsid w:val="009864ED"/>
    <w:rsid w:val="009C50C6"/>
    <w:rsid w:val="00A07913"/>
    <w:rsid w:val="00A3084A"/>
    <w:rsid w:val="00A92A05"/>
    <w:rsid w:val="00B401AF"/>
    <w:rsid w:val="00B46704"/>
    <w:rsid w:val="00B9464F"/>
    <w:rsid w:val="00BD1A49"/>
    <w:rsid w:val="00C645A8"/>
    <w:rsid w:val="00CA1CB5"/>
    <w:rsid w:val="00CA6AE9"/>
    <w:rsid w:val="00D356AC"/>
    <w:rsid w:val="00D6362B"/>
    <w:rsid w:val="00DC0F00"/>
    <w:rsid w:val="00DD5124"/>
    <w:rsid w:val="00E255BB"/>
    <w:rsid w:val="00E411AA"/>
    <w:rsid w:val="00E9062F"/>
    <w:rsid w:val="00ED7D17"/>
    <w:rsid w:val="00F678B9"/>
    <w:rsid w:val="00F84CB7"/>
    <w:rsid w:val="00F850AD"/>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D782E"/>
  <w15:chartTrackingRefBased/>
  <w15:docId w15:val="{69A41715-406C-4384-839F-8D00D8FD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4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5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50C6"/>
  </w:style>
  <w:style w:type="paragraph" w:styleId="Footer">
    <w:name w:val="footer"/>
    <w:basedOn w:val="Normal"/>
    <w:link w:val="FooterChar"/>
    <w:uiPriority w:val="99"/>
    <w:unhideWhenUsed/>
    <w:rsid w:val="009C5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50C6"/>
  </w:style>
  <w:style w:type="table" w:styleId="TableGridLight">
    <w:name w:val="Grid Table Light"/>
    <w:basedOn w:val="TableNormal"/>
    <w:uiPriority w:val="40"/>
    <w:rsid w:val="002A56A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37"/>
    <w:unhideWhenUsed/>
    <w:rsid w:val="000C6830"/>
    <w:pPr>
      <w:tabs>
        <w:tab w:val="left" w:pos="504"/>
      </w:tabs>
      <w:spacing w:after="0" w:line="240" w:lineRule="auto"/>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4252">
      <w:bodyDiv w:val="1"/>
      <w:marLeft w:val="0"/>
      <w:marRight w:val="0"/>
      <w:marTop w:val="0"/>
      <w:marBottom w:val="0"/>
      <w:divBdr>
        <w:top w:val="none" w:sz="0" w:space="0" w:color="auto"/>
        <w:left w:val="none" w:sz="0" w:space="0" w:color="auto"/>
        <w:bottom w:val="none" w:sz="0" w:space="0" w:color="auto"/>
        <w:right w:val="none" w:sz="0" w:space="0" w:color="auto"/>
      </w:divBdr>
      <w:divsChild>
        <w:div w:id="1419982104">
          <w:marLeft w:val="0"/>
          <w:marRight w:val="0"/>
          <w:marTop w:val="0"/>
          <w:marBottom w:val="120"/>
          <w:divBdr>
            <w:top w:val="none" w:sz="0" w:space="0" w:color="auto"/>
            <w:left w:val="none" w:sz="0" w:space="0" w:color="auto"/>
            <w:bottom w:val="none" w:sz="0" w:space="0" w:color="auto"/>
            <w:right w:val="none" w:sz="0" w:space="0" w:color="auto"/>
          </w:divBdr>
        </w:div>
      </w:divsChild>
    </w:div>
    <w:div w:id="135221762">
      <w:bodyDiv w:val="1"/>
      <w:marLeft w:val="0"/>
      <w:marRight w:val="0"/>
      <w:marTop w:val="0"/>
      <w:marBottom w:val="0"/>
      <w:divBdr>
        <w:top w:val="none" w:sz="0" w:space="0" w:color="auto"/>
        <w:left w:val="none" w:sz="0" w:space="0" w:color="auto"/>
        <w:bottom w:val="none" w:sz="0" w:space="0" w:color="auto"/>
        <w:right w:val="none" w:sz="0" w:space="0" w:color="auto"/>
      </w:divBdr>
    </w:div>
    <w:div w:id="371157320">
      <w:bodyDiv w:val="1"/>
      <w:marLeft w:val="0"/>
      <w:marRight w:val="0"/>
      <w:marTop w:val="0"/>
      <w:marBottom w:val="0"/>
      <w:divBdr>
        <w:top w:val="none" w:sz="0" w:space="0" w:color="auto"/>
        <w:left w:val="none" w:sz="0" w:space="0" w:color="auto"/>
        <w:bottom w:val="none" w:sz="0" w:space="0" w:color="auto"/>
        <w:right w:val="none" w:sz="0" w:space="0" w:color="auto"/>
      </w:divBdr>
      <w:divsChild>
        <w:div w:id="240719247">
          <w:marLeft w:val="0"/>
          <w:marRight w:val="0"/>
          <w:marTop w:val="0"/>
          <w:marBottom w:val="120"/>
          <w:divBdr>
            <w:top w:val="none" w:sz="0" w:space="0" w:color="auto"/>
            <w:left w:val="none" w:sz="0" w:space="0" w:color="auto"/>
            <w:bottom w:val="none" w:sz="0" w:space="0" w:color="auto"/>
            <w:right w:val="none" w:sz="0" w:space="0" w:color="auto"/>
          </w:divBdr>
        </w:div>
      </w:divsChild>
    </w:div>
    <w:div w:id="970745089">
      <w:bodyDiv w:val="1"/>
      <w:marLeft w:val="0"/>
      <w:marRight w:val="0"/>
      <w:marTop w:val="0"/>
      <w:marBottom w:val="0"/>
      <w:divBdr>
        <w:top w:val="none" w:sz="0" w:space="0" w:color="auto"/>
        <w:left w:val="none" w:sz="0" w:space="0" w:color="auto"/>
        <w:bottom w:val="none" w:sz="0" w:space="0" w:color="auto"/>
        <w:right w:val="none" w:sz="0" w:space="0" w:color="auto"/>
      </w:divBdr>
      <w:divsChild>
        <w:div w:id="117845590">
          <w:marLeft w:val="0"/>
          <w:marRight w:val="0"/>
          <w:marTop w:val="0"/>
          <w:marBottom w:val="0"/>
          <w:divBdr>
            <w:top w:val="none" w:sz="0" w:space="0" w:color="auto"/>
            <w:left w:val="none" w:sz="0" w:space="0" w:color="auto"/>
            <w:bottom w:val="none" w:sz="0" w:space="0" w:color="auto"/>
            <w:right w:val="none" w:sz="0" w:space="0" w:color="auto"/>
          </w:divBdr>
        </w:div>
      </w:divsChild>
    </w:div>
    <w:div w:id="1113012544">
      <w:bodyDiv w:val="1"/>
      <w:marLeft w:val="0"/>
      <w:marRight w:val="0"/>
      <w:marTop w:val="0"/>
      <w:marBottom w:val="0"/>
      <w:divBdr>
        <w:top w:val="none" w:sz="0" w:space="0" w:color="auto"/>
        <w:left w:val="none" w:sz="0" w:space="0" w:color="auto"/>
        <w:bottom w:val="none" w:sz="0" w:space="0" w:color="auto"/>
        <w:right w:val="none" w:sz="0" w:space="0" w:color="auto"/>
      </w:divBdr>
      <w:divsChild>
        <w:div w:id="889726521">
          <w:marLeft w:val="0"/>
          <w:marRight w:val="0"/>
          <w:marTop w:val="0"/>
          <w:marBottom w:val="0"/>
          <w:divBdr>
            <w:top w:val="none" w:sz="0" w:space="0" w:color="auto"/>
            <w:left w:val="none" w:sz="0" w:space="0" w:color="auto"/>
            <w:bottom w:val="none" w:sz="0" w:space="0" w:color="auto"/>
            <w:right w:val="none" w:sz="0" w:space="0" w:color="auto"/>
          </w:divBdr>
        </w:div>
      </w:divsChild>
    </w:div>
    <w:div w:id="1179345149">
      <w:bodyDiv w:val="1"/>
      <w:marLeft w:val="0"/>
      <w:marRight w:val="0"/>
      <w:marTop w:val="0"/>
      <w:marBottom w:val="0"/>
      <w:divBdr>
        <w:top w:val="none" w:sz="0" w:space="0" w:color="auto"/>
        <w:left w:val="none" w:sz="0" w:space="0" w:color="auto"/>
        <w:bottom w:val="none" w:sz="0" w:space="0" w:color="auto"/>
        <w:right w:val="none" w:sz="0" w:space="0" w:color="auto"/>
      </w:divBdr>
    </w:div>
    <w:div w:id="1462529270">
      <w:bodyDiv w:val="1"/>
      <w:marLeft w:val="0"/>
      <w:marRight w:val="0"/>
      <w:marTop w:val="0"/>
      <w:marBottom w:val="0"/>
      <w:divBdr>
        <w:top w:val="none" w:sz="0" w:space="0" w:color="auto"/>
        <w:left w:val="none" w:sz="0" w:space="0" w:color="auto"/>
        <w:bottom w:val="none" w:sz="0" w:space="0" w:color="auto"/>
        <w:right w:val="none" w:sz="0" w:space="0" w:color="auto"/>
      </w:divBdr>
      <w:divsChild>
        <w:div w:id="573394835">
          <w:marLeft w:val="0"/>
          <w:marRight w:val="0"/>
          <w:marTop w:val="0"/>
          <w:marBottom w:val="120"/>
          <w:divBdr>
            <w:top w:val="none" w:sz="0" w:space="0" w:color="auto"/>
            <w:left w:val="none" w:sz="0" w:space="0" w:color="auto"/>
            <w:bottom w:val="none" w:sz="0" w:space="0" w:color="auto"/>
            <w:right w:val="none" w:sz="0" w:space="0" w:color="auto"/>
          </w:divBdr>
        </w:div>
      </w:divsChild>
    </w:div>
    <w:div w:id="1721592874">
      <w:bodyDiv w:val="1"/>
      <w:marLeft w:val="0"/>
      <w:marRight w:val="0"/>
      <w:marTop w:val="0"/>
      <w:marBottom w:val="0"/>
      <w:divBdr>
        <w:top w:val="none" w:sz="0" w:space="0" w:color="auto"/>
        <w:left w:val="none" w:sz="0" w:space="0" w:color="auto"/>
        <w:bottom w:val="none" w:sz="0" w:space="0" w:color="auto"/>
        <w:right w:val="none" w:sz="0" w:space="0" w:color="auto"/>
      </w:divBdr>
    </w:div>
    <w:div w:id="1811629583">
      <w:bodyDiv w:val="1"/>
      <w:marLeft w:val="0"/>
      <w:marRight w:val="0"/>
      <w:marTop w:val="0"/>
      <w:marBottom w:val="0"/>
      <w:divBdr>
        <w:top w:val="none" w:sz="0" w:space="0" w:color="auto"/>
        <w:left w:val="none" w:sz="0" w:space="0" w:color="auto"/>
        <w:bottom w:val="none" w:sz="0" w:space="0" w:color="auto"/>
        <w:right w:val="none" w:sz="0" w:space="0" w:color="auto"/>
      </w:divBdr>
      <w:divsChild>
        <w:div w:id="1781561450">
          <w:marLeft w:val="0"/>
          <w:marRight w:val="0"/>
          <w:marTop w:val="0"/>
          <w:marBottom w:val="0"/>
          <w:divBdr>
            <w:top w:val="none" w:sz="0" w:space="0" w:color="auto"/>
            <w:left w:val="none" w:sz="0" w:space="0" w:color="auto"/>
            <w:bottom w:val="none" w:sz="0" w:space="0" w:color="auto"/>
            <w:right w:val="none" w:sz="0" w:space="0" w:color="auto"/>
          </w:divBdr>
        </w:div>
      </w:divsChild>
    </w:div>
    <w:div w:id="183495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22557</Words>
  <Characters>128579</Characters>
  <Application>Microsoft Office Word</Application>
  <DocSecurity>0</DocSecurity>
  <Lines>1071</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Halma</dc:creator>
  <cp:keywords/>
  <dc:description/>
  <cp:lastModifiedBy>Matthew Halma</cp:lastModifiedBy>
  <cp:revision>7</cp:revision>
  <dcterms:created xsi:type="dcterms:W3CDTF">2023-06-23T21:46:00Z</dcterms:created>
  <dcterms:modified xsi:type="dcterms:W3CDTF">2023-06-24T13:25:00Z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id="SOnwAS7v"/&gt;&lt;style id="http://www.zotero.org/styles/multidisciplinary-digital-publishing-institute" hasBibliography="1" bibliographyStyleHasBeenSet="1"/&gt;&lt;prefs&gt;&lt;pref name="fieldType" value="Field"</vt:lpwstr>
  </property>
  <property fmtid="{D5CDD505-2E9C-101B-9397-08002B2CF9AE}" pid="3" name="ZOTERO_PREF_2">
    <vt:lpwstr>/&gt;&lt;/prefs&gt;&lt;/data&gt;</vt:lpwstr>
  </property>
</Properties>
</file>