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BF6B" w14:textId="725E51A4" w:rsidR="00D47EA5" w:rsidRPr="006453D9" w:rsidRDefault="009D3377" w:rsidP="00D47EA5">
      <w:pPr>
        <w:pStyle w:val="MDPI11articletype"/>
      </w:pPr>
      <w:r>
        <w:t>Article</w:t>
      </w:r>
    </w:p>
    <w:p w14:paraId="08A74F01" w14:textId="20743582" w:rsidR="00D47EA5" w:rsidRPr="003B1AF1" w:rsidRDefault="009D3377" w:rsidP="00D47EA5">
      <w:pPr>
        <w:pStyle w:val="MDPI12title"/>
      </w:pPr>
      <w:r w:rsidRPr="00E0605C">
        <w:rPr>
          <w:bCs/>
          <w:color w:val="222222"/>
        </w:rPr>
        <w:t xml:space="preserve">Adipose </w:t>
      </w:r>
      <w:r>
        <w:rPr>
          <w:bCs/>
          <w:color w:val="222222"/>
        </w:rPr>
        <w:t>t</w:t>
      </w:r>
      <w:r w:rsidRPr="00E0605C">
        <w:rPr>
          <w:bCs/>
          <w:color w:val="222222"/>
        </w:rPr>
        <w:t xml:space="preserve">issue </w:t>
      </w:r>
      <w:r>
        <w:rPr>
          <w:bCs/>
          <w:color w:val="222222"/>
        </w:rPr>
        <w:t>d</w:t>
      </w:r>
      <w:r w:rsidRPr="00E0605C">
        <w:rPr>
          <w:bCs/>
          <w:color w:val="222222"/>
        </w:rPr>
        <w:t xml:space="preserve">enervation </w:t>
      </w:r>
      <w:r>
        <w:rPr>
          <w:bCs/>
          <w:color w:val="222222"/>
        </w:rPr>
        <w:t>b</w:t>
      </w:r>
      <w:r w:rsidRPr="00E0605C">
        <w:rPr>
          <w:bCs/>
          <w:color w:val="222222"/>
        </w:rPr>
        <w:t>lunt</w:t>
      </w:r>
      <w:r>
        <w:rPr>
          <w:bCs/>
          <w:color w:val="222222"/>
        </w:rPr>
        <w:t>ed</w:t>
      </w:r>
      <w:r w:rsidRPr="00E0605C">
        <w:rPr>
          <w:bCs/>
          <w:color w:val="222222"/>
        </w:rPr>
        <w:t xml:space="preserve"> the </w:t>
      </w:r>
      <w:r>
        <w:rPr>
          <w:bCs/>
          <w:color w:val="222222"/>
        </w:rPr>
        <w:t>d</w:t>
      </w:r>
      <w:r w:rsidRPr="00E0605C">
        <w:rPr>
          <w:bCs/>
          <w:color w:val="222222"/>
        </w:rPr>
        <w:t xml:space="preserve">ecrease in </w:t>
      </w:r>
      <w:r>
        <w:rPr>
          <w:bCs/>
          <w:color w:val="222222"/>
        </w:rPr>
        <w:t>b</w:t>
      </w:r>
      <w:r w:rsidRPr="00E0605C">
        <w:rPr>
          <w:bCs/>
          <w:color w:val="222222"/>
        </w:rPr>
        <w:t xml:space="preserve">one </w:t>
      </w:r>
      <w:r>
        <w:rPr>
          <w:bCs/>
          <w:color w:val="222222"/>
        </w:rPr>
        <w:t>f</w:t>
      </w:r>
      <w:r w:rsidRPr="00E0605C">
        <w:rPr>
          <w:bCs/>
          <w:color w:val="222222"/>
        </w:rPr>
        <w:t xml:space="preserve">ormation </w:t>
      </w:r>
      <w:r>
        <w:rPr>
          <w:bCs/>
          <w:color w:val="222222"/>
        </w:rPr>
        <w:t>p</w:t>
      </w:r>
      <w:r w:rsidRPr="00E0605C">
        <w:rPr>
          <w:bCs/>
          <w:color w:val="222222"/>
        </w:rPr>
        <w:t xml:space="preserve">romoted by </w:t>
      </w:r>
      <w:r>
        <w:rPr>
          <w:bCs/>
          <w:color w:val="222222"/>
        </w:rPr>
        <w:t>o</w:t>
      </w:r>
      <w:r w:rsidRPr="00E0605C">
        <w:rPr>
          <w:bCs/>
          <w:color w:val="222222"/>
        </w:rPr>
        <w:t xml:space="preserve">besity in </w:t>
      </w:r>
      <w:proofErr w:type="gramStart"/>
      <w:r>
        <w:rPr>
          <w:bCs/>
          <w:color w:val="222222"/>
        </w:rPr>
        <w:t>r</w:t>
      </w:r>
      <w:r w:rsidRPr="00E0605C">
        <w:rPr>
          <w:bCs/>
          <w:color w:val="222222"/>
        </w:rPr>
        <w:t>ats</w:t>
      </w:r>
      <w:proofErr w:type="gramEnd"/>
    </w:p>
    <w:p w14:paraId="158E98C1" w14:textId="35DEDED0" w:rsidR="00703117" w:rsidRPr="009D3377" w:rsidRDefault="009D3377" w:rsidP="00D47EA5">
      <w:pPr>
        <w:pStyle w:val="MDPI13authornames"/>
        <w:rPr>
          <w:lang w:val="pt-BR"/>
        </w:rPr>
      </w:pPr>
      <w:r w:rsidRPr="000D4763">
        <w:rPr>
          <w:rFonts w:eastAsia="Calibri"/>
          <w:lang w:val="pt-BR" w:eastAsia="en-US"/>
        </w:rPr>
        <w:t>Milene Subtil Ormanji</w:t>
      </w:r>
      <w:r w:rsidRPr="000D4763">
        <w:rPr>
          <w:rFonts w:eastAsia="Calibri"/>
          <w:vertAlign w:val="superscript"/>
          <w:lang w:val="pt-BR" w:eastAsia="en-US"/>
        </w:rPr>
        <w:t>1</w:t>
      </w:r>
      <w:r w:rsidRPr="000D4763">
        <w:rPr>
          <w:rFonts w:eastAsia="Calibri"/>
          <w:lang w:val="pt-BR" w:eastAsia="en-US"/>
        </w:rPr>
        <w:t>, Maria Victória Lazarini Melo</w:t>
      </w:r>
      <w:r w:rsidRPr="000D4763">
        <w:rPr>
          <w:rFonts w:eastAsia="Calibri"/>
          <w:vertAlign w:val="superscript"/>
          <w:lang w:val="pt-BR" w:eastAsia="en-US"/>
        </w:rPr>
        <w:t>1</w:t>
      </w:r>
      <w:r w:rsidRPr="000D4763">
        <w:rPr>
          <w:rFonts w:eastAsia="Calibri"/>
          <w:lang w:val="pt-BR" w:eastAsia="en-US"/>
        </w:rPr>
        <w:t>, Renata Meca</w:t>
      </w:r>
      <w:r w:rsidRPr="000D4763">
        <w:rPr>
          <w:rFonts w:eastAsia="Calibri"/>
          <w:vertAlign w:val="superscript"/>
          <w:lang w:val="pt-BR" w:eastAsia="en-US"/>
        </w:rPr>
        <w:t>1</w:t>
      </w:r>
      <w:r w:rsidRPr="000D4763">
        <w:rPr>
          <w:rFonts w:eastAsia="Calibri"/>
          <w:lang w:val="pt-BR" w:eastAsia="en-US"/>
        </w:rPr>
        <w:t xml:space="preserve">, Michelle </w:t>
      </w:r>
      <w:proofErr w:type="spellStart"/>
      <w:r w:rsidRPr="000D4763">
        <w:rPr>
          <w:rFonts w:eastAsia="Calibri"/>
          <w:lang w:val="pt-BR" w:eastAsia="en-US"/>
        </w:rPr>
        <w:t>Louvaes</w:t>
      </w:r>
      <w:proofErr w:type="spellEnd"/>
      <w:r w:rsidRPr="000D4763">
        <w:rPr>
          <w:rFonts w:eastAsia="Calibri"/>
          <w:lang w:val="pt-BR" w:eastAsia="en-US"/>
        </w:rPr>
        <w:t xml:space="preserve"> Garcia</w:t>
      </w:r>
      <w:r w:rsidRPr="000D4763">
        <w:rPr>
          <w:rFonts w:eastAsia="Calibri"/>
          <w:vertAlign w:val="superscript"/>
          <w:lang w:val="pt-BR" w:eastAsia="en-US"/>
        </w:rPr>
        <w:t>2</w:t>
      </w:r>
      <w:r w:rsidRPr="000D4763">
        <w:rPr>
          <w:rFonts w:eastAsia="Calibri"/>
          <w:lang w:val="pt-BR" w:eastAsia="en-US"/>
        </w:rPr>
        <w:t>, Ana Carolina Anauate</w:t>
      </w:r>
      <w:r w:rsidRPr="000D4763">
        <w:rPr>
          <w:rFonts w:eastAsia="Calibri"/>
          <w:vertAlign w:val="superscript"/>
          <w:lang w:val="pt-BR" w:eastAsia="en-US"/>
        </w:rPr>
        <w:t>1</w:t>
      </w:r>
      <w:r w:rsidRPr="000D4763">
        <w:rPr>
          <w:rFonts w:eastAsia="Calibri"/>
          <w:lang w:val="pt-BR" w:eastAsia="en-US"/>
        </w:rPr>
        <w:t>,</w:t>
      </w:r>
      <w:r w:rsidRPr="000D4763">
        <w:rPr>
          <w:rFonts w:eastAsia="Calibri"/>
          <w:vertAlign w:val="superscript"/>
          <w:lang w:val="pt-BR" w:eastAsia="en-US"/>
        </w:rPr>
        <w:t xml:space="preserve"> </w:t>
      </w:r>
      <w:r w:rsidRPr="000D4763">
        <w:rPr>
          <w:rFonts w:eastAsia="Calibri"/>
          <w:lang w:val="pt-BR" w:eastAsia="en-US"/>
        </w:rPr>
        <w:t>Juan José Augusto Moyano Muñoz</w:t>
      </w:r>
      <w:r w:rsidRPr="000D4763">
        <w:rPr>
          <w:rFonts w:eastAsia="Calibri"/>
          <w:vertAlign w:val="superscript"/>
          <w:lang w:val="pt-BR" w:eastAsia="en-US"/>
        </w:rPr>
        <w:t>1</w:t>
      </w:r>
      <w:r w:rsidRPr="000D4763">
        <w:rPr>
          <w:rFonts w:eastAsia="Calibri"/>
          <w:lang w:val="pt-BR" w:eastAsia="en-US"/>
        </w:rPr>
        <w:t xml:space="preserve">, Lila </w:t>
      </w:r>
      <w:proofErr w:type="spellStart"/>
      <w:r w:rsidRPr="000D4763">
        <w:rPr>
          <w:rFonts w:eastAsia="Calibri"/>
          <w:lang w:val="pt-BR" w:eastAsia="en-US"/>
        </w:rPr>
        <w:t>Missae</w:t>
      </w:r>
      <w:proofErr w:type="spellEnd"/>
      <w:r w:rsidRPr="000D4763">
        <w:rPr>
          <w:rFonts w:eastAsia="Calibri"/>
          <w:lang w:val="pt-BR" w:eastAsia="en-US"/>
        </w:rPr>
        <w:t xml:space="preserve"> Oyama</w:t>
      </w:r>
      <w:r w:rsidRPr="000D4763">
        <w:rPr>
          <w:rFonts w:eastAsia="Calibri"/>
          <w:vertAlign w:val="superscript"/>
          <w:lang w:val="pt-BR" w:eastAsia="en-US"/>
        </w:rPr>
        <w:t>2</w:t>
      </w:r>
      <w:r w:rsidRPr="000D4763">
        <w:rPr>
          <w:rFonts w:eastAsia="Calibri"/>
          <w:lang w:val="pt-BR" w:eastAsia="en-US"/>
        </w:rPr>
        <w:t xml:space="preserve">, Erika </w:t>
      </w:r>
      <w:proofErr w:type="spellStart"/>
      <w:r w:rsidRPr="000D4763">
        <w:rPr>
          <w:rFonts w:eastAsia="Calibri"/>
          <w:lang w:val="pt-BR" w:eastAsia="en-US"/>
        </w:rPr>
        <w:t>Emy</w:t>
      </w:r>
      <w:proofErr w:type="spellEnd"/>
      <w:r w:rsidRPr="000D4763">
        <w:rPr>
          <w:rFonts w:eastAsia="Calibri"/>
          <w:lang w:val="pt-BR" w:eastAsia="en-US"/>
        </w:rPr>
        <w:t xml:space="preserve"> Nishi</w:t>
      </w:r>
      <w:r w:rsidRPr="000D4763">
        <w:rPr>
          <w:rFonts w:eastAsia="Calibri"/>
          <w:vertAlign w:val="superscript"/>
          <w:lang w:val="pt-BR" w:eastAsia="en-US"/>
        </w:rPr>
        <w:t>2</w:t>
      </w:r>
      <w:r w:rsidRPr="000D4763">
        <w:rPr>
          <w:rFonts w:eastAsia="Calibri"/>
          <w:lang w:val="pt-BR" w:eastAsia="en-US"/>
        </w:rPr>
        <w:t>, Cassia T</w:t>
      </w:r>
      <w:r>
        <w:rPr>
          <w:rFonts w:eastAsia="Calibri"/>
          <w:lang w:val="pt-BR" w:eastAsia="en-US"/>
        </w:rPr>
        <w:t>.</w:t>
      </w:r>
      <w:r w:rsidRPr="000D4763">
        <w:rPr>
          <w:rFonts w:eastAsia="Calibri"/>
          <w:lang w:val="pt-BR" w:eastAsia="en-US"/>
        </w:rPr>
        <w:t xml:space="preserve"> Bergamaschi</w:t>
      </w:r>
      <w:r w:rsidRPr="000D4763">
        <w:rPr>
          <w:rFonts w:eastAsia="Calibri"/>
          <w:vertAlign w:val="superscript"/>
          <w:lang w:val="pt-BR" w:eastAsia="en-US"/>
        </w:rPr>
        <w:t>2</w:t>
      </w:r>
      <w:r w:rsidRPr="000D4763">
        <w:rPr>
          <w:rFonts w:eastAsia="Calibri"/>
          <w:lang w:val="pt-BR" w:eastAsia="en-US"/>
        </w:rPr>
        <w:t xml:space="preserve">, </w:t>
      </w:r>
      <w:proofErr w:type="spellStart"/>
      <w:r w:rsidRPr="000D4763">
        <w:rPr>
          <w:rFonts w:eastAsia="Calibri"/>
          <w:lang w:val="pt-BR" w:eastAsia="en-US"/>
        </w:rPr>
        <w:t>Aluizio</w:t>
      </w:r>
      <w:proofErr w:type="spellEnd"/>
      <w:r w:rsidRPr="000D4763">
        <w:rPr>
          <w:rFonts w:eastAsia="Calibri"/>
          <w:lang w:val="pt-BR" w:eastAsia="en-US"/>
        </w:rPr>
        <w:t xml:space="preserve"> Barbosa Carvalho</w:t>
      </w:r>
      <w:r w:rsidRPr="000D4763">
        <w:rPr>
          <w:rFonts w:eastAsia="Calibri"/>
          <w:vertAlign w:val="superscript"/>
          <w:lang w:val="pt-BR" w:eastAsia="en-US"/>
        </w:rPr>
        <w:t>1</w:t>
      </w:r>
      <w:r w:rsidRPr="000D4763">
        <w:rPr>
          <w:rFonts w:eastAsia="Calibri"/>
          <w:lang w:val="pt-BR" w:eastAsia="en-US"/>
        </w:rPr>
        <w:t xml:space="preserve">, Ita </w:t>
      </w:r>
      <w:proofErr w:type="spellStart"/>
      <w:r w:rsidRPr="000D4763">
        <w:rPr>
          <w:rFonts w:eastAsia="Calibri"/>
          <w:lang w:val="pt-BR" w:eastAsia="en-US"/>
        </w:rPr>
        <w:t>Pfeferman</w:t>
      </w:r>
      <w:proofErr w:type="spellEnd"/>
      <w:r w:rsidRPr="000D4763">
        <w:rPr>
          <w:rFonts w:eastAsia="Calibri"/>
          <w:lang w:val="pt-BR" w:eastAsia="en-US"/>
        </w:rPr>
        <w:t xml:space="preserve"> Heilberg</w:t>
      </w:r>
      <w:r w:rsidRPr="000D4763">
        <w:rPr>
          <w:rFonts w:eastAsia="Calibri"/>
          <w:vertAlign w:val="superscript"/>
          <w:lang w:val="pt-BR" w:eastAsia="en-US"/>
        </w:rPr>
        <w:t>1</w:t>
      </w:r>
      <w:r>
        <w:rPr>
          <w:rFonts w:eastAsia="Calibri"/>
          <w:vertAlign w:val="superscript"/>
          <w:lang w:val="pt-BR" w:eastAsia="en-US"/>
        </w:rPr>
        <w:t>*</w:t>
      </w:r>
    </w:p>
    <w:p w14:paraId="2D576C00" w14:textId="4F4FB159" w:rsidR="00D47EA5" w:rsidRPr="00A14BA2" w:rsidRDefault="004A6A50" w:rsidP="00913501">
      <w:pPr>
        <w:pStyle w:val="MDPI16affiliation"/>
        <w:suppressAutoHyphens/>
        <w:rPr>
          <w:lang w:val="pt-BR"/>
        </w:rPr>
      </w:pPr>
      <w:r w:rsidRPr="009D3377">
        <w:rPr>
          <w:vertAlign w:val="superscript"/>
          <w:lang w:val="pt-BR"/>
        </w:rPr>
        <w:t>1</w:t>
      </w:r>
      <w:r w:rsidR="00D47EA5" w:rsidRPr="009D3377">
        <w:rPr>
          <w:lang w:val="pt-BR"/>
        </w:rPr>
        <w:tab/>
      </w:r>
      <w:proofErr w:type="spellStart"/>
      <w:r w:rsidR="009D3377" w:rsidRPr="009D3377">
        <w:rPr>
          <w:lang w:val="pt-BR"/>
        </w:rPr>
        <w:t>Nephrology</w:t>
      </w:r>
      <w:proofErr w:type="spellEnd"/>
      <w:r w:rsidR="009D3377" w:rsidRPr="009D3377">
        <w:rPr>
          <w:lang w:val="pt-BR"/>
        </w:rPr>
        <w:t xml:space="preserve"> Division, Universidade Federal de São Paulo,</w:t>
      </w:r>
      <w:r w:rsidR="00A14BA2">
        <w:rPr>
          <w:lang w:val="pt-BR"/>
        </w:rPr>
        <w:t xml:space="preserve"> </w:t>
      </w:r>
      <w:r w:rsidR="00A14BA2" w:rsidRPr="00A14BA2">
        <w:rPr>
          <w:lang w:val="pt-BR"/>
        </w:rPr>
        <w:t xml:space="preserve">04023-062, São Paulo, </w:t>
      </w:r>
      <w:proofErr w:type="spellStart"/>
      <w:r w:rsidR="00A14BA2" w:rsidRPr="00A14BA2">
        <w:rPr>
          <w:lang w:val="pt-BR"/>
        </w:rPr>
        <w:t>Brazil</w:t>
      </w:r>
      <w:proofErr w:type="spellEnd"/>
      <w:r w:rsidR="00A14BA2">
        <w:rPr>
          <w:lang w:val="pt-BR"/>
        </w:rPr>
        <w:t xml:space="preserve"> </w:t>
      </w:r>
      <w:r w:rsidR="00A14BA2" w:rsidRPr="00A14BA2">
        <w:rPr>
          <w:lang w:val="pt-BR"/>
        </w:rPr>
        <w:t>milene.ormanji@gmail.com (M.S.O.)</w:t>
      </w:r>
      <w:r w:rsidR="00A14BA2">
        <w:rPr>
          <w:lang w:val="pt-BR"/>
        </w:rPr>
        <w:t xml:space="preserve">; </w:t>
      </w:r>
      <w:r w:rsidR="00A14BA2" w:rsidRPr="00A14BA2">
        <w:rPr>
          <w:lang w:val="pt-BR"/>
        </w:rPr>
        <w:t>mavi.lazarini@hotmail.com</w:t>
      </w:r>
      <w:r w:rsidR="00A14BA2">
        <w:rPr>
          <w:lang w:val="pt-BR"/>
        </w:rPr>
        <w:t xml:space="preserve"> (M.V.L.M.)</w:t>
      </w:r>
      <w:r w:rsidR="00A14BA2" w:rsidRPr="00A14BA2">
        <w:rPr>
          <w:lang w:val="pt-BR"/>
        </w:rPr>
        <w:t xml:space="preserve"> rmeca28@gmail.com (R.M.); anauatte@gmail.com (A.</w:t>
      </w:r>
      <w:r w:rsidR="00A14BA2">
        <w:rPr>
          <w:lang w:val="pt-BR"/>
        </w:rPr>
        <w:t>C.A.);</w:t>
      </w:r>
      <w:r w:rsidR="00A14BA2" w:rsidRPr="00A14BA2">
        <w:rPr>
          <w:lang w:val="pt-BR"/>
        </w:rPr>
        <w:t xml:space="preserve"> juanjomoy@gmail.com</w:t>
      </w:r>
      <w:r w:rsidR="00A14BA2">
        <w:rPr>
          <w:lang w:val="pt-BR"/>
        </w:rPr>
        <w:t xml:space="preserve"> (J.J.A.M.M.)</w:t>
      </w:r>
      <w:r w:rsidR="00A14BA2" w:rsidRPr="00A14BA2">
        <w:rPr>
          <w:lang w:val="pt-BR"/>
        </w:rPr>
        <w:t>; aluizio@uol.com.br</w:t>
      </w:r>
      <w:r w:rsidR="00A14BA2">
        <w:rPr>
          <w:lang w:val="pt-BR"/>
        </w:rPr>
        <w:t xml:space="preserve"> (A.B.C.)</w:t>
      </w:r>
    </w:p>
    <w:p w14:paraId="0DD6F4E0" w14:textId="2CDBC93B" w:rsidR="00D47EA5" w:rsidRPr="009D3377" w:rsidRDefault="00D47EA5" w:rsidP="00913501">
      <w:pPr>
        <w:pStyle w:val="MDPI16affiliation"/>
        <w:suppressAutoHyphens/>
        <w:rPr>
          <w:lang w:val="pt-BR"/>
        </w:rPr>
      </w:pPr>
      <w:r w:rsidRPr="009D3377">
        <w:rPr>
          <w:vertAlign w:val="superscript"/>
          <w:lang w:val="pt-BR"/>
        </w:rPr>
        <w:t>2</w:t>
      </w:r>
      <w:r w:rsidRPr="009D3377">
        <w:rPr>
          <w:lang w:val="pt-BR"/>
        </w:rPr>
        <w:tab/>
      </w:r>
      <w:proofErr w:type="spellStart"/>
      <w:r w:rsidR="009D3377" w:rsidRPr="009D3377">
        <w:rPr>
          <w:lang w:val="pt-BR"/>
        </w:rPr>
        <w:t>Department</w:t>
      </w:r>
      <w:proofErr w:type="spellEnd"/>
      <w:r w:rsidR="009D3377" w:rsidRPr="009D3377">
        <w:rPr>
          <w:lang w:val="pt-BR"/>
        </w:rPr>
        <w:t xml:space="preserve"> </w:t>
      </w:r>
      <w:proofErr w:type="spellStart"/>
      <w:r w:rsidR="009D3377" w:rsidRPr="009D3377">
        <w:rPr>
          <w:lang w:val="pt-BR"/>
        </w:rPr>
        <w:t>of</w:t>
      </w:r>
      <w:proofErr w:type="spellEnd"/>
      <w:r w:rsidR="009D3377" w:rsidRPr="009D3377">
        <w:rPr>
          <w:lang w:val="pt-BR"/>
        </w:rPr>
        <w:t xml:space="preserve"> </w:t>
      </w:r>
      <w:proofErr w:type="spellStart"/>
      <w:r w:rsidR="009D3377" w:rsidRPr="009D3377">
        <w:rPr>
          <w:lang w:val="pt-BR"/>
        </w:rPr>
        <w:t>Physiology</w:t>
      </w:r>
      <w:proofErr w:type="spellEnd"/>
      <w:r w:rsidR="009D3377" w:rsidRPr="009D3377">
        <w:rPr>
          <w:lang w:val="pt-BR"/>
        </w:rPr>
        <w:t xml:space="preserve">, Universidade Federal de São Paulo, </w:t>
      </w:r>
      <w:r w:rsidR="00A14BA2">
        <w:rPr>
          <w:lang w:val="pt-BR"/>
        </w:rPr>
        <w:t xml:space="preserve">04023-062, </w:t>
      </w:r>
      <w:r w:rsidR="009D3377" w:rsidRPr="009D3377">
        <w:rPr>
          <w:lang w:val="pt-BR"/>
        </w:rPr>
        <w:t xml:space="preserve">São Paulo, </w:t>
      </w:r>
      <w:proofErr w:type="spellStart"/>
      <w:r w:rsidR="009D3377" w:rsidRPr="009D3377">
        <w:rPr>
          <w:lang w:val="pt-BR"/>
        </w:rPr>
        <w:t>Brazil</w:t>
      </w:r>
      <w:proofErr w:type="spellEnd"/>
      <w:r w:rsidR="00A14BA2">
        <w:rPr>
          <w:lang w:val="pt-BR"/>
        </w:rPr>
        <w:t xml:space="preserve"> </w:t>
      </w:r>
      <w:r w:rsidR="00A14BA2" w:rsidRPr="00A14BA2">
        <w:rPr>
          <w:lang w:val="pt-BR"/>
        </w:rPr>
        <w:t>michelle.louvaes@gmail.com</w:t>
      </w:r>
      <w:r w:rsidR="00A14BA2">
        <w:rPr>
          <w:lang w:val="pt-BR"/>
        </w:rPr>
        <w:t xml:space="preserve"> (M.L.G.); </w:t>
      </w:r>
      <w:r w:rsidR="00A14BA2" w:rsidRPr="00A14BA2">
        <w:rPr>
          <w:lang w:val="pt-BR"/>
        </w:rPr>
        <w:t>lmoyama@unifesp.br</w:t>
      </w:r>
      <w:r w:rsidR="00A14BA2">
        <w:rPr>
          <w:lang w:val="pt-BR"/>
        </w:rPr>
        <w:t xml:space="preserve"> (L.M.O.); </w:t>
      </w:r>
      <w:r w:rsidR="00A14BA2" w:rsidRPr="00A14BA2">
        <w:rPr>
          <w:lang w:val="pt-BR"/>
        </w:rPr>
        <w:t>enishi@unifesp.br</w:t>
      </w:r>
      <w:r w:rsidR="00A14BA2">
        <w:rPr>
          <w:lang w:val="pt-BR"/>
        </w:rPr>
        <w:t xml:space="preserve"> (E.E.N.); </w:t>
      </w:r>
      <w:r w:rsidR="00A14BA2" w:rsidRPr="00A14BA2">
        <w:rPr>
          <w:lang w:val="pt-BR"/>
        </w:rPr>
        <w:t>bergamaschi.cassia@unifesp.br</w:t>
      </w:r>
      <w:r w:rsidR="00A14BA2">
        <w:rPr>
          <w:lang w:val="pt-BR"/>
        </w:rPr>
        <w:t xml:space="preserve"> (C.T.B.)</w:t>
      </w:r>
    </w:p>
    <w:p w14:paraId="0A7CE3AF" w14:textId="36369BCC" w:rsidR="00D47EA5" w:rsidRDefault="00D47EA5" w:rsidP="009D3377">
      <w:pPr>
        <w:pStyle w:val="MDPI16affiliation"/>
        <w:rPr>
          <w:rFonts w:eastAsia="Calibri"/>
          <w:szCs w:val="24"/>
          <w:shd w:val="clear" w:color="auto" w:fill="FFFFFF"/>
        </w:rPr>
      </w:pPr>
      <w:r w:rsidRPr="00913501">
        <w:rPr>
          <w:b/>
        </w:rPr>
        <w:t>*</w:t>
      </w:r>
      <w:r w:rsidRPr="00913501">
        <w:tab/>
        <w:t xml:space="preserve">Correspondence: </w:t>
      </w:r>
      <w:hyperlink r:id="rId7" w:history="1">
        <w:r w:rsidR="009D3377" w:rsidRPr="009D3377">
          <w:rPr>
            <w:rStyle w:val="Hyperlink"/>
            <w:color w:val="auto"/>
            <w:u w:val="none"/>
          </w:rPr>
          <w:t>ita.heilberg@gmail.com</w:t>
        </w:r>
      </w:hyperlink>
      <w:r w:rsidR="00A14BA2">
        <w:rPr>
          <w:rStyle w:val="Hyperlink"/>
          <w:color w:val="auto"/>
          <w:u w:val="none"/>
        </w:rPr>
        <w:t xml:space="preserve"> (I.P.H.)</w:t>
      </w:r>
      <w:r w:rsidR="009D3377" w:rsidRPr="009D3377">
        <w:t>; Tel</w:t>
      </w:r>
      <w:r w:rsidR="009D3377" w:rsidRPr="00A35AFE">
        <w:t>.: +55</w:t>
      </w:r>
      <w:r w:rsidR="009D3377" w:rsidRPr="00A35AFE">
        <w:rPr>
          <w:rFonts w:eastAsia="Calibri"/>
          <w:szCs w:val="24"/>
          <w:shd w:val="clear" w:color="auto" w:fill="FFFFFF"/>
        </w:rPr>
        <w:t>(11) 5576-4848 (</w:t>
      </w:r>
      <w:proofErr w:type="spellStart"/>
      <w:r w:rsidR="009D3377" w:rsidRPr="00A35AFE">
        <w:rPr>
          <w:rFonts w:eastAsia="Calibri"/>
          <w:szCs w:val="24"/>
          <w:shd w:val="clear" w:color="auto" w:fill="FFFFFF"/>
        </w:rPr>
        <w:t>ext</w:t>
      </w:r>
      <w:proofErr w:type="spellEnd"/>
      <w:r w:rsidR="009D3377" w:rsidRPr="00A35AFE">
        <w:rPr>
          <w:rFonts w:eastAsia="Calibri"/>
          <w:szCs w:val="24"/>
          <w:shd w:val="clear" w:color="auto" w:fill="FFFFFF"/>
        </w:rPr>
        <w:t xml:space="preserve"> 2465)</w:t>
      </w:r>
    </w:p>
    <w:p w14:paraId="13E8CBB8" w14:textId="77777777" w:rsidR="0042491E" w:rsidRDefault="0042491E" w:rsidP="0042491E">
      <w:pPr>
        <w:spacing w:before="1200" w:line="480" w:lineRule="auto"/>
        <w:jc w:val="center"/>
        <w:rPr>
          <w:b/>
          <w:smallCaps/>
        </w:rPr>
      </w:pPr>
      <w:r>
        <w:rPr>
          <w:b/>
        </w:rPr>
        <w:t xml:space="preserve">SUPPLEMENTARY </w:t>
      </w:r>
      <w:r>
        <w:rPr>
          <w:b/>
          <w:smallCaps/>
        </w:rPr>
        <w:t>FIGURES</w:t>
      </w:r>
    </w:p>
    <w:p w14:paraId="64DC15BA" w14:textId="77777777" w:rsidR="0042491E" w:rsidRDefault="0042491E" w:rsidP="0042491E">
      <w:pPr>
        <w:spacing w:before="360" w:line="480" w:lineRule="auto"/>
        <w:jc w:val="center"/>
      </w:pPr>
      <w:r>
        <w:rPr>
          <w:noProof/>
        </w:rPr>
        <w:drawing>
          <wp:inline distT="0" distB="0" distL="0" distR="0" wp14:anchorId="08A636FA" wp14:editId="6B97B9E8">
            <wp:extent cx="3736975" cy="2186305"/>
            <wp:effectExtent l="0" t="0" r="0" b="4445"/>
            <wp:docPr id="8" name="Imagem 8"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Gráfico&#10;&#10;Descrição gerad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6975" cy="2186305"/>
                    </a:xfrm>
                    <a:prstGeom prst="rect">
                      <a:avLst/>
                    </a:prstGeom>
                    <a:noFill/>
                    <a:ln>
                      <a:noFill/>
                    </a:ln>
                  </pic:spPr>
                </pic:pic>
              </a:graphicData>
            </a:graphic>
          </wp:inline>
        </w:drawing>
      </w:r>
    </w:p>
    <w:p w14:paraId="6A3A7023" w14:textId="77777777" w:rsidR="0042491E" w:rsidRDefault="0042491E" w:rsidP="0042491E">
      <w:pPr>
        <w:pStyle w:val="MDPI51figurecaption"/>
      </w:pPr>
      <w:r w:rsidRPr="0042491E">
        <w:rPr>
          <w:rFonts w:eastAsia="Arial"/>
          <w:b/>
          <w:bCs/>
        </w:rPr>
        <w:t>Figure S1.</w:t>
      </w:r>
      <w:r w:rsidRPr="00163A2B">
        <w:rPr>
          <w:rFonts w:eastAsia="Arial"/>
        </w:rPr>
        <w:t xml:space="preserve"> </w:t>
      </w:r>
      <w:r>
        <w:rPr>
          <w:rFonts w:eastAsia="Arial"/>
        </w:rPr>
        <w:t xml:space="preserve">Static </w:t>
      </w:r>
      <w:r w:rsidRPr="006415A9">
        <w:t xml:space="preserve">histomorphometric parameters </w:t>
      </w:r>
      <w:r>
        <w:t>in Sham or denervated (</w:t>
      </w:r>
      <w:proofErr w:type="spellStart"/>
      <w:r>
        <w:t>Dnx</w:t>
      </w:r>
      <w:proofErr w:type="spellEnd"/>
      <w:r>
        <w:t xml:space="preserve">) groups under standard diet (SD) or high fat diet (HFD). </w:t>
      </w:r>
      <w:r w:rsidRPr="00163A2B">
        <w:rPr>
          <w:rFonts w:eastAsia="Arial"/>
        </w:rPr>
        <w:t>(</w:t>
      </w:r>
      <w:r>
        <w:rPr>
          <w:rFonts w:eastAsia="Arial"/>
        </w:rPr>
        <w:t>a</w:t>
      </w:r>
      <w:r w:rsidRPr="00163A2B">
        <w:rPr>
          <w:rFonts w:eastAsia="Arial"/>
        </w:rPr>
        <w:t xml:space="preserve">) </w:t>
      </w:r>
      <w:r w:rsidRPr="00163A2B">
        <w:t xml:space="preserve">trabecular thickness – </w:t>
      </w:r>
      <w:proofErr w:type="spellStart"/>
      <w:proofErr w:type="gramStart"/>
      <w:r w:rsidRPr="00163A2B">
        <w:t>Tb.Th</w:t>
      </w:r>
      <w:proofErr w:type="spellEnd"/>
      <w:proofErr w:type="gramEnd"/>
      <w:r w:rsidRPr="00163A2B">
        <w:t>, (</w:t>
      </w:r>
      <w:r>
        <w:t>b</w:t>
      </w:r>
      <w:r w:rsidRPr="00163A2B">
        <w:t xml:space="preserve">) osteoid thickness – </w:t>
      </w:r>
      <w:proofErr w:type="spellStart"/>
      <w:r w:rsidRPr="00163A2B">
        <w:t>O.Th</w:t>
      </w:r>
      <w:proofErr w:type="spellEnd"/>
      <w:r>
        <w:t>. Open b</w:t>
      </w:r>
      <w:r w:rsidRPr="00163A2B">
        <w:t>ars</w:t>
      </w:r>
      <w:r>
        <w:t xml:space="preserve"> (Sham groups) and closed bars (</w:t>
      </w:r>
      <w:proofErr w:type="spellStart"/>
      <w:r>
        <w:t>Dnx</w:t>
      </w:r>
      <w:proofErr w:type="spellEnd"/>
      <w:r>
        <w:t xml:space="preserve">) </w:t>
      </w:r>
      <w:r w:rsidRPr="00163A2B">
        <w:t xml:space="preserve">represent median and interquartile range. Statistical analyses were performed by two-way ANOVA with Bonferroni post-hoc test. </w:t>
      </w:r>
      <w:r w:rsidRPr="000F4BEC">
        <w:t>P&lt;0.05 was considered statistically significant.</w:t>
      </w:r>
    </w:p>
    <w:p w14:paraId="5EECDA4F" w14:textId="77777777" w:rsidR="0042491E" w:rsidRDefault="0042491E" w:rsidP="0042491E">
      <w:pPr>
        <w:spacing w:before="240" w:line="480" w:lineRule="auto"/>
        <w:jc w:val="center"/>
      </w:pPr>
      <w:r>
        <w:rPr>
          <w:noProof/>
        </w:rPr>
        <w:lastRenderedPageBreak/>
        <w:drawing>
          <wp:inline distT="0" distB="0" distL="0" distR="0" wp14:anchorId="36C3F61D" wp14:editId="16C581B1">
            <wp:extent cx="5400000" cy="2045000"/>
            <wp:effectExtent l="0" t="0" r="0" b="0"/>
            <wp:docPr id="9" name="Imagem 9" descr="Tela de celular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Tela de celular com texto preto sobre fundo branco&#10;&#10;Descrição gerada automaticamente com confiança mé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2045000"/>
                    </a:xfrm>
                    <a:prstGeom prst="rect">
                      <a:avLst/>
                    </a:prstGeom>
                    <a:noFill/>
                    <a:ln>
                      <a:noFill/>
                    </a:ln>
                  </pic:spPr>
                </pic:pic>
              </a:graphicData>
            </a:graphic>
          </wp:inline>
        </w:drawing>
      </w:r>
    </w:p>
    <w:p w14:paraId="3F80029C" w14:textId="77777777" w:rsidR="0042491E" w:rsidRDefault="0042491E" w:rsidP="0042491E">
      <w:pPr>
        <w:pStyle w:val="MDPI51figurecaption"/>
      </w:pPr>
      <w:r>
        <w:rPr>
          <w:rFonts w:eastAsia="Arial"/>
          <w:b/>
        </w:rPr>
        <w:t xml:space="preserve">Figure S2. </w:t>
      </w:r>
      <w:r w:rsidRPr="0042491E">
        <w:rPr>
          <w:rFonts w:eastAsia="Arial"/>
          <w:bCs/>
        </w:rPr>
        <w:t xml:space="preserve">HFD did not alter calcium metabolism. </w:t>
      </w:r>
      <w:r>
        <w:t>B</w:t>
      </w:r>
      <w:r w:rsidRPr="00163A2B">
        <w:t>iochemical parameters evaluated at the end of protocol</w:t>
      </w:r>
      <w:r w:rsidRPr="00D061AE">
        <w:t xml:space="preserve"> </w:t>
      </w:r>
      <w:r>
        <w:t xml:space="preserve">did not differ among groups: </w:t>
      </w:r>
      <w:r w:rsidRPr="00DA6846">
        <w:rPr>
          <w:rFonts w:eastAsia="Arial"/>
          <w:bCs/>
        </w:rPr>
        <w:t>(</w:t>
      </w:r>
      <w:r>
        <w:rPr>
          <w:rFonts w:eastAsia="Arial"/>
          <w:bCs/>
        </w:rPr>
        <w:t>a</w:t>
      </w:r>
      <w:r w:rsidRPr="00DA6846">
        <w:rPr>
          <w:rFonts w:eastAsia="Arial"/>
          <w:bCs/>
        </w:rPr>
        <w:t xml:space="preserve">) </w:t>
      </w:r>
      <w:r>
        <w:rPr>
          <w:rFonts w:eastAsia="Arial"/>
          <w:bCs/>
        </w:rPr>
        <w:t>serum calcium;</w:t>
      </w:r>
      <w:r w:rsidRPr="00DA6846">
        <w:rPr>
          <w:bCs/>
        </w:rPr>
        <w:t xml:space="preserve"> (</w:t>
      </w:r>
      <w:r>
        <w:rPr>
          <w:bCs/>
        </w:rPr>
        <w:t>b</w:t>
      </w:r>
      <w:r w:rsidRPr="00DA6846">
        <w:rPr>
          <w:bCs/>
        </w:rPr>
        <w:t xml:space="preserve">) </w:t>
      </w:r>
      <w:r>
        <w:rPr>
          <w:bCs/>
        </w:rPr>
        <w:t xml:space="preserve">urinary fractional excretion of calcium – </w:t>
      </w:r>
      <w:proofErr w:type="spellStart"/>
      <w:r>
        <w:rPr>
          <w:bCs/>
        </w:rPr>
        <w:t>FeCa</w:t>
      </w:r>
      <w:proofErr w:type="spellEnd"/>
      <w:r>
        <w:rPr>
          <w:bCs/>
        </w:rPr>
        <w:t xml:space="preserve"> (%); </w:t>
      </w:r>
      <w:r w:rsidRPr="00DA6846">
        <w:rPr>
          <w:bCs/>
        </w:rPr>
        <w:t>(</w:t>
      </w:r>
      <w:r>
        <w:rPr>
          <w:bCs/>
        </w:rPr>
        <w:t>c</w:t>
      </w:r>
      <w:r w:rsidRPr="00DA6846">
        <w:rPr>
          <w:bCs/>
        </w:rPr>
        <w:t xml:space="preserve">) </w:t>
      </w:r>
      <w:r>
        <w:rPr>
          <w:bCs/>
        </w:rPr>
        <w:t>serum 25-hydroxyvitamin D</w:t>
      </w:r>
      <w:r w:rsidRPr="003B6BF1">
        <w:rPr>
          <w:bCs/>
          <w:vertAlign w:val="subscript"/>
        </w:rPr>
        <w:t>3</w:t>
      </w:r>
      <w:r>
        <w:t>. Bars represent median and interquartile range. Statistical analyses were performed by two-way ANOVA with Bonferroni post-hoc test. P&lt;0.05 was considered statistically significant.</w:t>
      </w:r>
    </w:p>
    <w:p w14:paraId="2CF0E274" w14:textId="77777777" w:rsidR="0042491E" w:rsidRDefault="0042491E" w:rsidP="0042491E">
      <w:pPr>
        <w:spacing w:before="360" w:line="480" w:lineRule="auto"/>
        <w:jc w:val="center"/>
        <w:rPr>
          <w:i/>
          <w:iCs/>
        </w:rPr>
      </w:pPr>
      <w:r>
        <w:rPr>
          <w:noProof/>
        </w:rPr>
        <w:drawing>
          <wp:inline distT="0" distB="0" distL="0" distR="0" wp14:anchorId="320D1DE5" wp14:editId="3C40B5AE">
            <wp:extent cx="5393690" cy="2146935"/>
            <wp:effectExtent l="0" t="0" r="0" b="5715"/>
            <wp:docPr id="10" name="Imagem 10"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Diagrama&#10;&#10;Descrição gerada automaticamente com confiança mé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3690" cy="2146935"/>
                    </a:xfrm>
                    <a:prstGeom prst="rect">
                      <a:avLst/>
                    </a:prstGeom>
                    <a:noFill/>
                    <a:ln>
                      <a:noFill/>
                    </a:ln>
                  </pic:spPr>
                </pic:pic>
              </a:graphicData>
            </a:graphic>
          </wp:inline>
        </w:drawing>
      </w:r>
    </w:p>
    <w:p w14:paraId="302C566E" w14:textId="77777777" w:rsidR="0042491E" w:rsidRDefault="0042491E" w:rsidP="0042491E">
      <w:pPr>
        <w:pStyle w:val="MDPI51figurecaption"/>
        <w:rPr>
          <w:b/>
        </w:rPr>
      </w:pPr>
      <w:r>
        <w:rPr>
          <w:rFonts w:eastAsia="Arial"/>
          <w:b/>
        </w:rPr>
        <w:t>Figure S3.</w:t>
      </w:r>
      <w:r w:rsidRPr="00B34A87">
        <w:rPr>
          <w:b/>
          <w:bCs/>
        </w:rPr>
        <w:t xml:space="preserve"> </w:t>
      </w:r>
      <w:r w:rsidRPr="0042491E">
        <w:t>Denervation surgery confirmation.</w:t>
      </w:r>
      <w:r>
        <w:t xml:space="preserve"> Denervation of retroperitoneal white adipose tissue (</w:t>
      </w:r>
      <w:proofErr w:type="spellStart"/>
      <w:r>
        <w:t>rWAT</w:t>
      </w:r>
      <w:proofErr w:type="spellEnd"/>
      <w:r>
        <w:t xml:space="preserve">) was confirmed by western blot quantification of tyrosine hydroxylase protein, which was significantly lower in </w:t>
      </w:r>
      <w:proofErr w:type="spellStart"/>
      <w:r w:rsidRPr="00163A2B">
        <w:t>SD+Dnx</w:t>
      </w:r>
      <w:proofErr w:type="spellEnd"/>
      <w:r w:rsidRPr="00163A2B">
        <w:t xml:space="preserve"> and </w:t>
      </w:r>
      <w:proofErr w:type="spellStart"/>
      <w:r w:rsidRPr="00163A2B">
        <w:t>HFD+Dnx</w:t>
      </w:r>
      <w:proofErr w:type="spellEnd"/>
      <w:r>
        <w:t xml:space="preserve"> groups when compared to non-</w:t>
      </w:r>
      <w:r w:rsidRPr="00163A2B">
        <w:t xml:space="preserve">denervated groups </w:t>
      </w:r>
      <w:r>
        <w:t>(Sham SD and HFD). (a) representative western blots of relative protein levels and (b) relative quantification of tyrosine hydroxylase protein. Bars represent median and interquartile range. Statistical analyses were performed by two-way ANOVA with Bonferroni post-hoc test. P&lt;0.05 was considered statistically significant.</w:t>
      </w:r>
      <w:r>
        <w:rPr>
          <w:b/>
        </w:rPr>
        <w:br w:type="page"/>
      </w:r>
    </w:p>
    <w:p w14:paraId="2FFC8F15" w14:textId="77777777" w:rsidR="0042491E" w:rsidRDefault="0042491E" w:rsidP="0042491E">
      <w:pPr>
        <w:spacing w:line="480" w:lineRule="auto"/>
        <w:jc w:val="center"/>
        <w:rPr>
          <w:b/>
          <w:smallCaps/>
        </w:rPr>
      </w:pPr>
      <w:r>
        <w:rPr>
          <w:b/>
        </w:rPr>
        <w:lastRenderedPageBreak/>
        <w:t xml:space="preserve">SUPPLEMENTARY </w:t>
      </w:r>
      <w:r>
        <w:rPr>
          <w:b/>
          <w:smallCaps/>
        </w:rPr>
        <w:t>TABLES</w:t>
      </w:r>
    </w:p>
    <w:p w14:paraId="0709D94C" w14:textId="77777777" w:rsidR="0042491E" w:rsidRPr="00B34A87" w:rsidRDefault="0042491E" w:rsidP="0042491E">
      <w:pPr>
        <w:pStyle w:val="MDPI41tablecaption"/>
        <w:ind w:left="0"/>
      </w:pPr>
      <w:r w:rsidRPr="00FE3F87">
        <w:rPr>
          <w:b/>
          <w:bCs/>
        </w:rPr>
        <w:t xml:space="preserve">Table </w:t>
      </w:r>
      <w:r>
        <w:rPr>
          <w:b/>
          <w:bCs/>
        </w:rPr>
        <w:t>S</w:t>
      </w:r>
      <w:r w:rsidRPr="00FE3F87">
        <w:rPr>
          <w:b/>
          <w:bCs/>
        </w:rPr>
        <w:t>1</w:t>
      </w:r>
      <w:r>
        <w:rPr>
          <w:b/>
          <w:bCs/>
        </w:rPr>
        <w:t>.</w:t>
      </w:r>
      <w:r w:rsidRPr="00B34A87">
        <w:t xml:space="preserve"> Composition of the diets used in the study.</w:t>
      </w:r>
    </w:p>
    <w:tbl>
      <w:tblPr>
        <w:tblStyle w:val="2"/>
        <w:tblW w:w="5000" w:type="pct"/>
        <w:tblInd w:w="0" w:type="dxa"/>
        <w:tblLook w:val="0400" w:firstRow="0" w:lastRow="0" w:firstColumn="0" w:lastColumn="0" w:noHBand="0" w:noVBand="1"/>
      </w:tblPr>
      <w:tblGrid>
        <w:gridCol w:w="4222"/>
        <w:gridCol w:w="2891"/>
        <w:gridCol w:w="3353"/>
      </w:tblGrid>
      <w:tr w:rsidR="0042491E" w:rsidRPr="00B34A87" w14:paraId="77E6DEAE" w14:textId="77777777" w:rsidTr="002442B7">
        <w:trPr>
          <w:trHeight w:val="397"/>
        </w:trPr>
        <w:tc>
          <w:tcPr>
            <w:tcW w:w="2017" w:type="pct"/>
            <w:tcBorders>
              <w:top w:val="single" w:sz="4" w:space="0" w:color="auto"/>
              <w:bottom w:val="single" w:sz="4" w:space="0" w:color="000000"/>
            </w:tcBorders>
            <w:shd w:val="clear" w:color="auto" w:fill="auto"/>
            <w:vAlign w:val="center"/>
          </w:tcPr>
          <w:p w14:paraId="1FE1E2B9" w14:textId="77777777" w:rsidR="0042491E" w:rsidRPr="00B34A87" w:rsidRDefault="0042491E" w:rsidP="002442B7">
            <w:pPr>
              <w:rPr>
                <w:b/>
                <w:color w:val="000000"/>
              </w:rPr>
            </w:pPr>
            <w:r w:rsidRPr="00B34A87">
              <w:rPr>
                <w:b/>
                <w:color w:val="000000"/>
              </w:rPr>
              <w:t>Ingredients (g/kg of diet)</w:t>
            </w:r>
          </w:p>
        </w:tc>
        <w:tc>
          <w:tcPr>
            <w:tcW w:w="1381" w:type="pct"/>
            <w:tcBorders>
              <w:top w:val="single" w:sz="4" w:space="0" w:color="auto"/>
              <w:bottom w:val="single" w:sz="4" w:space="0" w:color="000000"/>
            </w:tcBorders>
            <w:shd w:val="clear" w:color="auto" w:fill="auto"/>
            <w:vAlign w:val="center"/>
          </w:tcPr>
          <w:p w14:paraId="37C389D5" w14:textId="77777777" w:rsidR="0042491E" w:rsidRPr="00B34A87" w:rsidRDefault="0042491E" w:rsidP="002442B7">
            <w:pPr>
              <w:jc w:val="center"/>
              <w:rPr>
                <w:b/>
                <w:color w:val="000000"/>
              </w:rPr>
            </w:pPr>
            <w:r w:rsidRPr="00B34A87">
              <w:rPr>
                <w:b/>
                <w:color w:val="000000"/>
              </w:rPr>
              <w:t>SD</w:t>
            </w:r>
          </w:p>
        </w:tc>
        <w:tc>
          <w:tcPr>
            <w:tcW w:w="1602" w:type="pct"/>
            <w:tcBorders>
              <w:top w:val="single" w:sz="4" w:space="0" w:color="auto"/>
              <w:bottom w:val="single" w:sz="4" w:space="0" w:color="000000"/>
            </w:tcBorders>
            <w:shd w:val="clear" w:color="auto" w:fill="auto"/>
            <w:vAlign w:val="center"/>
          </w:tcPr>
          <w:p w14:paraId="638B73D0" w14:textId="77777777" w:rsidR="0042491E" w:rsidRPr="00B34A87" w:rsidRDefault="0042491E" w:rsidP="002442B7">
            <w:pPr>
              <w:jc w:val="center"/>
              <w:rPr>
                <w:b/>
                <w:color w:val="000000"/>
              </w:rPr>
            </w:pPr>
            <w:r w:rsidRPr="00B34A87">
              <w:rPr>
                <w:b/>
                <w:color w:val="000000"/>
              </w:rPr>
              <w:t>HFD</w:t>
            </w:r>
          </w:p>
        </w:tc>
      </w:tr>
      <w:tr w:rsidR="0042491E" w:rsidRPr="00B34A87" w14:paraId="763B998C" w14:textId="77777777" w:rsidTr="002442B7">
        <w:trPr>
          <w:trHeight w:val="397"/>
        </w:trPr>
        <w:tc>
          <w:tcPr>
            <w:tcW w:w="2017" w:type="pct"/>
            <w:tcBorders>
              <w:top w:val="single" w:sz="4" w:space="0" w:color="000000"/>
            </w:tcBorders>
            <w:shd w:val="clear" w:color="auto" w:fill="auto"/>
            <w:vAlign w:val="center"/>
          </w:tcPr>
          <w:p w14:paraId="6EF9BD88" w14:textId="77777777" w:rsidR="0042491E" w:rsidRPr="00B34A87" w:rsidRDefault="0042491E" w:rsidP="002442B7">
            <w:pPr>
              <w:rPr>
                <w:color w:val="000000"/>
              </w:rPr>
            </w:pPr>
            <w:r w:rsidRPr="00B34A87">
              <w:rPr>
                <w:color w:val="000000"/>
              </w:rPr>
              <w:t>Cornstarch</w:t>
            </w:r>
          </w:p>
        </w:tc>
        <w:tc>
          <w:tcPr>
            <w:tcW w:w="1381" w:type="pct"/>
            <w:tcBorders>
              <w:top w:val="single" w:sz="4" w:space="0" w:color="000000"/>
            </w:tcBorders>
            <w:shd w:val="clear" w:color="auto" w:fill="auto"/>
            <w:vAlign w:val="center"/>
          </w:tcPr>
          <w:p w14:paraId="7DE90237" w14:textId="77777777" w:rsidR="0042491E" w:rsidRPr="00B34A87" w:rsidRDefault="0042491E" w:rsidP="002442B7">
            <w:pPr>
              <w:jc w:val="center"/>
              <w:rPr>
                <w:color w:val="000000"/>
              </w:rPr>
            </w:pPr>
            <w:r w:rsidRPr="00B34A87">
              <w:rPr>
                <w:color w:val="000000"/>
              </w:rPr>
              <w:t>720</w:t>
            </w:r>
            <w:r>
              <w:rPr>
                <w:color w:val="000000"/>
              </w:rPr>
              <w:t>.</w:t>
            </w:r>
            <w:r w:rsidRPr="00B34A87">
              <w:rPr>
                <w:color w:val="000000"/>
              </w:rPr>
              <w:t>7</w:t>
            </w:r>
          </w:p>
        </w:tc>
        <w:tc>
          <w:tcPr>
            <w:tcW w:w="1602" w:type="pct"/>
            <w:tcBorders>
              <w:top w:val="single" w:sz="4" w:space="0" w:color="000000"/>
            </w:tcBorders>
            <w:shd w:val="clear" w:color="auto" w:fill="auto"/>
            <w:vAlign w:val="center"/>
          </w:tcPr>
          <w:p w14:paraId="6F06E2E7" w14:textId="77777777" w:rsidR="0042491E" w:rsidRPr="00B34A87" w:rsidRDefault="0042491E" w:rsidP="002442B7">
            <w:pPr>
              <w:jc w:val="center"/>
              <w:rPr>
                <w:color w:val="000000"/>
              </w:rPr>
            </w:pPr>
            <w:r w:rsidRPr="00B34A87">
              <w:rPr>
                <w:color w:val="000000"/>
              </w:rPr>
              <w:t>248</w:t>
            </w:r>
            <w:r>
              <w:rPr>
                <w:color w:val="000000"/>
              </w:rPr>
              <w:t>.</w:t>
            </w:r>
            <w:r w:rsidRPr="00B34A87">
              <w:rPr>
                <w:color w:val="000000"/>
              </w:rPr>
              <w:t>7</w:t>
            </w:r>
          </w:p>
        </w:tc>
      </w:tr>
      <w:tr w:rsidR="0042491E" w:rsidRPr="00B34A87" w14:paraId="0AC594B4" w14:textId="77777777" w:rsidTr="002442B7">
        <w:trPr>
          <w:trHeight w:val="397"/>
        </w:trPr>
        <w:tc>
          <w:tcPr>
            <w:tcW w:w="2017" w:type="pct"/>
            <w:shd w:val="clear" w:color="auto" w:fill="auto"/>
            <w:vAlign w:val="center"/>
          </w:tcPr>
          <w:p w14:paraId="677E83C5" w14:textId="77777777" w:rsidR="0042491E" w:rsidRPr="00B34A87" w:rsidRDefault="0042491E" w:rsidP="002442B7">
            <w:pPr>
              <w:rPr>
                <w:color w:val="000000"/>
              </w:rPr>
            </w:pPr>
            <w:r w:rsidRPr="00B34A87">
              <w:rPr>
                <w:color w:val="000000"/>
              </w:rPr>
              <w:t>Sucrose</w:t>
            </w:r>
          </w:p>
        </w:tc>
        <w:tc>
          <w:tcPr>
            <w:tcW w:w="1381" w:type="pct"/>
            <w:shd w:val="clear" w:color="auto" w:fill="auto"/>
            <w:vAlign w:val="center"/>
          </w:tcPr>
          <w:p w14:paraId="7B921CC4" w14:textId="77777777" w:rsidR="0042491E" w:rsidRPr="00B34A87" w:rsidRDefault="0042491E" w:rsidP="002442B7">
            <w:pPr>
              <w:jc w:val="center"/>
              <w:rPr>
                <w:color w:val="000000"/>
              </w:rPr>
            </w:pPr>
            <w:r w:rsidRPr="00B34A87">
              <w:rPr>
                <w:color w:val="000000"/>
              </w:rPr>
              <w:t>-</w:t>
            </w:r>
          </w:p>
        </w:tc>
        <w:tc>
          <w:tcPr>
            <w:tcW w:w="1602" w:type="pct"/>
            <w:shd w:val="clear" w:color="auto" w:fill="auto"/>
            <w:vAlign w:val="center"/>
          </w:tcPr>
          <w:p w14:paraId="2F66833D" w14:textId="77777777" w:rsidR="0042491E" w:rsidRPr="00B34A87" w:rsidRDefault="0042491E" w:rsidP="002442B7">
            <w:pPr>
              <w:jc w:val="center"/>
              <w:rPr>
                <w:color w:val="000000"/>
              </w:rPr>
            </w:pPr>
            <w:r w:rsidRPr="00B34A87">
              <w:rPr>
                <w:color w:val="000000"/>
              </w:rPr>
              <w:t>100</w:t>
            </w:r>
            <w:r>
              <w:rPr>
                <w:color w:val="000000"/>
              </w:rPr>
              <w:t>.</w:t>
            </w:r>
            <w:r w:rsidRPr="00B34A87">
              <w:rPr>
                <w:color w:val="000000"/>
              </w:rPr>
              <w:t>0</w:t>
            </w:r>
          </w:p>
        </w:tc>
      </w:tr>
      <w:tr w:rsidR="0042491E" w:rsidRPr="00B34A87" w14:paraId="70129638" w14:textId="77777777" w:rsidTr="002442B7">
        <w:trPr>
          <w:trHeight w:val="397"/>
        </w:trPr>
        <w:tc>
          <w:tcPr>
            <w:tcW w:w="2017" w:type="pct"/>
            <w:shd w:val="clear" w:color="auto" w:fill="auto"/>
            <w:vAlign w:val="center"/>
          </w:tcPr>
          <w:p w14:paraId="58E67330" w14:textId="77777777" w:rsidR="0042491E" w:rsidRPr="00B34A87" w:rsidRDefault="0042491E" w:rsidP="002442B7">
            <w:pPr>
              <w:rPr>
                <w:color w:val="000000"/>
              </w:rPr>
            </w:pPr>
            <w:r w:rsidRPr="00B34A87">
              <w:rPr>
                <w:color w:val="000000"/>
              </w:rPr>
              <w:t>Casein</w:t>
            </w:r>
          </w:p>
        </w:tc>
        <w:tc>
          <w:tcPr>
            <w:tcW w:w="1381" w:type="pct"/>
            <w:shd w:val="clear" w:color="auto" w:fill="auto"/>
            <w:vAlign w:val="center"/>
          </w:tcPr>
          <w:p w14:paraId="1BDDE250" w14:textId="77777777" w:rsidR="0042491E" w:rsidRPr="00B34A87" w:rsidRDefault="0042491E" w:rsidP="002442B7">
            <w:pPr>
              <w:jc w:val="center"/>
              <w:rPr>
                <w:color w:val="000000"/>
              </w:rPr>
            </w:pPr>
            <w:r w:rsidRPr="00B34A87">
              <w:rPr>
                <w:color w:val="000000"/>
              </w:rPr>
              <w:t>140</w:t>
            </w:r>
            <w:r>
              <w:rPr>
                <w:color w:val="000000"/>
              </w:rPr>
              <w:t>.</w:t>
            </w:r>
            <w:r w:rsidRPr="00B34A87">
              <w:rPr>
                <w:color w:val="000000"/>
              </w:rPr>
              <w:t>0</w:t>
            </w:r>
          </w:p>
        </w:tc>
        <w:tc>
          <w:tcPr>
            <w:tcW w:w="1602" w:type="pct"/>
            <w:shd w:val="clear" w:color="auto" w:fill="auto"/>
            <w:vAlign w:val="center"/>
          </w:tcPr>
          <w:p w14:paraId="2A3FE3CA" w14:textId="77777777" w:rsidR="0042491E" w:rsidRPr="00B34A87" w:rsidRDefault="0042491E" w:rsidP="002442B7">
            <w:pPr>
              <w:jc w:val="center"/>
              <w:rPr>
                <w:color w:val="000000"/>
              </w:rPr>
            </w:pPr>
            <w:r w:rsidRPr="00B34A87">
              <w:rPr>
                <w:color w:val="000000"/>
              </w:rPr>
              <w:t>200</w:t>
            </w:r>
            <w:r>
              <w:rPr>
                <w:color w:val="000000"/>
              </w:rPr>
              <w:t>.</w:t>
            </w:r>
            <w:r w:rsidRPr="00B34A87">
              <w:rPr>
                <w:color w:val="000000"/>
              </w:rPr>
              <w:t>0</w:t>
            </w:r>
          </w:p>
        </w:tc>
      </w:tr>
      <w:tr w:rsidR="0042491E" w:rsidRPr="00B34A87" w14:paraId="321EB604" w14:textId="77777777" w:rsidTr="002442B7">
        <w:trPr>
          <w:trHeight w:val="397"/>
        </w:trPr>
        <w:tc>
          <w:tcPr>
            <w:tcW w:w="2017" w:type="pct"/>
            <w:shd w:val="clear" w:color="auto" w:fill="auto"/>
            <w:vAlign w:val="center"/>
          </w:tcPr>
          <w:p w14:paraId="1419DA62" w14:textId="77777777" w:rsidR="0042491E" w:rsidRPr="00B34A87" w:rsidRDefault="0042491E" w:rsidP="002442B7">
            <w:pPr>
              <w:rPr>
                <w:color w:val="000000"/>
              </w:rPr>
            </w:pPr>
            <w:r w:rsidRPr="00B34A87">
              <w:rPr>
                <w:color w:val="000000"/>
              </w:rPr>
              <w:t>Soybean oil</w:t>
            </w:r>
          </w:p>
        </w:tc>
        <w:tc>
          <w:tcPr>
            <w:tcW w:w="1381" w:type="pct"/>
            <w:shd w:val="clear" w:color="auto" w:fill="auto"/>
            <w:vAlign w:val="center"/>
          </w:tcPr>
          <w:p w14:paraId="3EDB94C7" w14:textId="77777777" w:rsidR="0042491E" w:rsidRPr="00B34A87" w:rsidRDefault="0042491E" w:rsidP="002442B7">
            <w:pPr>
              <w:jc w:val="center"/>
              <w:rPr>
                <w:color w:val="000000"/>
              </w:rPr>
            </w:pPr>
            <w:r w:rsidRPr="00B34A87">
              <w:rPr>
                <w:color w:val="000000"/>
              </w:rPr>
              <w:t>40</w:t>
            </w:r>
            <w:r>
              <w:rPr>
                <w:color w:val="000000"/>
              </w:rPr>
              <w:t>.</w:t>
            </w:r>
            <w:r w:rsidRPr="00B34A87">
              <w:rPr>
                <w:color w:val="000000"/>
              </w:rPr>
              <w:t>0</w:t>
            </w:r>
          </w:p>
        </w:tc>
        <w:tc>
          <w:tcPr>
            <w:tcW w:w="1602" w:type="pct"/>
            <w:shd w:val="clear" w:color="auto" w:fill="auto"/>
            <w:vAlign w:val="center"/>
          </w:tcPr>
          <w:p w14:paraId="08E77275" w14:textId="77777777" w:rsidR="0042491E" w:rsidRPr="00B34A87" w:rsidRDefault="0042491E" w:rsidP="002442B7">
            <w:pPr>
              <w:jc w:val="center"/>
              <w:rPr>
                <w:color w:val="000000"/>
              </w:rPr>
            </w:pPr>
            <w:r w:rsidRPr="00B34A87">
              <w:rPr>
                <w:color w:val="000000"/>
              </w:rPr>
              <w:t>40</w:t>
            </w:r>
            <w:r>
              <w:rPr>
                <w:color w:val="000000"/>
              </w:rPr>
              <w:t>.</w:t>
            </w:r>
            <w:r w:rsidRPr="00B34A87">
              <w:rPr>
                <w:color w:val="000000"/>
              </w:rPr>
              <w:t>0</w:t>
            </w:r>
          </w:p>
        </w:tc>
      </w:tr>
      <w:tr w:rsidR="0042491E" w:rsidRPr="00B34A87" w14:paraId="2F75D695" w14:textId="77777777" w:rsidTr="002442B7">
        <w:trPr>
          <w:trHeight w:val="397"/>
        </w:trPr>
        <w:tc>
          <w:tcPr>
            <w:tcW w:w="2017" w:type="pct"/>
            <w:shd w:val="clear" w:color="auto" w:fill="auto"/>
            <w:vAlign w:val="center"/>
          </w:tcPr>
          <w:p w14:paraId="5F39842E" w14:textId="77777777" w:rsidR="0042491E" w:rsidRPr="00B34A87" w:rsidRDefault="0042491E" w:rsidP="002442B7">
            <w:pPr>
              <w:rPr>
                <w:color w:val="000000"/>
              </w:rPr>
            </w:pPr>
            <w:r w:rsidRPr="00B34A87">
              <w:rPr>
                <w:color w:val="000000"/>
              </w:rPr>
              <w:t>Cellulose</w:t>
            </w:r>
          </w:p>
        </w:tc>
        <w:tc>
          <w:tcPr>
            <w:tcW w:w="1381" w:type="pct"/>
            <w:shd w:val="clear" w:color="auto" w:fill="auto"/>
            <w:vAlign w:val="center"/>
          </w:tcPr>
          <w:p w14:paraId="3C90B28D" w14:textId="77777777" w:rsidR="0042491E" w:rsidRPr="00B34A87" w:rsidRDefault="0042491E" w:rsidP="002442B7">
            <w:pPr>
              <w:jc w:val="center"/>
              <w:rPr>
                <w:color w:val="000000"/>
              </w:rPr>
            </w:pPr>
            <w:r w:rsidRPr="00B34A87">
              <w:rPr>
                <w:color w:val="000000"/>
              </w:rPr>
              <w:t>50</w:t>
            </w:r>
            <w:r>
              <w:rPr>
                <w:color w:val="000000"/>
              </w:rPr>
              <w:t>.</w:t>
            </w:r>
            <w:r w:rsidRPr="00B34A87">
              <w:rPr>
                <w:color w:val="000000"/>
              </w:rPr>
              <w:t>0</w:t>
            </w:r>
          </w:p>
        </w:tc>
        <w:tc>
          <w:tcPr>
            <w:tcW w:w="1602" w:type="pct"/>
            <w:shd w:val="clear" w:color="auto" w:fill="auto"/>
            <w:vAlign w:val="center"/>
          </w:tcPr>
          <w:p w14:paraId="161E9CE6" w14:textId="77777777" w:rsidR="0042491E" w:rsidRPr="00B34A87" w:rsidRDefault="0042491E" w:rsidP="002442B7">
            <w:pPr>
              <w:jc w:val="center"/>
              <w:rPr>
                <w:color w:val="000000"/>
              </w:rPr>
            </w:pPr>
            <w:r w:rsidRPr="00B34A87">
              <w:rPr>
                <w:color w:val="000000"/>
              </w:rPr>
              <w:t>50</w:t>
            </w:r>
            <w:r>
              <w:rPr>
                <w:color w:val="000000"/>
              </w:rPr>
              <w:t>.</w:t>
            </w:r>
            <w:r w:rsidRPr="00B34A87">
              <w:rPr>
                <w:color w:val="000000"/>
              </w:rPr>
              <w:t>0</w:t>
            </w:r>
          </w:p>
        </w:tc>
      </w:tr>
      <w:tr w:rsidR="0042491E" w:rsidRPr="00B34A87" w14:paraId="46480804" w14:textId="77777777" w:rsidTr="002442B7">
        <w:trPr>
          <w:trHeight w:val="397"/>
        </w:trPr>
        <w:tc>
          <w:tcPr>
            <w:tcW w:w="2017" w:type="pct"/>
            <w:shd w:val="clear" w:color="auto" w:fill="auto"/>
            <w:vAlign w:val="center"/>
          </w:tcPr>
          <w:p w14:paraId="56B5E05A" w14:textId="77777777" w:rsidR="0042491E" w:rsidRPr="00B34A87" w:rsidRDefault="0042491E" w:rsidP="002442B7">
            <w:pPr>
              <w:rPr>
                <w:color w:val="000000"/>
              </w:rPr>
            </w:pPr>
            <w:r w:rsidRPr="00B34A87">
              <w:rPr>
                <w:color w:val="000000"/>
              </w:rPr>
              <w:t>Lard</w:t>
            </w:r>
          </w:p>
        </w:tc>
        <w:tc>
          <w:tcPr>
            <w:tcW w:w="1381" w:type="pct"/>
            <w:shd w:val="clear" w:color="auto" w:fill="auto"/>
            <w:vAlign w:val="center"/>
          </w:tcPr>
          <w:p w14:paraId="1A6CCED0" w14:textId="77777777" w:rsidR="0042491E" w:rsidRPr="00B34A87" w:rsidRDefault="0042491E" w:rsidP="002442B7">
            <w:pPr>
              <w:jc w:val="center"/>
              <w:rPr>
                <w:color w:val="000000"/>
              </w:rPr>
            </w:pPr>
            <w:r w:rsidRPr="00B34A87">
              <w:rPr>
                <w:color w:val="000000"/>
              </w:rPr>
              <w:t>-</w:t>
            </w:r>
          </w:p>
        </w:tc>
        <w:tc>
          <w:tcPr>
            <w:tcW w:w="1602" w:type="pct"/>
            <w:shd w:val="clear" w:color="auto" w:fill="auto"/>
            <w:vAlign w:val="center"/>
          </w:tcPr>
          <w:p w14:paraId="5B46CD8A" w14:textId="77777777" w:rsidR="0042491E" w:rsidRPr="00B34A87" w:rsidRDefault="0042491E" w:rsidP="002442B7">
            <w:pPr>
              <w:jc w:val="center"/>
              <w:rPr>
                <w:color w:val="000000"/>
              </w:rPr>
            </w:pPr>
            <w:r w:rsidRPr="00B34A87">
              <w:rPr>
                <w:color w:val="000000"/>
              </w:rPr>
              <w:t>312</w:t>
            </w:r>
            <w:r>
              <w:rPr>
                <w:color w:val="000000"/>
              </w:rPr>
              <w:t>.</w:t>
            </w:r>
            <w:r w:rsidRPr="00B34A87">
              <w:rPr>
                <w:color w:val="000000"/>
              </w:rPr>
              <w:t>0</w:t>
            </w:r>
          </w:p>
        </w:tc>
      </w:tr>
      <w:tr w:rsidR="0042491E" w:rsidRPr="00B34A87" w14:paraId="5C305DAB" w14:textId="77777777" w:rsidTr="002442B7">
        <w:trPr>
          <w:trHeight w:val="397"/>
        </w:trPr>
        <w:tc>
          <w:tcPr>
            <w:tcW w:w="2017" w:type="pct"/>
            <w:shd w:val="clear" w:color="auto" w:fill="auto"/>
            <w:vAlign w:val="center"/>
          </w:tcPr>
          <w:p w14:paraId="546855F9" w14:textId="77777777" w:rsidR="0042491E" w:rsidRPr="00B34A87" w:rsidRDefault="0042491E" w:rsidP="002442B7">
            <w:pPr>
              <w:rPr>
                <w:color w:val="000000"/>
              </w:rPr>
            </w:pPr>
            <w:r w:rsidRPr="0074624F">
              <w:rPr>
                <w:color w:val="000000"/>
              </w:rPr>
              <w:t>AIN-93M Vitamin mixture</w:t>
            </w:r>
          </w:p>
        </w:tc>
        <w:tc>
          <w:tcPr>
            <w:tcW w:w="1381" w:type="pct"/>
            <w:shd w:val="clear" w:color="auto" w:fill="auto"/>
            <w:vAlign w:val="center"/>
          </w:tcPr>
          <w:p w14:paraId="41B7071A" w14:textId="77777777" w:rsidR="0042491E" w:rsidRPr="00B34A87" w:rsidRDefault="0042491E" w:rsidP="002442B7">
            <w:pPr>
              <w:jc w:val="center"/>
              <w:rPr>
                <w:color w:val="000000"/>
              </w:rPr>
            </w:pPr>
            <w:r w:rsidRPr="00B34A87">
              <w:rPr>
                <w:color w:val="000000"/>
              </w:rPr>
              <w:t>10</w:t>
            </w:r>
            <w:r>
              <w:rPr>
                <w:color w:val="000000"/>
              </w:rPr>
              <w:t>.</w:t>
            </w:r>
            <w:r w:rsidRPr="00B34A87">
              <w:rPr>
                <w:color w:val="000000"/>
              </w:rPr>
              <w:t>0</w:t>
            </w:r>
          </w:p>
        </w:tc>
        <w:tc>
          <w:tcPr>
            <w:tcW w:w="1602" w:type="pct"/>
            <w:shd w:val="clear" w:color="auto" w:fill="auto"/>
            <w:vAlign w:val="center"/>
          </w:tcPr>
          <w:p w14:paraId="25983B87" w14:textId="77777777" w:rsidR="0042491E" w:rsidRPr="00B34A87" w:rsidRDefault="0042491E" w:rsidP="002442B7">
            <w:pPr>
              <w:jc w:val="center"/>
              <w:rPr>
                <w:color w:val="000000"/>
              </w:rPr>
            </w:pPr>
            <w:r w:rsidRPr="00B34A87">
              <w:rPr>
                <w:color w:val="000000"/>
              </w:rPr>
              <w:t>10</w:t>
            </w:r>
            <w:r>
              <w:rPr>
                <w:color w:val="000000"/>
              </w:rPr>
              <w:t>.</w:t>
            </w:r>
            <w:r w:rsidRPr="00B34A87">
              <w:rPr>
                <w:color w:val="000000"/>
              </w:rPr>
              <w:t>0</w:t>
            </w:r>
          </w:p>
        </w:tc>
      </w:tr>
      <w:tr w:rsidR="0042491E" w:rsidRPr="00B34A87" w14:paraId="51D2DA04" w14:textId="77777777" w:rsidTr="002442B7">
        <w:trPr>
          <w:trHeight w:val="397"/>
        </w:trPr>
        <w:tc>
          <w:tcPr>
            <w:tcW w:w="2017" w:type="pct"/>
            <w:shd w:val="clear" w:color="auto" w:fill="auto"/>
            <w:vAlign w:val="center"/>
          </w:tcPr>
          <w:p w14:paraId="468648BB" w14:textId="77777777" w:rsidR="0042491E" w:rsidRPr="00B34A87" w:rsidRDefault="0042491E" w:rsidP="002442B7">
            <w:pPr>
              <w:rPr>
                <w:color w:val="000000"/>
              </w:rPr>
            </w:pPr>
            <w:r w:rsidRPr="0074624F">
              <w:rPr>
                <w:color w:val="000000"/>
              </w:rPr>
              <w:t>AIN-93M Mineral mixture</w:t>
            </w:r>
          </w:p>
        </w:tc>
        <w:tc>
          <w:tcPr>
            <w:tcW w:w="1381" w:type="pct"/>
            <w:shd w:val="clear" w:color="auto" w:fill="auto"/>
            <w:vAlign w:val="center"/>
          </w:tcPr>
          <w:p w14:paraId="28A0FF15" w14:textId="77777777" w:rsidR="0042491E" w:rsidRPr="00B34A87" w:rsidRDefault="0042491E" w:rsidP="002442B7">
            <w:pPr>
              <w:jc w:val="center"/>
              <w:rPr>
                <w:color w:val="000000"/>
              </w:rPr>
            </w:pPr>
            <w:r w:rsidRPr="00B34A87">
              <w:rPr>
                <w:color w:val="000000"/>
              </w:rPr>
              <w:t>35</w:t>
            </w:r>
            <w:r>
              <w:rPr>
                <w:color w:val="000000"/>
              </w:rPr>
              <w:t>.</w:t>
            </w:r>
            <w:r w:rsidRPr="00B34A87">
              <w:rPr>
                <w:color w:val="000000"/>
              </w:rPr>
              <w:t>0</w:t>
            </w:r>
          </w:p>
        </w:tc>
        <w:tc>
          <w:tcPr>
            <w:tcW w:w="1602" w:type="pct"/>
            <w:shd w:val="clear" w:color="auto" w:fill="auto"/>
            <w:vAlign w:val="center"/>
          </w:tcPr>
          <w:p w14:paraId="4366979A" w14:textId="77777777" w:rsidR="0042491E" w:rsidRPr="00B34A87" w:rsidRDefault="0042491E" w:rsidP="002442B7">
            <w:pPr>
              <w:jc w:val="center"/>
              <w:rPr>
                <w:color w:val="000000"/>
              </w:rPr>
            </w:pPr>
            <w:r w:rsidRPr="00B34A87">
              <w:rPr>
                <w:color w:val="000000"/>
              </w:rPr>
              <w:t>35</w:t>
            </w:r>
            <w:r>
              <w:rPr>
                <w:color w:val="000000"/>
              </w:rPr>
              <w:t>.</w:t>
            </w:r>
            <w:r w:rsidRPr="00B34A87">
              <w:rPr>
                <w:color w:val="000000"/>
              </w:rPr>
              <w:t>0</w:t>
            </w:r>
          </w:p>
        </w:tc>
      </w:tr>
      <w:tr w:rsidR="0042491E" w:rsidRPr="00B34A87" w14:paraId="065498AB" w14:textId="77777777" w:rsidTr="002442B7">
        <w:trPr>
          <w:trHeight w:val="397"/>
        </w:trPr>
        <w:tc>
          <w:tcPr>
            <w:tcW w:w="2017" w:type="pct"/>
            <w:shd w:val="clear" w:color="auto" w:fill="auto"/>
            <w:vAlign w:val="center"/>
          </w:tcPr>
          <w:p w14:paraId="2102BAF3" w14:textId="77777777" w:rsidR="0042491E" w:rsidRPr="00B34A87" w:rsidRDefault="0042491E" w:rsidP="002442B7">
            <w:pPr>
              <w:rPr>
                <w:color w:val="000000"/>
              </w:rPr>
            </w:pPr>
            <w:r w:rsidRPr="00B34A87">
              <w:rPr>
                <w:color w:val="000000"/>
              </w:rPr>
              <w:t>L-cystine</w:t>
            </w:r>
          </w:p>
        </w:tc>
        <w:tc>
          <w:tcPr>
            <w:tcW w:w="1381" w:type="pct"/>
            <w:shd w:val="clear" w:color="auto" w:fill="auto"/>
            <w:vAlign w:val="center"/>
          </w:tcPr>
          <w:p w14:paraId="00CABA8C" w14:textId="77777777" w:rsidR="0042491E" w:rsidRPr="00B34A87" w:rsidRDefault="0042491E" w:rsidP="002442B7">
            <w:pPr>
              <w:jc w:val="center"/>
              <w:rPr>
                <w:color w:val="000000"/>
              </w:rPr>
            </w:pPr>
            <w:r w:rsidRPr="00B34A87">
              <w:rPr>
                <w:color w:val="000000"/>
              </w:rPr>
              <w:t>1</w:t>
            </w:r>
            <w:r>
              <w:rPr>
                <w:color w:val="000000"/>
              </w:rPr>
              <w:t>.</w:t>
            </w:r>
            <w:r w:rsidRPr="00B34A87">
              <w:rPr>
                <w:color w:val="000000"/>
              </w:rPr>
              <w:t>8</w:t>
            </w:r>
          </w:p>
        </w:tc>
        <w:tc>
          <w:tcPr>
            <w:tcW w:w="1602" w:type="pct"/>
            <w:shd w:val="clear" w:color="auto" w:fill="auto"/>
            <w:vAlign w:val="center"/>
          </w:tcPr>
          <w:p w14:paraId="7C633E29" w14:textId="77777777" w:rsidR="0042491E" w:rsidRPr="00B34A87" w:rsidRDefault="0042491E" w:rsidP="002442B7">
            <w:pPr>
              <w:jc w:val="center"/>
              <w:rPr>
                <w:color w:val="000000"/>
              </w:rPr>
            </w:pPr>
            <w:r w:rsidRPr="00B34A87">
              <w:rPr>
                <w:color w:val="000000"/>
              </w:rPr>
              <w:t>1</w:t>
            </w:r>
            <w:r>
              <w:rPr>
                <w:color w:val="000000"/>
              </w:rPr>
              <w:t>.</w:t>
            </w:r>
            <w:r w:rsidRPr="00B34A87">
              <w:rPr>
                <w:color w:val="000000"/>
              </w:rPr>
              <w:t>8</w:t>
            </w:r>
          </w:p>
        </w:tc>
      </w:tr>
      <w:tr w:rsidR="0042491E" w:rsidRPr="00B34A87" w14:paraId="44966795" w14:textId="77777777" w:rsidTr="002442B7">
        <w:trPr>
          <w:trHeight w:val="397"/>
        </w:trPr>
        <w:tc>
          <w:tcPr>
            <w:tcW w:w="2017" w:type="pct"/>
            <w:shd w:val="clear" w:color="auto" w:fill="auto"/>
            <w:vAlign w:val="center"/>
          </w:tcPr>
          <w:p w14:paraId="76719B2E" w14:textId="77777777" w:rsidR="0042491E" w:rsidRPr="00B34A87" w:rsidRDefault="0042491E" w:rsidP="002442B7">
            <w:pPr>
              <w:rPr>
                <w:color w:val="000000"/>
              </w:rPr>
            </w:pPr>
            <w:r w:rsidRPr="00B34A87">
              <w:rPr>
                <w:color w:val="000000"/>
              </w:rPr>
              <w:t>Choline bitartrate</w:t>
            </w:r>
          </w:p>
        </w:tc>
        <w:tc>
          <w:tcPr>
            <w:tcW w:w="1381" w:type="pct"/>
            <w:shd w:val="clear" w:color="auto" w:fill="auto"/>
            <w:vAlign w:val="center"/>
          </w:tcPr>
          <w:p w14:paraId="7F5B235A" w14:textId="77777777" w:rsidR="0042491E" w:rsidRPr="00B34A87" w:rsidRDefault="0042491E" w:rsidP="002442B7">
            <w:pPr>
              <w:jc w:val="center"/>
              <w:rPr>
                <w:color w:val="000000"/>
              </w:rPr>
            </w:pPr>
            <w:r w:rsidRPr="00B34A87">
              <w:rPr>
                <w:color w:val="000000"/>
              </w:rPr>
              <w:t>2</w:t>
            </w:r>
            <w:r>
              <w:rPr>
                <w:color w:val="000000"/>
              </w:rPr>
              <w:t>.</w:t>
            </w:r>
            <w:r w:rsidRPr="00B34A87">
              <w:rPr>
                <w:color w:val="000000"/>
              </w:rPr>
              <w:t>5</w:t>
            </w:r>
          </w:p>
        </w:tc>
        <w:tc>
          <w:tcPr>
            <w:tcW w:w="1602" w:type="pct"/>
            <w:shd w:val="clear" w:color="auto" w:fill="auto"/>
            <w:vAlign w:val="center"/>
          </w:tcPr>
          <w:p w14:paraId="66682669" w14:textId="77777777" w:rsidR="0042491E" w:rsidRPr="00B34A87" w:rsidRDefault="0042491E" w:rsidP="002442B7">
            <w:pPr>
              <w:jc w:val="center"/>
              <w:rPr>
                <w:color w:val="000000"/>
              </w:rPr>
            </w:pPr>
            <w:r w:rsidRPr="00B34A87">
              <w:rPr>
                <w:color w:val="000000"/>
              </w:rPr>
              <w:t>2</w:t>
            </w:r>
            <w:r>
              <w:rPr>
                <w:color w:val="000000"/>
              </w:rPr>
              <w:t>.</w:t>
            </w:r>
            <w:r w:rsidRPr="00B34A87">
              <w:rPr>
                <w:color w:val="000000"/>
              </w:rPr>
              <w:t>5</w:t>
            </w:r>
          </w:p>
        </w:tc>
      </w:tr>
      <w:tr w:rsidR="0042491E" w:rsidRPr="00B34A87" w14:paraId="7CFEB524" w14:textId="77777777" w:rsidTr="002442B7">
        <w:trPr>
          <w:trHeight w:val="397"/>
        </w:trPr>
        <w:tc>
          <w:tcPr>
            <w:tcW w:w="2017" w:type="pct"/>
            <w:tcBorders>
              <w:bottom w:val="single" w:sz="4" w:space="0" w:color="auto"/>
            </w:tcBorders>
            <w:shd w:val="clear" w:color="auto" w:fill="auto"/>
            <w:vAlign w:val="center"/>
          </w:tcPr>
          <w:p w14:paraId="59108603" w14:textId="77777777" w:rsidR="0042491E" w:rsidRPr="00B34A87" w:rsidRDefault="0042491E" w:rsidP="002442B7">
            <w:pPr>
              <w:rPr>
                <w:color w:val="000000"/>
              </w:rPr>
            </w:pPr>
            <w:r w:rsidRPr="00B34A87">
              <w:rPr>
                <w:color w:val="000000"/>
              </w:rPr>
              <w:t>Butyl hydroquinone</w:t>
            </w:r>
          </w:p>
        </w:tc>
        <w:tc>
          <w:tcPr>
            <w:tcW w:w="1381" w:type="pct"/>
            <w:tcBorders>
              <w:bottom w:val="single" w:sz="4" w:space="0" w:color="auto"/>
            </w:tcBorders>
            <w:shd w:val="clear" w:color="auto" w:fill="auto"/>
            <w:vAlign w:val="center"/>
          </w:tcPr>
          <w:p w14:paraId="69F1F47C" w14:textId="77777777" w:rsidR="0042491E" w:rsidRPr="00B34A87" w:rsidRDefault="0042491E" w:rsidP="002442B7">
            <w:pPr>
              <w:jc w:val="center"/>
              <w:rPr>
                <w:color w:val="000000"/>
              </w:rPr>
            </w:pPr>
            <w:r w:rsidRPr="00B34A87">
              <w:rPr>
                <w:color w:val="000000"/>
              </w:rPr>
              <w:t>0</w:t>
            </w:r>
            <w:r>
              <w:rPr>
                <w:color w:val="000000"/>
              </w:rPr>
              <w:t>.</w:t>
            </w:r>
            <w:r w:rsidRPr="00B34A87">
              <w:rPr>
                <w:color w:val="000000"/>
              </w:rPr>
              <w:t>008</w:t>
            </w:r>
          </w:p>
        </w:tc>
        <w:tc>
          <w:tcPr>
            <w:tcW w:w="1602" w:type="pct"/>
            <w:tcBorders>
              <w:bottom w:val="single" w:sz="4" w:space="0" w:color="auto"/>
            </w:tcBorders>
            <w:shd w:val="clear" w:color="auto" w:fill="auto"/>
            <w:vAlign w:val="center"/>
          </w:tcPr>
          <w:p w14:paraId="023D1942" w14:textId="77777777" w:rsidR="0042491E" w:rsidRPr="00B34A87" w:rsidRDefault="0042491E" w:rsidP="002442B7">
            <w:pPr>
              <w:jc w:val="center"/>
              <w:rPr>
                <w:color w:val="000000"/>
              </w:rPr>
            </w:pPr>
            <w:r w:rsidRPr="00B34A87">
              <w:rPr>
                <w:color w:val="000000"/>
              </w:rPr>
              <w:t>0</w:t>
            </w:r>
            <w:r>
              <w:rPr>
                <w:color w:val="000000"/>
              </w:rPr>
              <w:t>.</w:t>
            </w:r>
            <w:r w:rsidRPr="00B34A87">
              <w:rPr>
                <w:color w:val="000000"/>
              </w:rPr>
              <w:t>008</w:t>
            </w:r>
          </w:p>
        </w:tc>
      </w:tr>
    </w:tbl>
    <w:p w14:paraId="527820D0" w14:textId="77777777" w:rsidR="0042491E" w:rsidRPr="00986B2C" w:rsidRDefault="0042491E" w:rsidP="0042491E">
      <w:pPr>
        <w:pStyle w:val="MDPI43tablefooter"/>
        <w:ind w:left="0"/>
      </w:pPr>
      <w:r w:rsidRPr="00986B2C">
        <w:t>SD: standard diet; HFD: high-fat diet</w:t>
      </w:r>
    </w:p>
    <w:p w14:paraId="658FAA58" w14:textId="77777777" w:rsidR="0042491E" w:rsidRDefault="0042491E" w:rsidP="0042491E">
      <w:pPr>
        <w:pStyle w:val="MDPI41tablecaption"/>
        <w:spacing w:before="720"/>
        <w:ind w:left="0"/>
      </w:pPr>
      <w:r w:rsidRPr="00FE3F87">
        <w:rPr>
          <w:b/>
          <w:bCs/>
        </w:rPr>
        <w:t xml:space="preserve">Table </w:t>
      </w:r>
      <w:r>
        <w:rPr>
          <w:b/>
          <w:bCs/>
        </w:rPr>
        <w:t>S</w:t>
      </w:r>
      <w:r w:rsidRPr="00FE3F87">
        <w:rPr>
          <w:b/>
          <w:bCs/>
        </w:rPr>
        <w:t>2</w:t>
      </w:r>
      <w:r>
        <w:rPr>
          <w:b/>
          <w:bCs/>
        </w:rPr>
        <w:t>.</w:t>
      </w:r>
      <w:r w:rsidRPr="00B34A87">
        <w:t xml:space="preserve"> </w:t>
      </w:r>
      <w:r>
        <w:t>List of antibodies used for Western Blot</w:t>
      </w:r>
      <w:r w:rsidRPr="00B34A87">
        <w:t>.</w:t>
      </w:r>
    </w:p>
    <w:tbl>
      <w:tblPr>
        <w:tblStyle w:val="1"/>
        <w:tblW w:w="5000" w:type="pct"/>
        <w:tblInd w:w="0" w:type="dxa"/>
        <w:tblBorders>
          <w:top w:val="nil"/>
          <w:left w:val="nil"/>
          <w:bottom w:val="nil"/>
          <w:right w:val="nil"/>
          <w:insideH w:val="nil"/>
          <w:insideV w:val="nil"/>
        </w:tblBorders>
        <w:tblLook w:val="0400" w:firstRow="0" w:lastRow="0" w:firstColumn="0" w:lastColumn="0" w:noHBand="0" w:noVBand="1"/>
      </w:tblPr>
      <w:tblGrid>
        <w:gridCol w:w="1982"/>
        <w:gridCol w:w="2711"/>
        <w:gridCol w:w="789"/>
        <w:gridCol w:w="1405"/>
        <w:gridCol w:w="1059"/>
        <w:gridCol w:w="2520"/>
      </w:tblGrid>
      <w:tr w:rsidR="0042491E" w:rsidRPr="00B354C5" w14:paraId="15E6BD30" w14:textId="77777777" w:rsidTr="002442B7">
        <w:trPr>
          <w:trHeight w:val="397"/>
        </w:trPr>
        <w:tc>
          <w:tcPr>
            <w:tcW w:w="947" w:type="pct"/>
            <w:tcBorders>
              <w:bottom w:val="single" w:sz="4" w:space="0" w:color="000000"/>
            </w:tcBorders>
            <w:vAlign w:val="center"/>
          </w:tcPr>
          <w:p w14:paraId="5386E98E" w14:textId="77777777" w:rsidR="0042491E" w:rsidRPr="00B354C5" w:rsidRDefault="0042491E" w:rsidP="002442B7">
            <w:pPr>
              <w:spacing w:line="480" w:lineRule="auto"/>
              <w:jc w:val="center"/>
              <w:rPr>
                <w:b/>
                <w:sz w:val="18"/>
                <w:szCs w:val="18"/>
              </w:rPr>
            </w:pPr>
            <w:r w:rsidRPr="00B354C5">
              <w:rPr>
                <w:b/>
                <w:sz w:val="18"/>
                <w:szCs w:val="18"/>
              </w:rPr>
              <w:t>Protein/Epitope</w:t>
            </w:r>
          </w:p>
        </w:tc>
        <w:tc>
          <w:tcPr>
            <w:tcW w:w="1295" w:type="pct"/>
            <w:tcBorders>
              <w:bottom w:val="single" w:sz="4" w:space="0" w:color="000000"/>
            </w:tcBorders>
            <w:vAlign w:val="center"/>
          </w:tcPr>
          <w:p w14:paraId="79BAC287" w14:textId="77777777" w:rsidR="0042491E" w:rsidRPr="00B354C5" w:rsidRDefault="0042491E" w:rsidP="002442B7">
            <w:pPr>
              <w:spacing w:line="480" w:lineRule="auto"/>
              <w:jc w:val="center"/>
              <w:rPr>
                <w:b/>
                <w:sz w:val="18"/>
                <w:szCs w:val="18"/>
              </w:rPr>
            </w:pPr>
            <w:r w:rsidRPr="00B354C5">
              <w:rPr>
                <w:b/>
                <w:sz w:val="18"/>
                <w:szCs w:val="18"/>
              </w:rPr>
              <w:t>Source and Catalog number</w:t>
            </w:r>
          </w:p>
        </w:tc>
        <w:tc>
          <w:tcPr>
            <w:tcW w:w="377" w:type="pct"/>
            <w:tcBorders>
              <w:bottom w:val="single" w:sz="4" w:space="0" w:color="000000"/>
            </w:tcBorders>
            <w:vAlign w:val="center"/>
          </w:tcPr>
          <w:p w14:paraId="0CC59BFF" w14:textId="77777777" w:rsidR="0042491E" w:rsidRPr="00B354C5" w:rsidRDefault="0042491E" w:rsidP="002442B7">
            <w:pPr>
              <w:spacing w:line="480" w:lineRule="auto"/>
              <w:jc w:val="center"/>
              <w:rPr>
                <w:b/>
                <w:sz w:val="18"/>
                <w:szCs w:val="18"/>
              </w:rPr>
            </w:pPr>
            <w:r w:rsidRPr="00B354C5">
              <w:rPr>
                <w:b/>
                <w:sz w:val="18"/>
                <w:szCs w:val="18"/>
              </w:rPr>
              <w:t>Host</w:t>
            </w:r>
          </w:p>
        </w:tc>
        <w:tc>
          <w:tcPr>
            <w:tcW w:w="671" w:type="pct"/>
            <w:tcBorders>
              <w:bottom w:val="single" w:sz="4" w:space="0" w:color="000000"/>
            </w:tcBorders>
          </w:tcPr>
          <w:p w14:paraId="13FE4F4B" w14:textId="77777777" w:rsidR="0042491E" w:rsidRPr="00B354C5" w:rsidRDefault="0042491E" w:rsidP="002442B7">
            <w:pPr>
              <w:spacing w:line="480" w:lineRule="auto"/>
              <w:jc w:val="center"/>
              <w:rPr>
                <w:b/>
                <w:sz w:val="18"/>
                <w:szCs w:val="18"/>
              </w:rPr>
            </w:pPr>
            <w:r w:rsidRPr="00B354C5">
              <w:rPr>
                <w:b/>
                <w:sz w:val="18"/>
                <w:szCs w:val="18"/>
              </w:rPr>
              <w:t>Application</w:t>
            </w:r>
          </w:p>
        </w:tc>
        <w:tc>
          <w:tcPr>
            <w:tcW w:w="506" w:type="pct"/>
            <w:tcBorders>
              <w:bottom w:val="single" w:sz="4" w:space="0" w:color="000000"/>
            </w:tcBorders>
          </w:tcPr>
          <w:p w14:paraId="1E34B8EE" w14:textId="77777777" w:rsidR="0042491E" w:rsidRPr="00B354C5" w:rsidRDefault="0042491E" w:rsidP="002442B7">
            <w:pPr>
              <w:spacing w:line="480" w:lineRule="auto"/>
              <w:jc w:val="center"/>
              <w:rPr>
                <w:b/>
                <w:sz w:val="18"/>
                <w:szCs w:val="18"/>
              </w:rPr>
            </w:pPr>
            <w:r w:rsidRPr="00B354C5">
              <w:rPr>
                <w:b/>
                <w:sz w:val="18"/>
                <w:szCs w:val="18"/>
              </w:rPr>
              <w:t>Dilution</w:t>
            </w:r>
          </w:p>
        </w:tc>
        <w:tc>
          <w:tcPr>
            <w:tcW w:w="1205" w:type="pct"/>
            <w:tcBorders>
              <w:bottom w:val="single" w:sz="4" w:space="0" w:color="000000"/>
            </w:tcBorders>
          </w:tcPr>
          <w:p w14:paraId="67A73D47" w14:textId="77777777" w:rsidR="0042491E" w:rsidRPr="00B354C5" w:rsidRDefault="0042491E" w:rsidP="002442B7">
            <w:pPr>
              <w:spacing w:line="480" w:lineRule="auto"/>
              <w:jc w:val="center"/>
              <w:rPr>
                <w:b/>
                <w:sz w:val="18"/>
                <w:szCs w:val="18"/>
              </w:rPr>
            </w:pPr>
            <w:r w:rsidRPr="00B354C5">
              <w:rPr>
                <w:b/>
                <w:sz w:val="18"/>
                <w:szCs w:val="18"/>
              </w:rPr>
              <w:t>Application specific details</w:t>
            </w:r>
          </w:p>
        </w:tc>
      </w:tr>
      <w:tr w:rsidR="0042491E" w:rsidRPr="00B34A87" w14:paraId="5B0278C0" w14:textId="77777777" w:rsidTr="002442B7">
        <w:trPr>
          <w:trHeight w:val="397"/>
        </w:trPr>
        <w:tc>
          <w:tcPr>
            <w:tcW w:w="947" w:type="pct"/>
            <w:vAlign w:val="center"/>
          </w:tcPr>
          <w:p w14:paraId="4FF49F98" w14:textId="77777777" w:rsidR="0042491E" w:rsidRPr="0053640F" w:rsidRDefault="0042491E" w:rsidP="002442B7">
            <w:pPr>
              <w:jc w:val="center"/>
              <w:rPr>
                <w:i/>
                <w:sz w:val="18"/>
                <w:szCs w:val="18"/>
              </w:rPr>
            </w:pPr>
            <w:r w:rsidRPr="0053640F">
              <w:rPr>
                <w:i/>
                <w:sz w:val="18"/>
                <w:szCs w:val="18"/>
              </w:rPr>
              <w:t>Tyrosine hydroxylase</w:t>
            </w:r>
          </w:p>
        </w:tc>
        <w:tc>
          <w:tcPr>
            <w:tcW w:w="1295" w:type="pct"/>
            <w:vAlign w:val="center"/>
          </w:tcPr>
          <w:p w14:paraId="769B7D28" w14:textId="77777777" w:rsidR="0042491E" w:rsidRPr="0053640F" w:rsidRDefault="0042491E" w:rsidP="002442B7">
            <w:pPr>
              <w:jc w:val="center"/>
              <w:rPr>
                <w:color w:val="000000"/>
                <w:sz w:val="18"/>
                <w:szCs w:val="18"/>
              </w:rPr>
            </w:pPr>
            <w:r w:rsidRPr="0053640F">
              <w:rPr>
                <w:color w:val="000000"/>
                <w:sz w:val="18"/>
                <w:szCs w:val="18"/>
              </w:rPr>
              <w:t>Cell Signaling, 2792S</w:t>
            </w:r>
          </w:p>
        </w:tc>
        <w:tc>
          <w:tcPr>
            <w:tcW w:w="377" w:type="pct"/>
            <w:vAlign w:val="center"/>
          </w:tcPr>
          <w:p w14:paraId="461D59CC" w14:textId="77777777" w:rsidR="0042491E" w:rsidRPr="0053640F" w:rsidRDefault="0042491E" w:rsidP="002442B7">
            <w:pPr>
              <w:jc w:val="center"/>
              <w:rPr>
                <w:color w:val="000000"/>
                <w:sz w:val="18"/>
                <w:szCs w:val="18"/>
              </w:rPr>
            </w:pPr>
            <w:r w:rsidRPr="0053640F">
              <w:rPr>
                <w:color w:val="000000"/>
                <w:sz w:val="18"/>
                <w:szCs w:val="18"/>
              </w:rPr>
              <w:t>rabbit</w:t>
            </w:r>
          </w:p>
        </w:tc>
        <w:tc>
          <w:tcPr>
            <w:tcW w:w="671" w:type="pct"/>
            <w:vAlign w:val="center"/>
          </w:tcPr>
          <w:p w14:paraId="6F0AC119" w14:textId="77777777" w:rsidR="0042491E" w:rsidRPr="0053640F" w:rsidRDefault="0042491E" w:rsidP="002442B7">
            <w:pPr>
              <w:jc w:val="center"/>
              <w:rPr>
                <w:color w:val="000000"/>
                <w:sz w:val="18"/>
                <w:szCs w:val="18"/>
              </w:rPr>
            </w:pPr>
            <w:r w:rsidRPr="0053640F">
              <w:rPr>
                <w:color w:val="000000"/>
                <w:sz w:val="18"/>
                <w:szCs w:val="18"/>
              </w:rPr>
              <w:t>Western Blot</w:t>
            </w:r>
          </w:p>
        </w:tc>
        <w:tc>
          <w:tcPr>
            <w:tcW w:w="506" w:type="pct"/>
            <w:vAlign w:val="center"/>
          </w:tcPr>
          <w:p w14:paraId="0A9EBBB2" w14:textId="77777777" w:rsidR="0042491E" w:rsidRPr="0053640F" w:rsidRDefault="0042491E" w:rsidP="002442B7">
            <w:pPr>
              <w:jc w:val="center"/>
              <w:rPr>
                <w:color w:val="000000"/>
                <w:sz w:val="18"/>
                <w:szCs w:val="18"/>
              </w:rPr>
            </w:pPr>
            <w:r w:rsidRPr="0053640F">
              <w:rPr>
                <w:color w:val="000000"/>
                <w:sz w:val="18"/>
                <w:szCs w:val="18"/>
              </w:rPr>
              <w:t>1:1000</w:t>
            </w:r>
          </w:p>
        </w:tc>
        <w:tc>
          <w:tcPr>
            <w:tcW w:w="1205" w:type="pct"/>
            <w:vAlign w:val="center"/>
          </w:tcPr>
          <w:p w14:paraId="06934674" w14:textId="77777777" w:rsidR="0042491E" w:rsidRPr="0053640F" w:rsidRDefault="0042491E" w:rsidP="002442B7">
            <w:pPr>
              <w:jc w:val="center"/>
              <w:rPr>
                <w:color w:val="000000"/>
                <w:sz w:val="18"/>
                <w:szCs w:val="18"/>
              </w:rPr>
            </w:pPr>
            <w:r w:rsidRPr="0053640F">
              <w:rPr>
                <w:color w:val="000000"/>
                <w:sz w:val="18"/>
                <w:szCs w:val="18"/>
              </w:rPr>
              <w:t>5% BSA, overnight, 4°C</w:t>
            </w:r>
          </w:p>
        </w:tc>
      </w:tr>
      <w:tr w:rsidR="0042491E" w:rsidRPr="00B34A87" w14:paraId="342E19B8" w14:textId="77777777" w:rsidTr="002442B7">
        <w:trPr>
          <w:trHeight w:val="397"/>
        </w:trPr>
        <w:tc>
          <w:tcPr>
            <w:tcW w:w="947" w:type="pct"/>
            <w:tcBorders>
              <w:bottom w:val="single" w:sz="4" w:space="0" w:color="auto"/>
            </w:tcBorders>
            <w:vAlign w:val="center"/>
          </w:tcPr>
          <w:p w14:paraId="08DF48D4" w14:textId="77777777" w:rsidR="0042491E" w:rsidRPr="0053640F" w:rsidRDefault="0042491E" w:rsidP="002442B7">
            <w:pPr>
              <w:jc w:val="center"/>
              <w:rPr>
                <w:i/>
                <w:sz w:val="18"/>
                <w:szCs w:val="18"/>
              </w:rPr>
            </w:pPr>
            <w:r w:rsidRPr="0053640F">
              <w:rPr>
                <w:i/>
                <w:sz w:val="18"/>
                <w:szCs w:val="18"/>
              </w:rPr>
              <w:t>Anti-rabbit IgG</w:t>
            </w:r>
          </w:p>
        </w:tc>
        <w:tc>
          <w:tcPr>
            <w:tcW w:w="1295" w:type="pct"/>
            <w:tcBorders>
              <w:bottom w:val="single" w:sz="4" w:space="0" w:color="auto"/>
            </w:tcBorders>
            <w:vAlign w:val="center"/>
          </w:tcPr>
          <w:p w14:paraId="78F98FC7" w14:textId="77777777" w:rsidR="0042491E" w:rsidRPr="0053640F" w:rsidRDefault="0042491E" w:rsidP="002442B7">
            <w:pPr>
              <w:jc w:val="center"/>
              <w:rPr>
                <w:color w:val="000000"/>
                <w:sz w:val="18"/>
                <w:szCs w:val="18"/>
              </w:rPr>
            </w:pPr>
            <w:r w:rsidRPr="0053640F">
              <w:rPr>
                <w:color w:val="000000"/>
                <w:sz w:val="18"/>
                <w:szCs w:val="18"/>
              </w:rPr>
              <w:t>Abcam, ab97051</w:t>
            </w:r>
          </w:p>
        </w:tc>
        <w:tc>
          <w:tcPr>
            <w:tcW w:w="377" w:type="pct"/>
            <w:tcBorders>
              <w:bottom w:val="single" w:sz="4" w:space="0" w:color="auto"/>
            </w:tcBorders>
            <w:vAlign w:val="center"/>
          </w:tcPr>
          <w:p w14:paraId="190DD04A" w14:textId="77777777" w:rsidR="0042491E" w:rsidRPr="0053640F" w:rsidRDefault="0042491E" w:rsidP="002442B7">
            <w:pPr>
              <w:jc w:val="center"/>
              <w:rPr>
                <w:color w:val="000000"/>
                <w:sz w:val="18"/>
                <w:szCs w:val="18"/>
              </w:rPr>
            </w:pPr>
            <w:r w:rsidRPr="0053640F">
              <w:rPr>
                <w:color w:val="000000"/>
                <w:sz w:val="18"/>
                <w:szCs w:val="18"/>
              </w:rPr>
              <w:t>goat</w:t>
            </w:r>
          </w:p>
        </w:tc>
        <w:tc>
          <w:tcPr>
            <w:tcW w:w="671" w:type="pct"/>
            <w:tcBorders>
              <w:bottom w:val="single" w:sz="4" w:space="0" w:color="auto"/>
            </w:tcBorders>
            <w:vAlign w:val="center"/>
          </w:tcPr>
          <w:p w14:paraId="41FC5843" w14:textId="77777777" w:rsidR="0042491E" w:rsidRPr="0053640F" w:rsidRDefault="0042491E" w:rsidP="002442B7">
            <w:pPr>
              <w:jc w:val="center"/>
              <w:rPr>
                <w:color w:val="000000"/>
                <w:sz w:val="18"/>
                <w:szCs w:val="18"/>
              </w:rPr>
            </w:pPr>
            <w:r w:rsidRPr="0053640F">
              <w:rPr>
                <w:color w:val="000000"/>
                <w:sz w:val="18"/>
                <w:szCs w:val="18"/>
              </w:rPr>
              <w:t>Western Blot</w:t>
            </w:r>
          </w:p>
        </w:tc>
        <w:tc>
          <w:tcPr>
            <w:tcW w:w="506" w:type="pct"/>
            <w:tcBorders>
              <w:bottom w:val="single" w:sz="4" w:space="0" w:color="auto"/>
            </w:tcBorders>
            <w:vAlign w:val="center"/>
          </w:tcPr>
          <w:p w14:paraId="08D2D0B8" w14:textId="77777777" w:rsidR="0042491E" w:rsidRPr="0053640F" w:rsidRDefault="0042491E" w:rsidP="002442B7">
            <w:pPr>
              <w:jc w:val="center"/>
              <w:rPr>
                <w:color w:val="000000"/>
                <w:sz w:val="18"/>
                <w:szCs w:val="18"/>
              </w:rPr>
            </w:pPr>
            <w:r w:rsidRPr="0053640F">
              <w:rPr>
                <w:color w:val="000000"/>
                <w:sz w:val="18"/>
                <w:szCs w:val="18"/>
              </w:rPr>
              <w:t>1:50000</w:t>
            </w:r>
          </w:p>
        </w:tc>
        <w:tc>
          <w:tcPr>
            <w:tcW w:w="1205" w:type="pct"/>
            <w:tcBorders>
              <w:bottom w:val="single" w:sz="4" w:space="0" w:color="auto"/>
            </w:tcBorders>
            <w:vAlign w:val="center"/>
          </w:tcPr>
          <w:p w14:paraId="1A9DD62C" w14:textId="77777777" w:rsidR="0042491E" w:rsidRPr="0053640F" w:rsidRDefault="0042491E" w:rsidP="002442B7">
            <w:pPr>
              <w:jc w:val="center"/>
              <w:rPr>
                <w:color w:val="000000"/>
                <w:sz w:val="18"/>
                <w:szCs w:val="18"/>
              </w:rPr>
            </w:pPr>
            <w:r w:rsidRPr="0053640F">
              <w:rPr>
                <w:color w:val="000000"/>
                <w:sz w:val="18"/>
                <w:szCs w:val="18"/>
              </w:rPr>
              <w:t>5% BSA, 1hr RT</w:t>
            </w:r>
          </w:p>
        </w:tc>
      </w:tr>
    </w:tbl>
    <w:p w14:paraId="21AFDACC" w14:textId="77777777" w:rsidR="0042491E" w:rsidRPr="00B34A87" w:rsidRDefault="0042491E" w:rsidP="0042491E">
      <w:pPr>
        <w:pStyle w:val="MDPI41tablecaption"/>
        <w:spacing w:before="720"/>
        <w:ind w:left="0"/>
      </w:pPr>
      <w:r w:rsidRPr="00FE3F87">
        <w:rPr>
          <w:b/>
          <w:bCs/>
        </w:rPr>
        <w:t xml:space="preserve">Table </w:t>
      </w:r>
      <w:r>
        <w:rPr>
          <w:b/>
          <w:bCs/>
        </w:rPr>
        <w:t>S</w:t>
      </w:r>
      <w:r w:rsidRPr="00FE3F87">
        <w:rPr>
          <w:b/>
          <w:bCs/>
        </w:rPr>
        <w:t>3.</w:t>
      </w:r>
      <w:r w:rsidRPr="00B34A87">
        <w:t xml:space="preserve"> </w:t>
      </w:r>
      <w:r>
        <w:t>P</w:t>
      </w:r>
      <w:r w:rsidRPr="00B34A87">
        <w:t>rimer sequences used for qPCR.</w:t>
      </w:r>
    </w:p>
    <w:tbl>
      <w:tblPr>
        <w:tblStyle w:val="1"/>
        <w:tblW w:w="5000" w:type="pct"/>
        <w:tblInd w:w="0" w:type="dxa"/>
        <w:tblBorders>
          <w:top w:val="nil"/>
          <w:left w:val="nil"/>
          <w:bottom w:val="nil"/>
          <w:right w:val="nil"/>
          <w:insideH w:val="nil"/>
          <w:insideV w:val="nil"/>
        </w:tblBorders>
        <w:tblLook w:val="0400" w:firstRow="0" w:lastRow="0" w:firstColumn="0" w:lastColumn="0" w:noHBand="0" w:noVBand="1"/>
      </w:tblPr>
      <w:tblGrid>
        <w:gridCol w:w="1346"/>
        <w:gridCol w:w="4335"/>
        <w:gridCol w:w="4785"/>
      </w:tblGrid>
      <w:tr w:rsidR="0042491E" w:rsidRPr="00986B2C" w14:paraId="72E6B649" w14:textId="77777777" w:rsidTr="002442B7">
        <w:trPr>
          <w:trHeight w:val="397"/>
        </w:trPr>
        <w:tc>
          <w:tcPr>
            <w:tcW w:w="643" w:type="pct"/>
            <w:tcBorders>
              <w:bottom w:val="single" w:sz="4" w:space="0" w:color="000000"/>
            </w:tcBorders>
            <w:vAlign w:val="center"/>
          </w:tcPr>
          <w:p w14:paraId="726996E7" w14:textId="77777777" w:rsidR="0042491E" w:rsidRPr="00986B2C" w:rsidRDefault="0042491E" w:rsidP="002442B7">
            <w:pPr>
              <w:spacing w:line="480" w:lineRule="auto"/>
              <w:jc w:val="center"/>
              <w:rPr>
                <w:b/>
                <w:sz w:val="18"/>
                <w:szCs w:val="18"/>
              </w:rPr>
            </w:pPr>
            <w:r w:rsidRPr="00986B2C">
              <w:rPr>
                <w:b/>
                <w:sz w:val="18"/>
                <w:szCs w:val="18"/>
              </w:rPr>
              <w:t>Gene</w:t>
            </w:r>
          </w:p>
        </w:tc>
        <w:tc>
          <w:tcPr>
            <w:tcW w:w="2071" w:type="pct"/>
            <w:tcBorders>
              <w:bottom w:val="single" w:sz="4" w:space="0" w:color="000000"/>
            </w:tcBorders>
            <w:vAlign w:val="center"/>
          </w:tcPr>
          <w:p w14:paraId="57CF111B" w14:textId="77777777" w:rsidR="0042491E" w:rsidRPr="00986B2C" w:rsidRDefault="0042491E" w:rsidP="002442B7">
            <w:pPr>
              <w:spacing w:line="480" w:lineRule="auto"/>
              <w:jc w:val="center"/>
              <w:rPr>
                <w:b/>
                <w:sz w:val="18"/>
                <w:szCs w:val="18"/>
              </w:rPr>
            </w:pPr>
            <w:r w:rsidRPr="00986B2C">
              <w:rPr>
                <w:b/>
                <w:sz w:val="18"/>
                <w:szCs w:val="18"/>
              </w:rPr>
              <w:t>Forward sequence</w:t>
            </w:r>
          </w:p>
        </w:tc>
        <w:tc>
          <w:tcPr>
            <w:tcW w:w="2286" w:type="pct"/>
            <w:tcBorders>
              <w:bottom w:val="single" w:sz="4" w:space="0" w:color="000000"/>
            </w:tcBorders>
            <w:vAlign w:val="center"/>
          </w:tcPr>
          <w:p w14:paraId="3DD015F2" w14:textId="77777777" w:rsidR="0042491E" w:rsidRPr="00986B2C" w:rsidRDefault="0042491E" w:rsidP="002442B7">
            <w:pPr>
              <w:spacing w:line="480" w:lineRule="auto"/>
              <w:jc w:val="center"/>
              <w:rPr>
                <w:b/>
                <w:sz w:val="18"/>
                <w:szCs w:val="18"/>
              </w:rPr>
            </w:pPr>
            <w:r w:rsidRPr="00986B2C">
              <w:rPr>
                <w:b/>
                <w:sz w:val="18"/>
                <w:szCs w:val="18"/>
              </w:rPr>
              <w:t>Reverse sequence</w:t>
            </w:r>
          </w:p>
        </w:tc>
      </w:tr>
      <w:tr w:rsidR="0042491E" w:rsidRPr="00986B2C" w14:paraId="175D0A76" w14:textId="77777777" w:rsidTr="002442B7">
        <w:trPr>
          <w:trHeight w:val="397"/>
        </w:trPr>
        <w:tc>
          <w:tcPr>
            <w:tcW w:w="643" w:type="pct"/>
            <w:vAlign w:val="center"/>
          </w:tcPr>
          <w:p w14:paraId="17EBF267" w14:textId="77777777" w:rsidR="0042491E" w:rsidRPr="00986B2C" w:rsidRDefault="0042491E" w:rsidP="002442B7">
            <w:pPr>
              <w:jc w:val="center"/>
              <w:rPr>
                <w:i/>
                <w:sz w:val="18"/>
                <w:szCs w:val="18"/>
              </w:rPr>
            </w:pPr>
            <w:r w:rsidRPr="00986B2C">
              <w:rPr>
                <w:i/>
                <w:sz w:val="18"/>
                <w:szCs w:val="18"/>
              </w:rPr>
              <w:t>NPY</w:t>
            </w:r>
          </w:p>
        </w:tc>
        <w:tc>
          <w:tcPr>
            <w:tcW w:w="2071" w:type="pct"/>
            <w:vAlign w:val="center"/>
          </w:tcPr>
          <w:p w14:paraId="51BF11D7" w14:textId="77777777" w:rsidR="0042491E" w:rsidRPr="00986B2C" w:rsidRDefault="0042491E" w:rsidP="002442B7">
            <w:pPr>
              <w:jc w:val="center"/>
              <w:rPr>
                <w:color w:val="000000"/>
                <w:sz w:val="18"/>
                <w:szCs w:val="18"/>
              </w:rPr>
            </w:pPr>
            <w:r w:rsidRPr="00986B2C">
              <w:rPr>
                <w:color w:val="222222"/>
                <w:sz w:val="18"/>
                <w:szCs w:val="18"/>
                <w:highlight w:val="white"/>
              </w:rPr>
              <w:t xml:space="preserve">5’ </w:t>
            </w:r>
            <w:r w:rsidRPr="00986B2C">
              <w:rPr>
                <w:color w:val="222222"/>
                <w:sz w:val="18"/>
                <w:szCs w:val="18"/>
              </w:rPr>
              <w:t xml:space="preserve">CAGATACTACTCCGCTCTGC </w:t>
            </w:r>
            <w:r w:rsidRPr="00986B2C">
              <w:rPr>
                <w:color w:val="222222"/>
                <w:sz w:val="18"/>
                <w:szCs w:val="18"/>
                <w:highlight w:val="white"/>
              </w:rPr>
              <w:t>3’</w:t>
            </w:r>
          </w:p>
        </w:tc>
        <w:tc>
          <w:tcPr>
            <w:tcW w:w="2286" w:type="pct"/>
            <w:vAlign w:val="center"/>
          </w:tcPr>
          <w:p w14:paraId="2A1C3654" w14:textId="77777777" w:rsidR="0042491E" w:rsidRPr="00986B2C" w:rsidRDefault="0042491E" w:rsidP="002442B7">
            <w:pPr>
              <w:jc w:val="center"/>
              <w:rPr>
                <w:color w:val="000000"/>
                <w:sz w:val="18"/>
                <w:szCs w:val="18"/>
              </w:rPr>
            </w:pPr>
            <w:r w:rsidRPr="00986B2C">
              <w:rPr>
                <w:color w:val="222222"/>
                <w:sz w:val="18"/>
                <w:szCs w:val="18"/>
                <w:highlight w:val="white"/>
              </w:rPr>
              <w:t xml:space="preserve">5’ </w:t>
            </w:r>
            <w:r w:rsidRPr="00986B2C">
              <w:rPr>
                <w:color w:val="222222"/>
                <w:sz w:val="18"/>
                <w:szCs w:val="18"/>
              </w:rPr>
              <w:t xml:space="preserve">AAGGGTCTTCAAGCCTTGTT </w:t>
            </w:r>
            <w:r w:rsidRPr="00986B2C">
              <w:rPr>
                <w:color w:val="222222"/>
                <w:sz w:val="18"/>
                <w:szCs w:val="18"/>
                <w:highlight w:val="white"/>
              </w:rPr>
              <w:t>3’</w:t>
            </w:r>
          </w:p>
        </w:tc>
      </w:tr>
      <w:tr w:rsidR="0042491E" w:rsidRPr="00986B2C" w14:paraId="4C47E4CD" w14:textId="77777777" w:rsidTr="002442B7">
        <w:trPr>
          <w:trHeight w:val="397"/>
        </w:trPr>
        <w:tc>
          <w:tcPr>
            <w:tcW w:w="643" w:type="pct"/>
            <w:tcBorders>
              <w:bottom w:val="single" w:sz="4" w:space="0" w:color="auto"/>
            </w:tcBorders>
            <w:vAlign w:val="center"/>
          </w:tcPr>
          <w:p w14:paraId="67671174" w14:textId="77777777" w:rsidR="0042491E" w:rsidRPr="00986B2C" w:rsidRDefault="0042491E" w:rsidP="002442B7">
            <w:pPr>
              <w:jc w:val="center"/>
              <w:rPr>
                <w:i/>
                <w:sz w:val="18"/>
                <w:szCs w:val="18"/>
              </w:rPr>
            </w:pPr>
            <w:proofErr w:type="spellStart"/>
            <w:r w:rsidRPr="00986B2C">
              <w:rPr>
                <w:i/>
                <w:sz w:val="18"/>
                <w:szCs w:val="18"/>
              </w:rPr>
              <w:t>Gapdh</w:t>
            </w:r>
            <w:proofErr w:type="spellEnd"/>
          </w:p>
        </w:tc>
        <w:tc>
          <w:tcPr>
            <w:tcW w:w="2071" w:type="pct"/>
            <w:tcBorders>
              <w:bottom w:val="single" w:sz="4" w:space="0" w:color="auto"/>
            </w:tcBorders>
            <w:vAlign w:val="center"/>
          </w:tcPr>
          <w:p w14:paraId="78157F01" w14:textId="77777777" w:rsidR="0042491E" w:rsidRPr="00986B2C" w:rsidRDefault="0042491E" w:rsidP="002442B7">
            <w:pPr>
              <w:jc w:val="center"/>
              <w:rPr>
                <w:color w:val="222222"/>
                <w:sz w:val="18"/>
                <w:szCs w:val="18"/>
                <w:highlight w:val="white"/>
              </w:rPr>
            </w:pPr>
            <w:r w:rsidRPr="00986B2C">
              <w:rPr>
                <w:color w:val="222222"/>
                <w:sz w:val="18"/>
                <w:szCs w:val="18"/>
                <w:highlight w:val="white"/>
              </w:rPr>
              <w:t>5’</w:t>
            </w:r>
            <w:r w:rsidRPr="00986B2C">
              <w:rPr>
                <w:sz w:val="18"/>
                <w:szCs w:val="18"/>
              </w:rPr>
              <w:t xml:space="preserve"> </w:t>
            </w:r>
            <w:r w:rsidRPr="00986B2C">
              <w:rPr>
                <w:color w:val="222222"/>
                <w:sz w:val="18"/>
                <w:szCs w:val="18"/>
              </w:rPr>
              <w:t>CAACTCCCTCAAGATTGTCAGCAA 3’</w:t>
            </w:r>
          </w:p>
        </w:tc>
        <w:tc>
          <w:tcPr>
            <w:tcW w:w="2286" w:type="pct"/>
            <w:tcBorders>
              <w:bottom w:val="single" w:sz="4" w:space="0" w:color="auto"/>
            </w:tcBorders>
            <w:vAlign w:val="center"/>
          </w:tcPr>
          <w:p w14:paraId="6BB650D5" w14:textId="77777777" w:rsidR="0042491E" w:rsidRPr="00986B2C" w:rsidRDefault="0042491E" w:rsidP="002442B7">
            <w:pPr>
              <w:jc w:val="center"/>
              <w:rPr>
                <w:color w:val="222222"/>
                <w:sz w:val="18"/>
                <w:szCs w:val="18"/>
                <w:highlight w:val="white"/>
              </w:rPr>
            </w:pPr>
            <w:r w:rsidRPr="00986B2C">
              <w:rPr>
                <w:color w:val="222222"/>
                <w:sz w:val="18"/>
                <w:szCs w:val="18"/>
                <w:highlight w:val="white"/>
              </w:rPr>
              <w:t>5’</w:t>
            </w:r>
            <w:r w:rsidRPr="00986B2C">
              <w:rPr>
                <w:sz w:val="18"/>
                <w:szCs w:val="18"/>
              </w:rPr>
              <w:t xml:space="preserve"> </w:t>
            </w:r>
            <w:r w:rsidRPr="00986B2C">
              <w:rPr>
                <w:color w:val="222222"/>
                <w:sz w:val="18"/>
                <w:szCs w:val="18"/>
              </w:rPr>
              <w:t>GGCATGGACTGTGGTCATGA 3’</w:t>
            </w:r>
          </w:p>
        </w:tc>
      </w:tr>
    </w:tbl>
    <w:p w14:paraId="68309B90" w14:textId="77777777" w:rsidR="0042491E" w:rsidRPr="00550626" w:rsidRDefault="0042491E" w:rsidP="0042491E">
      <w:pPr>
        <w:pStyle w:val="MDPI16affiliation"/>
      </w:pPr>
    </w:p>
    <w:sectPr w:rsidR="0042491E" w:rsidRPr="00550626" w:rsidSect="00C57E47">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6129" w14:textId="77777777" w:rsidR="00FB4F55" w:rsidRDefault="00FB4F55">
      <w:r>
        <w:separator/>
      </w:r>
    </w:p>
  </w:endnote>
  <w:endnote w:type="continuationSeparator" w:id="0">
    <w:p w14:paraId="486916ED" w14:textId="77777777" w:rsidR="00FB4F55" w:rsidRDefault="00FB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AF0F" w14:textId="77777777" w:rsidR="00C90B3B" w:rsidRPr="00885BB0" w:rsidRDefault="00C90B3B" w:rsidP="00C90B3B">
    <w:pPr>
      <w:pStyle w:val="Rodap"/>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E754" w14:textId="77777777" w:rsidR="0045699E" w:rsidRDefault="0045699E" w:rsidP="00F25C65">
    <w:pPr>
      <w:pStyle w:val="MDPIfooterfirstpage"/>
      <w:pBdr>
        <w:top w:val="single" w:sz="4" w:space="0" w:color="000000"/>
      </w:pBdr>
      <w:adjustRightInd w:val="0"/>
      <w:snapToGrid w:val="0"/>
      <w:spacing w:before="480" w:line="100" w:lineRule="exact"/>
      <w:rPr>
        <w:i/>
        <w:szCs w:val="16"/>
      </w:rPr>
    </w:pPr>
  </w:p>
  <w:p w14:paraId="1F996972" w14:textId="77777777" w:rsidR="00C90B3B" w:rsidRPr="008B308E" w:rsidRDefault="00C90B3B" w:rsidP="000943F3">
    <w:pPr>
      <w:pStyle w:val="MDPIfooterfirstpage"/>
      <w:tabs>
        <w:tab w:val="clear" w:pos="8845"/>
        <w:tab w:val="right" w:pos="10466"/>
      </w:tabs>
      <w:spacing w:line="240" w:lineRule="auto"/>
      <w:jc w:val="both"/>
      <w:rPr>
        <w:lang w:val="fr-CH"/>
      </w:rPr>
    </w:pPr>
    <w:r w:rsidRPr="00141586">
      <w:rPr>
        <w:i/>
        <w:szCs w:val="16"/>
      </w:rPr>
      <w:t>Nutrients</w:t>
    </w:r>
    <w:r w:rsidRPr="00A70616">
      <w:rPr>
        <w:iCs/>
        <w:szCs w:val="16"/>
      </w:rPr>
      <w:t xml:space="preserve"> </w:t>
    </w:r>
    <w:r w:rsidR="00D30929">
      <w:rPr>
        <w:b/>
        <w:bCs/>
        <w:iCs/>
        <w:szCs w:val="16"/>
      </w:rPr>
      <w:t>2023</w:t>
    </w:r>
    <w:r w:rsidR="008313A9" w:rsidRPr="008313A9">
      <w:rPr>
        <w:bCs/>
        <w:iCs/>
        <w:szCs w:val="16"/>
      </w:rPr>
      <w:t>,</w:t>
    </w:r>
    <w:r w:rsidR="00D30929">
      <w:rPr>
        <w:bCs/>
        <w:i/>
        <w:iCs/>
        <w:szCs w:val="16"/>
      </w:rPr>
      <w:t xml:space="preserve"> 15</w:t>
    </w:r>
    <w:r w:rsidR="008313A9" w:rsidRPr="008313A9">
      <w:rPr>
        <w:bCs/>
        <w:iCs/>
        <w:szCs w:val="16"/>
      </w:rPr>
      <w:t xml:space="preserve">, </w:t>
    </w:r>
    <w:r w:rsidR="00831BDE">
      <w:rPr>
        <w:bCs/>
        <w:iCs/>
        <w:szCs w:val="16"/>
      </w:rPr>
      <w:t>x</w:t>
    </w:r>
    <w:r w:rsidR="0045699E">
      <w:rPr>
        <w:bCs/>
        <w:iCs/>
        <w:szCs w:val="16"/>
      </w:rPr>
      <w:t>. https://doi.org/10.3390/xxxxx</w:t>
    </w:r>
    <w:r w:rsidR="000943F3" w:rsidRPr="008B308E">
      <w:rPr>
        <w:lang w:val="fr-CH"/>
      </w:rPr>
      <w:tab/>
    </w:r>
    <w:r w:rsidRPr="008B308E">
      <w:rPr>
        <w:lang w:val="fr-CH"/>
      </w:rPr>
      <w:t>www.mdpi.com/journal/</w:t>
    </w:r>
    <w:r>
      <w:t>nutrients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7E35E" w14:textId="77777777" w:rsidR="00FB4F55" w:rsidRDefault="00FB4F55">
      <w:r>
        <w:separator/>
      </w:r>
    </w:p>
  </w:footnote>
  <w:footnote w:type="continuationSeparator" w:id="0">
    <w:p w14:paraId="7679CB97" w14:textId="77777777" w:rsidR="00FB4F55" w:rsidRDefault="00FB4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7B56" w14:textId="77777777" w:rsidR="00C90B3B" w:rsidRDefault="00C90B3B" w:rsidP="00C90B3B">
    <w:pPr>
      <w:pStyle w:val="Cabealh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8228" w14:textId="77777777" w:rsidR="0045699E" w:rsidRDefault="00C90B3B" w:rsidP="000943F3">
    <w:pPr>
      <w:tabs>
        <w:tab w:val="right" w:pos="10466"/>
      </w:tabs>
      <w:adjustRightInd w:val="0"/>
      <w:snapToGrid w:val="0"/>
      <w:rPr>
        <w:sz w:val="16"/>
      </w:rPr>
    </w:pPr>
    <w:r>
      <w:rPr>
        <w:i/>
        <w:sz w:val="16"/>
      </w:rPr>
      <w:t xml:space="preserve">Nutrients </w:t>
    </w:r>
    <w:r w:rsidR="00D30929">
      <w:rPr>
        <w:b/>
        <w:sz w:val="16"/>
      </w:rPr>
      <w:t>2023</w:t>
    </w:r>
    <w:r w:rsidR="008313A9" w:rsidRPr="008313A9">
      <w:rPr>
        <w:sz w:val="16"/>
      </w:rPr>
      <w:t>,</w:t>
    </w:r>
    <w:r w:rsidR="00D30929">
      <w:rPr>
        <w:i/>
        <w:sz w:val="16"/>
      </w:rPr>
      <w:t xml:space="preserve"> 15</w:t>
    </w:r>
    <w:r w:rsidR="00831BDE">
      <w:rPr>
        <w:sz w:val="16"/>
      </w:rPr>
      <w:t>, x FOR PEER REVIEW</w:t>
    </w:r>
    <w:r w:rsidR="000943F3">
      <w:rPr>
        <w:sz w:val="16"/>
      </w:rPr>
      <w:tab/>
    </w:r>
    <w:r w:rsidR="00831BDE">
      <w:rPr>
        <w:sz w:val="16"/>
      </w:rPr>
      <w:fldChar w:fldCharType="begin"/>
    </w:r>
    <w:r w:rsidR="00831BDE">
      <w:rPr>
        <w:sz w:val="16"/>
      </w:rPr>
      <w:instrText xml:space="preserve"> PAGE   \* MERGEFORMAT </w:instrText>
    </w:r>
    <w:r w:rsidR="00831BDE">
      <w:rPr>
        <w:sz w:val="16"/>
      </w:rPr>
      <w:fldChar w:fldCharType="separate"/>
    </w:r>
    <w:r w:rsidR="00C97651">
      <w:rPr>
        <w:sz w:val="16"/>
      </w:rPr>
      <w:t>5</w:t>
    </w:r>
    <w:r w:rsidR="00831BDE">
      <w:rPr>
        <w:sz w:val="16"/>
      </w:rPr>
      <w:fldChar w:fldCharType="end"/>
    </w:r>
    <w:r w:rsidR="00831BDE">
      <w:rPr>
        <w:sz w:val="16"/>
      </w:rPr>
      <w:t xml:space="preserve"> of </w:t>
    </w:r>
    <w:r w:rsidR="00831BDE">
      <w:rPr>
        <w:sz w:val="16"/>
      </w:rPr>
      <w:fldChar w:fldCharType="begin"/>
    </w:r>
    <w:r w:rsidR="00831BDE">
      <w:rPr>
        <w:sz w:val="16"/>
      </w:rPr>
      <w:instrText xml:space="preserve"> NUMPAGES   \* MERGEFORMAT </w:instrText>
    </w:r>
    <w:r w:rsidR="00831BDE">
      <w:rPr>
        <w:sz w:val="16"/>
      </w:rPr>
      <w:fldChar w:fldCharType="separate"/>
    </w:r>
    <w:r w:rsidR="00C97651">
      <w:rPr>
        <w:sz w:val="16"/>
      </w:rPr>
      <w:t>5</w:t>
    </w:r>
    <w:r w:rsidR="00831BDE">
      <w:rPr>
        <w:sz w:val="16"/>
      </w:rPr>
      <w:fldChar w:fldCharType="end"/>
    </w:r>
  </w:p>
  <w:p w14:paraId="4F4818D0" w14:textId="77777777" w:rsidR="00C90B3B" w:rsidRPr="00310EBF" w:rsidRDefault="00C90B3B" w:rsidP="00F25C65">
    <w:pPr>
      <w:pBdr>
        <w:bottom w:val="single" w:sz="4" w:space="1" w:color="000000"/>
      </w:pBdr>
      <w:tabs>
        <w:tab w:val="right" w:pos="8844"/>
      </w:tabs>
      <w:adjustRightInd w:val="0"/>
      <w:snapToGrid w:val="0"/>
      <w:spacing w:after="480" w:line="100" w:lineRule="exac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45699E" w:rsidRPr="000943F3" w14:paraId="36491796" w14:textId="77777777" w:rsidTr="00FE6B4A">
      <w:trPr>
        <w:trHeight w:val="686"/>
      </w:trPr>
      <w:tc>
        <w:tcPr>
          <w:tcW w:w="3679" w:type="dxa"/>
          <w:shd w:val="clear" w:color="auto" w:fill="auto"/>
          <w:vAlign w:val="center"/>
        </w:tcPr>
        <w:p w14:paraId="76F7E0FD" w14:textId="77777777" w:rsidR="0045699E" w:rsidRPr="00D15AC3" w:rsidRDefault="0013280E" w:rsidP="000943F3">
          <w:pPr>
            <w:pStyle w:val="Cabealho"/>
            <w:pBdr>
              <w:bottom w:val="none" w:sz="0" w:space="0" w:color="auto"/>
            </w:pBdr>
            <w:jc w:val="left"/>
            <w:rPr>
              <w:rFonts w:eastAsia="DengXian"/>
              <w:b/>
              <w:bCs/>
            </w:rPr>
          </w:pPr>
          <w:r w:rsidRPr="00D15AC3">
            <w:rPr>
              <w:rFonts w:eastAsia="DengXian"/>
              <w:b/>
              <w:bCs/>
            </w:rPr>
            <w:drawing>
              <wp:inline distT="0" distB="0" distL="0" distR="0" wp14:anchorId="3F97027F" wp14:editId="1F47AA5D">
                <wp:extent cx="1704340" cy="429260"/>
                <wp:effectExtent l="0" t="0" r="0" b="0"/>
                <wp:docPr id="1"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29260"/>
                        </a:xfrm>
                        <a:prstGeom prst="rect">
                          <a:avLst/>
                        </a:prstGeom>
                        <a:noFill/>
                        <a:ln>
                          <a:noFill/>
                        </a:ln>
                      </pic:spPr>
                    </pic:pic>
                  </a:graphicData>
                </a:graphic>
              </wp:inline>
            </w:drawing>
          </w:r>
        </w:p>
      </w:tc>
      <w:tc>
        <w:tcPr>
          <w:tcW w:w="4535" w:type="dxa"/>
          <w:shd w:val="clear" w:color="auto" w:fill="auto"/>
          <w:vAlign w:val="center"/>
        </w:tcPr>
        <w:p w14:paraId="1E7F34E9" w14:textId="77777777" w:rsidR="0045699E" w:rsidRPr="00D15AC3" w:rsidRDefault="0045699E" w:rsidP="000943F3">
          <w:pPr>
            <w:pStyle w:val="Cabealho"/>
            <w:pBdr>
              <w:bottom w:val="none" w:sz="0" w:space="0" w:color="auto"/>
            </w:pBdr>
            <w:rPr>
              <w:rFonts w:eastAsia="DengXian"/>
              <w:b/>
              <w:bCs/>
            </w:rPr>
          </w:pPr>
        </w:p>
      </w:tc>
      <w:tc>
        <w:tcPr>
          <w:tcW w:w="2273" w:type="dxa"/>
          <w:shd w:val="clear" w:color="auto" w:fill="auto"/>
          <w:vAlign w:val="center"/>
        </w:tcPr>
        <w:p w14:paraId="111D90CF" w14:textId="77777777" w:rsidR="0045699E" w:rsidRPr="00D15AC3" w:rsidRDefault="00FE6B4A" w:rsidP="00FE6B4A">
          <w:pPr>
            <w:pStyle w:val="Cabealho"/>
            <w:pBdr>
              <w:bottom w:val="none" w:sz="0" w:space="0" w:color="auto"/>
            </w:pBdr>
            <w:jc w:val="right"/>
            <w:rPr>
              <w:rFonts w:eastAsia="DengXian"/>
              <w:b/>
              <w:bCs/>
            </w:rPr>
          </w:pPr>
          <w:r>
            <w:rPr>
              <w:rFonts w:eastAsia="DengXian"/>
              <w:b/>
              <w:bCs/>
            </w:rPr>
            <w:drawing>
              <wp:inline distT="0" distB="0" distL="0" distR="0" wp14:anchorId="1B5F7EAA" wp14:editId="398B012C">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2D1AACC9" w14:textId="77777777" w:rsidR="00C90B3B" w:rsidRPr="0045699E" w:rsidRDefault="00C90B3B" w:rsidP="00F25C65">
    <w:pPr>
      <w:pBdr>
        <w:bottom w:val="single" w:sz="4" w:space="1" w:color="000000"/>
      </w:pBdr>
      <w:adjustRightInd w:val="0"/>
      <w:snapToGrid w:val="0"/>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6D00"/>
    <w:multiLevelType w:val="hybridMultilevel"/>
    <w:tmpl w:val="8F4A89D6"/>
    <w:lvl w:ilvl="0" w:tplc="D4ECF69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CD3E7292"/>
    <w:lvl w:ilvl="0" w:tplc="F7B6C75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FC80097"/>
    <w:multiLevelType w:val="hybridMultilevel"/>
    <w:tmpl w:val="DE12E9C8"/>
    <w:lvl w:ilvl="0" w:tplc="8D8CDB2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61A3F4C"/>
    <w:multiLevelType w:val="hybridMultilevel"/>
    <w:tmpl w:val="5D841F04"/>
    <w:lvl w:ilvl="0" w:tplc="C3B0C1F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39022">
    <w:abstractNumId w:val="5"/>
  </w:num>
  <w:num w:numId="2" w16cid:durableId="1871070396">
    <w:abstractNumId w:val="7"/>
  </w:num>
  <w:num w:numId="3" w16cid:durableId="912589453">
    <w:abstractNumId w:val="4"/>
  </w:num>
  <w:num w:numId="4" w16cid:durableId="976842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694436">
    <w:abstractNumId w:val="6"/>
  </w:num>
  <w:num w:numId="6" w16cid:durableId="1366296750">
    <w:abstractNumId w:val="9"/>
  </w:num>
  <w:num w:numId="7" w16cid:durableId="1720665601">
    <w:abstractNumId w:val="2"/>
  </w:num>
  <w:num w:numId="8" w16cid:durableId="1169908287">
    <w:abstractNumId w:val="9"/>
  </w:num>
  <w:num w:numId="9" w16cid:durableId="1005354364">
    <w:abstractNumId w:val="2"/>
  </w:num>
  <w:num w:numId="10" w16cid:durableId="808278404">
    <w:abstractNumId w:val="9"/>
  </w:num>
  <w:num w:numId="11" w16cid:durableId="2078086066">
    <w:abstractNumId w:val="2"/>
  </w:num>
  <w:num w:numId="12" w16cid:durableId="623267721">
    <w:abstractNumId w:val="11"/>
  </w:num>
  <w:num w:numId="13" w16cid:durableId="1414817629">
    <w:abstractNumId w:val="9"/>
  </w:num>
  <w:num w:numId="14" w16cid:durableId="1180512512">
    <w:abstractNumId w:val="2"/>
  </w:num>
  <w:num w:numId="15" w16cid:durableId="857161393">
    <w:abstractNumId w:val="1"/>
  </w:num>
  <w:num w:numId="16" w16cid:durableId="1084767157">
    <w:abstractNumId w:val="8"/>
  </w:num>
  <w:num w:numId="17" w16cid:durableId="1200627556">
    <w:abstractNumId w:val="0"/>
  </w:num>
  <w:num w:numId="18" w16cid:durableId="886650859">
    <w:abstractNumId w:val="9"/>
  </w:num>
  <w:num w:numId="19" w16cid:durableId="611398766">
    <w:abstractNumId w:val="2"/>
  </w:num>
  <w:num w:numId="20" w16cid:durableId="27878980">
    <w:abstractNumId w:val="1"/>
  </w:num>
  <w:num w:numId="21" w16cid:durableId="2065638470">
    <w:abstractNumId w:val="0"/>
  </w:num>
  <w:num w:numId="22" w16cid:durableId="1337999985">
    <w:abstractNumId w:val="10"/>
  </w:num>
  <w:num w:numId="23" w16cid:durableId="1670211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77"/>
    <w:rsid w:val="00030FCE"/>
    <w:rsid w:val="000330FF"/>
    <w:rsid w:val="00070240"/>
    <w:rsid w:val="00077A11"/>
    <w:rsid w:val="0008055A"/>
    <w:rsid w:val="000943F3"/>
    <w:rsid w:val="000A0720"/>
    <w:rsid w:val="000B6163"/>
    <w:rsid w:val="000E5185"/>
    <w:rsid w:val="000F03E2"/>
    <w:rsid w:val="000F4FF5"/>
    <w:rsid w:val="0013280E"/>
    <w:rsid w:val="001376AB"/>
    <w:rsid w:val="00147C72"/>
    <w:rsid w:val="00173DDF"/>
    <w:rsid w:val="00180CCD"/>
    <w:rsid w:val="00192EF9"/>
    <w:rsid w:val="00197A9B"/>
    <w:rsid w:val="001B7D47"/>
    <w:rsid w:val="001D43A5"/>
    <w:rsid w:val="001E2AEB"/>
    <w:rsid w:val="001E4BE2"/>
    <w:rsid w:val="00202E01"/>
    <w:rsid w:val="0020578D"/>
    <w:rsid w:val="00211C8D"/>
    <w:rsid w:val="0021329E"/>
    <w:rsid w:val="002549C8"/>
    <w:rsid w:val="00264F54"/>
    <w:rsid w:val="0027719E"/>
    <w:rsid w:val="00277B9C"/>
    <w:rsid w:val="0029512B"/>
    <w:rsid w:val="002B13D7"/>
    <w:rsid w:val="002C5127"/>
    <w:rsid w:val="00326141"/>
    <w:rsid w:val="00341D7D"/>
    <w:rsid w:val="00355677"/>
    <w:rsid w:val="00370457"/>
    <w:rsid w:val="00390107"/>
    <w:rsid w:val="003934AC"/>
    <w:rsid w:val="003B11AD"/>
    <w:rsid w:val="003B1F9E"/>
    <w:rsid w:val="003E4154"/>
    <w:rsid w:val="00401D30"/>
    <w:rsid w:val="00413234"/>
    <w:rsid w:val="0042491E"/>
    <w:rsid w:val="00435811"/>
    <w:rsid w:val="004564EF"/>
    <w:rsid w:val="0045699E"/>
    <w:rsid w:val="00461281"/>
    <w:rsid w:val="004A6A50"/>
    <w:rsid w:val="004B543E"/>
    <w:rsid w:val="004B786D"/>
    <w:rsid w:val="004C025E"/>
    <w:rsid w:val="004C210B"/>
    <w:rsid w:val="004C3BAD"/>
    <w:rsid w:val="004D39A2"/>
    <w:rsid w:val="00520DC1"/>
    <w:rsid w:val="00521B0E"/>
    <w:rsid w:val="00557412"/>
    <w:rsid w:val="0058522B"/>
    <w:rsid w:val="005902CF"/>
    <w:rsid w:val="005A435E"/>
    <w:rsid w:val="005A6E37"/>
    <w:rsid w:val="005A79DF"/>
    <w:rsid w:val="005C71E1"/>
    <w:rsid w:val="005C74F1"/>
    <w:rsid w:val="005E3F38"/>
    <w:rsid w:val="0060709B"/>
    <w:rsid w:val="00610718"/>
    <w:rsid w:val="00612EEA"/>
    <w:rsid w:val="00615062"/>
    <w:rsid w:val="006349C5"/>
    <w:rsid w:val="00645667"/>
    <w:rsid w:val="00657213"/>
    <w:rsid w:val="00657B19"/>
    <w:rsid w:val="006659ED"/>
    <w:rsid w:val="00666D33"/>
    <w:rsid w:val="00692393"/>
    <w:rsid w:val="0069485F"/>
    <w:rsid w:val="006C5F6E"/>
    <w:rsid w:val="006D5B1F"/>
    <w:rsid w:val="006F0855"/>
    <w:rsid w:val="00703117"/>
    <w:rsid w:val="0070418D"/>
    <w:rsid w:val="00721BCF"/>
    <w:rsid w:val="00742B3E"/>
    <w:rsid w:val="00743AB9"/>
    <w:rsid w:val="00747DA1"/>
    <w:rsid w:val="00762A45"/>
    <w:rsid w:val="007944C0"/>
    <w:rsid w:val="00797D64"/>
    <w:rsid w:val="007D0BB0"/>
    <w:rsid w:val="00801504"/>
    <w:rsid w:val="00830F91"/>
    <w:rsid w:val="008313A9"/>
    <w:rsid w:val="00831BDE"/>
    <w:rsid w:val="0084006D"/>
    <w:rsid w:val="008427A3"/>
    <w:rsid w:val="00850CDD"/>
    <w:rsid w:val="00882750"/>
    <w:rsid w:val="008838D2"/>
    <w:rsid w:val="00891137"/>
    <w:rsid w:val="008949C9"/>
    <w:rsid w:val="008A2B64"/>
    <w:rsid w:val="008B5FC5"/>
    <w:rsid w:val="008C455F"/>
    <w:rsid w:val="008D534B"/>
    <w:rsid w:val="008E01FB"/>
    <w:rsid w:val="008E0DD3"/>
    <w:rsid w:val="00900766"/>
    <w:rsid w:val="009067EF"/>
    <w:rsid w:val="00913501"/>
    <w:rsid w:val="00915BFC"/>
    <w:rsid w:val="00937C38"/>
    <w:rsid w:val="00980381"/>
    <w:rsid w:val="009905E2"/>
    <w:rsid w:val="0099746A"/>
    <w:rsid w:val="009A6662"/>
    <w:rsid w:val="009B1D1B"/>
    <w:rsid w:val="009B682C"/>
    <w:rsid w:val="009C50EC"/>
    <w:rsid w:val="009D3377"/>
    <w:rsid w:val="009E6F3F"/>
    <w:rsid w:val="009F70E6"/>
    <w:rsid w:val="00A109FA"/>
    <w:rsid w:val="00A149BE"/>
    <w:rsid w:val="00A14BA2"/>
    <w:rsid w:val="00A61CC6"/>
    <w:rsid w:val="00A922EE"/>
    <w:rsid w:val="00AB7A1A"/>
    <w:rsid w:val="00AE6C73"/>
    <w:rsid w:val="00AF16BA"/>
    <w:rsid w:val="00AF33F6"/>
    <w:rsid w:val="00AF3A21"/>
    <w:rsid w:val="00B20555"/>
    <w:rsid w:val="00B34E8E"/>
    <w:rsid w:val="00B42244"/>
    <w:rsid w:val="00B715CF"/>
    <w:rsid w:val="00B751BD"/>
    <w:rsid w:val="00B9176A"/>
    <w:rsid w:val="00B919EF"/>
    <w:rsid w:val="00BA3481"/>
    <w:rsid w:val="00BD0170"/>
    <w:rsid w:val="00BD2F41"/>
    <w:rsid w:val="00BD3278"/>
    <w:rsid w:val="00BE05D8"/>
    <w:rsid w:val="00BF157E"/>
    <w:rsid w:val="00C01538"/>
    <w:rsid w:val="00C06DD9"/>
    <w:rsid w:val="00C07C75"/>
    <w:rsid w:val="00C1192A"/>
    <w:rsid w:val="00C31AF5"/>
    <w:rsid w:val="00C40A45"/>
    <w:rsid w:val="00C51ABD"/>
    <w:rsid w:val="00C57E47"/>
    <w:rsid w:val="00C6083F"/>
    <w:rsid w:val="00C64435"/>
    <w:rsid w:val="00C658BF"/>
    <w:rsid w:val="00C77084"/>
    <w:rsid w:val="00C835E3"/>
    <w:rsid w:val="00C86505"/>
    <w:rsid w:val="00C876E2"/>
    <w:rsid w:val="00C90B3B"/>
    <w:rsid w:val="00C97651"/>
    <w:rsid w:val="00CB5A21"/>
    <w:rsid w:val="00CB696D"/>
    <w:rsid w:val="00CC03C7"/>
    <w:rsid w:val="00CC0501"/>
    <w:rsid w:val="00CE591F"/>
    <w:rsid w:val="00CF149C"/>
    <w:rsid w:val="00D15AC3"/>
    <w:rsid w:val="00D30929"/>
    <w:rsid w:val="00D36044"/>
    <w:rsid w:val="00D47EA5"/>
    <w:rsid w:val="00D543BC"/>
    <w:rsid w:val="00DA6C33"/>
    <w:rsid w:val="00DD1D1E"/>
    <w:rsid w:val="00DD3F21"/>
    <w:rsid w:val="00DE1434"/>
    <w:rsid w:val="00DE66F9"/>
    <w:rsid w:val="00DE69D7"/>
    <w:rsid w:val="00DF1C1D"/>
    <w:rsid w:val="00E22B91"/>
    <w:rsid w:val="00E23D9F"/>
    <w:rsid w:val="00E25510"/>
    <w:rsid w:val="00E45AA3"/>
    <w:rsid w:val="00E80413"/>
    <w:rsid w:val="00E85E0E"/>
    <w:rsid w:val="00EC71B4"/>
    <w:rsid w:val="00EE12A4"/>
    <w:rsid w:val="00F25C65"/>
    <w:rsid w:val="00F300E3"/>
    <w:rsid w:val="00F4541B"/>
    <w:rsid w:val="00F45636"/>
    <w:rsid w:val="00F6585D"/>
    <w:rsid w:val="00F65AD5"/>
    <w:rsid w:val="00F732F0"/>
    <w:rsid w:val="00F83519"/>
    <w:rsid w:val="00FA2128"/>
    <w:rsid w:val="00FA7192"/>
    <w:rsid w:val="00FB4F55"/>
    <w:rsid w:val="00FC780D"/>
    <w:rsid w:val="00FE6B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6DC2A5"/>
  <w15:chartTrackingRefBased/>
  <w15:docId w15:val="{0BCA0228-BB72-4C1E-A24A-0F8D891A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91E"/>
    <w:rPr>
      <w:rFonts w:ascii="Times New Roman" w:eastAsia="Times New Roman" w:hAnsi="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DPI11articletype">
    <w:name w:val="MDPI_1.1_article_type"/>
    <w:next w:val="Normal"/>
    <w:qFormat/>
    <w:rsid w:val="00D47EA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47EA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47EA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47EA5"/>
    <w:pPr>
      <w:adjustRightInd w:val="0"/>
      <w:snapToGrid w:val="0"/>
      <w:spacing w:line="240" w:lineRule="atLeast"/>
      <w:ind w:right="113"/>
    </w:pPr>
    <w:rPr>
      <w:rFonts w:ascii="Palatino Linotype" w:hAnsi="Palatino Linotype"/>
      <w:color w:val="000000"/>
      <w:sz w:val="14"/>
      <w:szCs w:val="20"/>
      <w:lang w:eastAsia="de-DE" w:bidi="en-US"/>
    </w:rPr>
  </w:style>
  <w:style w:type="paragraph" w:customStyle="1" w:styleId="MDPI16affiliation">
    <w:name w:val="MDPI_1.6_affiliation"/>
    <w:qFormat/>
    <w:rsid w:val="00D47EA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47EA5"/>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D47EA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D47EA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ela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elacomgrade">
    <w:name w:val="Table Grid"/>
    <w:basedOn w:val="Tabelanormal"/>
    <w:uiPriority w:val="59"/>
    <w:rsid w:val="00D47EA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D47EA5"/>
    <w:pPr>
      <w:tabs>
        <w:tab w:val="center" w:pos="4153"/>
        <w:tab w:val="right" w:pos="8306"/>
      </w:tabs>
      <w:snapToGrid w:val="0"/>
      <w:spacing w:line="240" w:lineRule="atLeast"/>
      <w:jc w:val="both"/>
    </w:pPr>
    <w:rPr>
      <w:rFonts w:ascii="Palatino Linotype" w:eastAsia="SimSun" w:hAnsi="Palatino Linotype"/>
      <w:noProof/>
      <w:color w:val="000000"/>
      <w:sz w:val="20"/>
      <w:szCs w:val="18"/>
      <w:lang w:eastAsia="zh-CN"/>
    </w:rPr>
  </w:style>
  <w:style w:type="character" w:customStyle="1" w:styleId="RodapChar">
    <w:name w:val="Rodapé Char"/>
    <w:link w:val="Rodap"/>
    <w:uiPriority w:val="99"/>
    <w:rsid w:val="00D47EA5"/>
    <w:rPr>
      <w:rFonts w:ascii="Palatino Linotype" w:hAnsi="Palatino Linotype"/>
      <w:noProof/>
      <w:color w:val="000000"/>
      <w:szCs w:val="18"/>
    </w:rPr>
  </w:style>
  <w:style w:type="paragraph" w:styleId="Cabealho">
    <w:name w:val="header"/>
    <w:basedOn w:val="Normal"/>
    <w:link w:val="CabealhoChar"/>
    <w:uiPriority w:val="99"/>
    <w:rsid w:val="00D47EA5"/>
    <w:pPr>
      <w:pBdr>
        <w:bottom w:val="single" w:sz="6" w:space="1" w:color="auto"/>
      </w:pBdr>
      <w:tabs>
        <w:tab w:val="center" w:pos="4153"/>
        <w:tab w:val="right" w:pos="8306"/>
      </w:tabs>
      <w:snapToGrid w:val="0"/>
      <w:spacing w:line="240" w:lineRule="atLeast"/>
      <w:jc w:val="center"/>
    </w:pPr>
    <w:rPr>
      <w:rFonts w:ascii="Palatino Linotype" w:eastAsia="SimSun" w:hAnsi="Palatino Linotype"/>
      <w:noProof/>
      <w:color w:val="000000"/>
      <w:sz w:val="20"/>
      <w:szCs w:val="18"/>
      <w:lang w:eastAsia="zh-CN"/>
    </w:rPr>
  </w:style>
  <w:style w:type="character" w:customStyle="1" w:styleId="CabealhoChar">
    <w:name w:val="Cabeçalho Char"/>
    <w:link w:val="Cabealho"/>
    <w:uiPriority w:val="99"/>
    <w:rsid w:val="00D47EA5"/>
    <w:rPr>
      <w:rFonts w:ascii="Palatino Linotype" w:hAnsi="Palatino Linotype"/>
      <w:noProof/>
      <w:color w:val="000000"/>
      <w:szCs w:val="18"/>
    </w:rPr>
  </w:style>
  <w:style w:type="paragraph" w:customStyle="1" w:styleId="MDPIheaderjournallogo">
    <w:name w:val="MDPI_header_journal_logo"/>
    <w:qFormat/>
    <w:rsid w:val="00D47EA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D47EA5"/>
    <w:pPr>
      <w:ind w:firstLine="0"/>
    </w:pPr>
  </w:style>
  <w:style w:type="paragraph" w:customStyle="1" w:styleId="MDPI31text">
    <w:name w:val="MDPI_3.1_text"/>
    <w:qFormat/>
    <w:rsid w:val="005902C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47EA5"/>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47EA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47EA5"/>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E6B4A"/>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E6B4A"/>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47EA5"/>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47EA5"/>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47EA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949C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47EA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47EA5"/>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D47EA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D47EA5"/>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D47EA5"/>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47EA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D47EA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E01FB"/>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balo">
    <w:name w:val="Balloon Text"/>
    <w:basedOn w:val="Normal"/>
    <w:link w:val="TextodebaloChar"/>
    <w:uiPriority w:val="99"/>
    <w:rsid w:val="00D47EA5"/>
    <w:pPr>
      <w:spacing w:line="260" w:lineRule="atLeast"/>
      <w:jc w:val="both"/>
    </w:pPr>
    <w:rPr>
      <w:rFonts w:ascii="Palatino Linotype" w:eastAsia="SimSun" w:hAnsi="Palatino Linotype" w:cs="Tahoma"/>
      <w:noProof/>
      <w:color w:val="000000"/>
      <w:sz w:val="20"/>
      <w:szCs w:val="18"/>
      <w:lang w:eastAsia="zh-CN"/>
    </w:rPr>
  </w:style>
  <w:style w:type="character" w:customStyle="1" w:styleId="TextodebaloChar">
    <w:name w:val="Texto de balão Char"/>
    <w:link w:val="Textodebalo"/>
    <w:uiPriority w:val="99"/>
    <w:rsid w:val="00D47EA5"/>
    <w:rPr>
      <w:rFonts w:ascii="Palatino Linotype" w:hAnsi="Palatino Linotype" w:cs="Tahoma"/>
      <w:noProof/>
      <w:color w:val="000000"/>
      <w:szCs w:val="18"/>
    </w:rPr>
  </w:style>
  <w:style w:type="character" w:styleId="Nmerodelinha">
    <w:name w:val="line number"/>
    <w:uiPriority w:val="99"/>
    <w:rsid w:val="00C57E47"/>
    <w:rPr>
      <w:rFonts w:ascii="Palatino Linotype" w:hAnsi="Palatino Linotype"/>
      <w:sz w:val="16"/>
    </w:rPr>
  </w:style>
  <w:style w:type="table" w:customStyle="1" w:styleId="MDPI41threelinetable">
    <w:name w:val="MDPI_4.1_three_line_table"/>
    <w:basedOn w:val="Tabelanormal"/>
    <w:uiPriority w:val="99"/>
    <w:rsid w:val="00D47EA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47EA5"/>
    <w:rPr>
      <w:color w:val="0000FF"/>
      <w:u w:val="single"/>
    </w:rPr>
  </w:style>
  <w:style w:type="character" w:styleId="MenoPendente">
    <w:name w:val="Unresolved Mention"/>
    <w:uiPriority w:val="99"/>
    <w:semiHidden/>
    <w:unhideWhenUsed/>
    <w:rsid w:val="00891137"/>
    <w:rPr>
      <w:color w:val="605E5C"/>
      <w:shd w:val="clear" w:color="auto" w:fill="E1DFDD"/>
    </w:rPr>
  </w:style>
  <w:style w:type="table" w:styleId="TabelaSimples4">
    <w:name w:val="Plain Table 4"/>
    <w:basedOn w:val="Tabela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47EA5"/>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D47EA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47EA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47EA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D47EA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47EA5"/>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4563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D47EA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D47EA5"/>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D47EA5"/>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370457"/>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D47EA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47EA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47EA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D47EA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47EA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47EA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elanormal"/>
    <w:uiPriority w:val="99"/>
    <w:rsid w:val="00D47EA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D47EA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47EA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D47EA5"/>
  </w:style>
  <w:style w:type="paragraph" w:styleId="Bibliografia">
    <w:name w:val="Bibliography"/>
    <w:basedOn w:val="Normal"/>
    <w:next w:val="Normal"/>
    <w:uiPriority w:val="37"/>
    <w:semiHidden/>
    <w:unhideWhenUsed/>
    <w:rsid w:val="00D47EA5"/>
    <w:pPr>
      <w:spacing w:line="260" w:lineRule="atLeast"/>
      <w:jc w:val="both"/>
    </w:pPr>
    <w:rPr>
      <w:rFonts w:ascii="Palatino Linotype" w:eastAsia="SimSun" w:hAnsi="Palatino Linotype"/>
      <w:noProof/>
      <w:color w:val="000000"/>
      <w:sz w:val="20"/>
      <w:szCs w:val="20"/>
      <w:lang w:eastAsia="zh-CN"/>
    </w:rPr>
  </w:style>
  <w:style w:type="paragraph" w:styleId="Corpodetexto">
    <w:name w:val="Body Text"/>
    <w:link w:val="CorpodetextoChar"/>
    <w:rsid w:val="00D47EA5"/>
    <w:pPr>
      <w:spacing w:after="120" w:line="340" w:lineRule="atLeast"/>
      <w:jc w:val="both"/>
    </w:pPr>
    <w:rPr>
      <w:rFonts w:ascii="Palatino Linotype" w:hAnsi="Palatino Linotype"/>
      <w:color w:val="000000"/>
      <w:sz w:val="24"/>
      <w:lang w:eastAsia="de-DE"/>
    </w:rPr>
  </w:style>
  <w:style w:type="character" w:customStyle="1" w:styleId="CorpodetextoChar">
    <w:name w:val="Corpo de texto Char"/>
    <w:link w:val="Corpodetexto"/>
    <w:rsid w:val="00D47EA5"/>
    <w:rPr>
      <w:rFonts w:ascii="Palatino Linotype" w:hAnsi="Palatino Linotype"/>
      <w:color w:val="000000"/>
      <w:sz w:val="24"/>
      <w:lang w:eastAsia="de-DE"/>
    </w:rPr>
  </w:style>
  <w:style w:type="character" w:styleId="Refdecomentrio">
    <w:name w:val="annotation reference"/>
    <w:rsid w:val="00D47EA5"/>
    <w:rPr>
      <w:sz w:val="21"/>
      <w:szCs w:val="21"/>
    </w:rPr>
  </w:style>
  <w:style w:type="paragraph" w:styleId="Textodecomentrio">
    <w:name w:val="annotation text"/>
    <w:basedOn w:val="Normal"/>
    <w:link w:val="TextodecomentrioChar"/>
    <w:rsid w:val="00D47EA5"/>
    <w:pPr>
      <w:spacing w:line="260" w:lineRule="atLeast"/>
      <w:jc w:val="both"/>
    </w:pPr>
    <w:rPr>
      <w:rFonts w:ascii="Palatino Linotype" w:eastAsia="SimSun" w:hAnsi="Palatino Linotype"/>
      <w:noProof/>
      <w:color w:val="000000"/>
      <w:sz w:val="20"/>
      <w:szCs w:val="20"/>
      <w:lang w:eastAsia="zh-CN"/>
    </w:rPr>
  </w:style>
  <w:style w:type="character" w:customStyle="1" w:styleId="TextodecomentrioChar">
    <w:name w:val="Texto de comentário Char"/>
    <w:link w:val="Textodecomentrio"/>
    <w:rsid w:val="00D47EA5"/>
    <w:rPr>
      <w:rFonts w:ascii="Palatino Linotype" w:hAnsi="Palatino Linotype"/>
      <w:noProof/>
      <w:color w:val="000000"/>
    </w:rPr>
  </w:style>
  <w:style w:type="paragraph" w:styleId="Assuntodocomentrio">
    <w:name w:val="annotation subject"/>
    <w:basedOn w:val="Textodecomentrio"/>
    <w:next w:val="Textodecomentrio"/>
    <w:link w:val="AssuntodocomentrioChar"/>
    <w:rsid w:val="00D47EA5"/>
    <w:rPr>
      <w:b/>
      <w:bCs/>
    </w:rPr>
  </w:style>
  <w:style w:type="character" w:customStyle="1" w:styleId="AssuntodocomentrioChar">
    <w:name w:val="Assunto do comentário Char"/>
    <w:link w:val="Assuntodocomentrio"/>
    <w:rsid w:val="00D47EA5"/>
    <w:rPr>
      <w:rFonts w:ascii="Palatino Linotype" w:hAnsi="Palatino Linotype"/>
      <w:b/>
      <w:bCs/>
      <w:noProof/>
      <w:color w:val="000000"/>
    </w:rPr>
  </w:style>
  <w:style w:type="character" w:styleId="Refdenotadefim">
    <w:name w:val="endnote reference"/>
    <w:rsid w:val="00D47EA5"/>
    <w:rPr>
      <w:vertAlign w:val="superscript"/>
    </w:rPr>
  </w:style>
  <w:style w:type="paragraph" w:styleId="Textodenotadefim">
    <w:name w:val="endnote text"/>
    <w:basedOn w:val="Normal"/>
    <w:link w:val="TextodenotadefimChar"/>
    <w:semiHidden/>
    <w:unhideWhenUsed/>
    <w:rsid w:val="00D47EA5"/>
    <w:pPr>
      <w:jc w:val="both"/>
    </w:pPr>
    <w:rPr>
      <w:rFonts w:ascii="Palatino Linotype" w:eastAsia="SimSun" w:hAnsi="Palatino Linotype"/>
      <w:noProof/>
      <w:color w:val="000000"/>
      <w:sz w:val="20"/>
      <w:szCs w:val="20"/>
      <w:lang w:eastAsia="zh-CN"/>
    </w:rPr>
  </w:style>
  <w:style w:type="character" w:customStyle="1" w:styleId="TextodenotadefimChar">
    <w:name w:val="Texto de nota de fim Char"/>
    <w:link w:val="Textodenotadefim"/>
    <w:semiHidden/>
    <w:rsid w:val="00D47EA5"/>
    <w:rPr>
      <w:rFonts w:ascii="Palatino Linotype" w:hAnsi="Palatino Linotype"/>
      <w:noProof/>
      <w:color w:val="000000"/>
    </w:rPr>
  </w:style>
  <w:style w:type="character" w:styleId="HiperlinkVisitado">
    <w:name w:val="FollowedHyperlink"/>
    <w:rsid w:val="00D47EA5"/>
    <w:rPr>
      <w:color w:val="954F72"/>
      <w:u w:val="single"/>
    </w:rPr>
  </w:style>
  <w:style w:type="paragraph" w:styleId="Textodenotaderodap">
    <w:name w:val="footnote text"/>
    <w:basedOn w:val="Normal"/>
    <w:link w:val="TextodenotaderodapChar"/>
    <w:semiHidden/>
    <w:unhideWhenUsed/>
    <w:rsid w:val="00D47EA5"/>
    <w:pPr>
      <w:jc w:val="both"/>
    </w:pPr>
    <w:rPr>
      <w:rFonts w:ascii="Palatino Linotype" w:eastAsia="SimSun" w:hAnsi="Palatino Linotype"/>
      <w:noProof/>
      <w:color w:val="000000"/>
      <w:sz w:val="20"/>
      <w:szCs w:val="20"/>
      <w:lang w:eastAsia="zh-CN"/>
    </w:rPr>
  </w:style>
  <w:style w:type="character" w:customStyle="1" w:styleId="TextodenotaderodapChar">
    <w:name w:val="Texto de nota de rodapé Char"/>
    <w:link w:val="Textodenotaderodap"/>
    <w:semiHidden/>
    <w:rsid w:val="00D47EA5"/>
    <w:rPr>
      <w:rFonts w:ascii="Palatino Linotype" w:hAnsi="Palatino Linotype"/>
      <w:noProof/>
      <w:color w:val="000000"/>
    </w:rPr>
  </w:style>
  <w:style w:type="paragraph" w:styleId="NormalWeb">
    <w:name w:val="Normal (Web)"/>
    <w:basedOn w:val="Normal"/>
    <w:uiPriority w:val="99"/>
    <w:rsid w:val="00D47EA5"/>
    <w:pPr>
      <w:spacing w:line="260" w:lineRule="atLeast"/>
      <w:jc w:val="both"/>
    </w:pPr>
    <w:rPr>
      <w:rFonts w:ascii="Palatino Linotype" w:eastAsia="SimSun" w:hAnsi="Palatino Linotype"/>
      <w:noProof/>
      <w:color w:val="000000"/>
      <w:sz w:val="20"/>
      <w:lang w:eastAsia="zh-CN"/>
    </w:rPr>
  </w:style>
  <w:style w:type="paragraph" w:customStyle="1" w:styleId="MsoFootnoteText0">
    <w:name w:val="MsoFootnoteText"/>
    <w:basedOn w:val="NormalWeb"/>
    <w:qFormat/>
    <w:rsid w:val="00D47EA5"/>
    <w:rPr>
      <w:rFonts w:ascii="Times New Roman" w:hAnsi="Times New Roman"/>
    </w:rPr>
  </w:style>
  <w:style w:type="character" w:styleId="Nmerodepgina">
    <w:name w:val="page number"/>
    <w:rsid w:val="00D47EA5"/>
  </w:style>
  <w:style w:type="character" w:styleId="TextodoEspaoReservado">
    <w:name w:val="Placeholder Text"/>
    <w:uiPriority w:val="99"/>
    <w:semiHidden/>
    <w:rsid w:val="00D47EA5"/>
    <w:rPr>
      <w:color w:val="808080"/>
    </w:rPr>
  </w:style>
  <w:style w:type="paragraph" w:customStyle="1" w:styleId="MDPI71FootNotes">
    <w:name w:val="MDPI_7.1_FootNotes"/>
    <w:qFormat/>
    <w:rsid w:val="0020578D"/>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EndNoteBibliography">
    <w:name w:val="EndNote Bibliography"/>
    <w:basedOn w:val="Normal"/>
    <w:link w:val="EndNoteBibliographyChar"/>
    <w:rsid w:val="00CF149C"/>
    <w:pPr>
      <w:jc w:val="both"/>
    </w:pPr>
    <w:rPr>
      <w:noProof/>
    </w:rPr>
  </w:style>
  <w:style w:type="character" w:customStyle="1" w:styleId="EndNoteBibliographyChar">
    <w:name w:val="EndNote Bibliography Char"/>
    <w:basedOn w:val="Fontepargpadro"/>
    <w:link w:val="EndNoteBibliography"/>
    <w:rsid w:val="00CF149C"/>
    <w:rPr>
      <w:rFonts w:ascii="Times New Roman" w:eastAsia="Times New Roman" w:hAnsi="Times New Roman"/>
      <w:noProof/>
      <w:sz w:val="24"/>
      <w:szCs w:val="24"/>
      <w:lang w:eastAsia="pt-BR"/>
    </w:rPr>
  </w:style>
  <w:style w:type="table" w:customStyle="1" w:styleId="2">
    <w:name w:val="2"/>
    <w:basedOn w:val="Tabelanormal"/>
    <w:rsid w:val="0042491E"/>
    <w:rPr>
      <w:rFonts w:ascii="Times New Roman" w:eastAsia="Times New Roman" w:hAnsi="Times New Roman"/>
      <w:sz w:val="24"/>
      <w:szCs w:val="24"/>
      <w:lang w:eastAsia="pt-BR"/>
    </w:rPr>
    <w:tblPr>
      <w:tblStyleRowBandSize w:val="1"/>
      <w:tblStyleColBandSize w:val="1"/>
      <w:tblInd w:w="0" w:type="nil"/>
      <w:tblCellMar>
        <w:left w:w="70" w:type="dxa"/>
        <w:right w:w="70" w:type="dxa"/>
      </w:tblCellMar>
    </w:tblPr>
  </w:style>
  <w:style w:type="table" w:customStyle="1" w:styleId="1">
    <w:name w:val="1"/>
    <w:basedOn w:val="Tabelanormal"/>
    <w:rsid w:val="0042491E"/>
    <w:rPr>
      <w:rFonts w:ascii="Times New Roman" w:eastAsia="Times New Roman" w:hAnsi="Times New Roman"/>
      <w:sz w:val="24"/>
      <w:szCs w:val="24"/>
      <w:lang w:eastAsia="pt-BR"/>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ta.heilberg@gmail.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ane\Downloads\nutrie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nutrients-template.dot</Template>
  <TotalTime>69</TotalTime>
  <Pages>3</Pages>
  <Words>532</Words>
  <Characters>2877</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Litíase - Milene</dc:creator>
  <cp:keywords/>
  <dc:description/>
  <cp:lastModifiedBy>user01</cp:lastModifiedBy>
  <cp:revision>12</cp:revision>
  <dcterms:created xsi:type="dcterms:W3CDTF">2023-07-07T14:53:00Z</dcterms:created>
  <dcterms:modified xsi:type="dcterms:W3CDTF">2023-07-07T18:06:00Z</dcterms:modified>
</cp:coreProperties>
</file>