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D8" w:rsidRDefault="00C1728B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Table 1</w:t>
      </w:r>
      <w:r>
        <w:rPr>
          <w:rFonts w:ascii="Times New Roman" w:eastAsia="Times New Roman" w:hAnsi="Times New Roman" w:cs="Times New Roman"/>
        </w:rPr>
        <w:t xml:space="preserve"> </w:t>
      </w:r>
    </w:p>
    <w:p w:rsidR="00351BD8" w:rsidRDefault="00C1728B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Phytochemical screening of water and ethanol extract of </w:t>
      </w:r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Senna </w:t>
      </w:r>
      <w:proofErr w:type="spellStart"/>
      <w:proofErr w:type="gramStart"/>
      <w:r w:rsidR="009460ED" w:rsidRPr="009460ED">
        <w:rPr>
          <w:rFonts w:ascii="Times New Roman" w:eastAsia="Times New Roman" w:hAnsi="Times New Roman" w:cs="Times New Roman"/>
          <w:i/>
          <w:iCs/>
        </w:rPr>
        <w:t>alata</w:t>
      </w:r>
      <w:proofErr w:type="spellEnd"/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leaves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tbl>
      <w:tblPr>
        <w:tblStyle w:val="a"/>
        <w:tblW w:w="9108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4428"/>
        <w:gridCol w:w="2160"/>
      </w:tblGrid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Phytochemical constituents</w:t>
            </w:r>
          </w:p>
        </w:tc>
        <w:tc>
          <w:tcPr>
            <w:tcW w:w="4428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Specific tests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Result</w:t>
            </w:r>
          </w:p>
        </w:tc>
      </w:tr>
      <w:tr w:rsidR="00351BD8">
        <w:trPr>
          <w:cantSplit/>
          <w:trHeight w:val="452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Methanol extract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  <w:tcBorders>
              <w:top w:val="single" w:sz="4" w:space="0" w:color="000000"/>
            </w:tcBorders>
          </w:tcPr>
          <w:p w:rsidR="00351BD8" w:rsidRDefault="00C1728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Alkaloid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Mayer's test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  <w:tcBorders>
              <w:top w:val="single" w:sz="4" w:space="0" w:color="000000"/>
            </w:tcBorders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Wagner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  <w:tcBorders>
              <w:top w:val="single" w:sz="4" w:space="0" w:color="000000"/>
            </w:tcBorders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Hager’s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  <w:tcBorders>
              <w:top w:val="single" w:sz="4" w:space="0" w:color="000000"/>
            </w:tcBorders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Dragendroff’s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Carbohydrate</w:t>
            </w: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Molish's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Benedict's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Glycoside</w:t>
            </w: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Modified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Borntrager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Anthraquinones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353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Killer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killiani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 (Cardiac glycoside) 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trHeight w:val="255"/>
        </w:trPr>
        <w:tc>
          <w:tcPr>
            <w:tcW w:w="2520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Saponin</w:t>
            </w:r>
            <w:proofErr w:type="spellEnd"/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Foam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trHeight w:val="308"/>
        </w:trPr>
        <w:tc>
          <w:tcPr>
            <w:tcW w:w="2520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Phenol</w:t>
            </w: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Ferric chloride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Flavonoid</w:t>
            </w: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Alkaline reagent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Shinoda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Tannin</w:t>
            </w: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Gelatin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</w:tcPr>
          <w:p w:rsidR="00351BD8" w:rsidRDefault="00C172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Ferric Chloride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 w:val="restart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Terpenoid</w:t>
            </w:r>
            <w:proofErr w:type="spellEnd"/>
          </w:p>
        </w:tc>
        <w:tc>
          <w:tcPr>
            <w:tcW w:w="4428" w:type="dxa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Salkowaski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2160" w:type="dxa"/>
          </w:tcPr>
          <w:p w:rsidR="00351BD8" w:rsidRDefault="00C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cantSplit/>
          <w:trHeight w:val="255"/>
        </w:trPr>
        <w:tc>
          <w:tcPr>
            <w:tcW w:w="2520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  <w:tcBorders>
              <w:bottom w:val="single" w:sz="4" w:space="0" w:color="000000"/>
            </w:tcBorders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Copper acetate test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351BD8" w:rsidRDefault="00C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1BD8">
        <w:trPr>
          <w:trHeight w:val="255"/>
        </w:trPr>
        <w:tc>
          <w:tcPr>
            <w:tcW w:w="9108" w:type="dxa"/>
            <w:gridSpan w:val="3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+: Presence, -: Absence</w:t>
            </w:r>
          </w:p>
        </w:tc>
      </w:tr>
    </w:tbl>
    <w:p w:rsidR="00351BD8" w:rsidRDefault="00C172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51BD8" w:rsidRDefault="00C1728B" w:rsidP="00AD35F8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351BD8" w:rsidRDefault="00C1728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Table 2 </w:t>
      </w:r>
    </w:p>
    <w:p w:rsidR="00351BD8" w:rsidRDefault="00C1728B" w:rsidP="009F4E8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GC –MS analysis</w:t>
      </w:r>
    </w:p>
    <w:tbl>
      <w:tblPr>
        <w:tblStyle w:val="a0"/>
        <w:tblW w:w="954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993"/>
        <w:gridCol w:w="1238"/>
        <w:gridCol w:w="5726"/>
      </w:tblGrid>
      <w:tr w:rsidR="00351BD8">
        <w:trPr>
          <w:trHeight w:val="538"/>
        </w:trPr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S.N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Compound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Molecular formula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Reported Activity</w:t>
            </w:r>
          </w:p>
        </w:tc>
      </w:tr>
      <w:tr w:rsidR="00351BD8">
        <w:trPr>
          <w:cantSplit/>
          <w:trHeight w:val="423"/>
        </w:trPr>
        <w:tc>
          <w:tcPr>
            <w:tcW w:w="583" w:type="dxa"/>
            <w:vMerge w:val="restart"/>
            <w:tcBorders>
              <w:top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3-Methylmannoside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26" w:type="dxa"/>
            <w:vMerge w:val="restart"/>
            <w:tcBorders>
              <w:top w:val="single" w:sz="4" w:space="0" w:color="000000"/>
            </w:tcBorders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Plant growth regulator/ regulate plant growth by modulating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glycoconjugation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lectins in plants </w:t>
            </w:r>
          </w:p>
        </w:tc>
      </w:tr>
      <w:tr w:rsidR="00351BD8">
        <w:trPr>
          <w:cantSplit/>
          <w:trHeight w:val="291"/>
        </w:trPr>
        <w:tc>
          <w:tcPr>
            <w:tcW w:w="583" w:type="dxa"/>
            <w:vMerge/>
            <w:tcBorders>
              <w:top w:val="single" w:sz="4" w:space="0" w:color="000000"/>
            </w:tcBorders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</w:tcBorders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</w:tcBorders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Merge/>
            <w:tcBorders>
              <w:top w:val="single" w:sz="4" w:space="0" w:color="000000"/>
            </w:tcBorders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cantSplit/>
          <w:trHeight w:val="276"/>
        </w:trPr>
        <w:tc>
          <w:tcPr>
            <w:tcW w:w="58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Neophytadiene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26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Antimicrobial, additive for liquid cigarette </w:t>
            </w:r>
          </w:p>
        </w:tc>
      </w:tr>
      <w:tr w:rsidR="00351BD8">
        <w:trPr>
          <w:cantSplit/>
          <w:trHeight w:val="291"/>
        </w:trPr>
        <w:tc>
          <w:tcPr>
            <w:tcW w:w="58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cantSplit/>
          <w:trHeight w:val="291"/>
        </w:trPr>
        <w:tc>
          <w:tcPr>
            <w:tcW w:w="58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192"/>
        </w:trPr>
        <w:tc>
          <w:tcPr>
            <w:tcW w:w="583" w:type="dxa"/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9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Squalene</w:t>
            </w:r>
          </w:p>
        </w:tc>
        <w:tc>
          <w:tcPr>
            <w:tcW w:w="123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26" w:type="dxa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Antioxidant </w:t>
            </w:r>
          </w:p>
        </w:tc>
      </w:tr>
      <w:tr w:rsidR="00351BD8">
        <w:trPr>
          <w:trHeight w:val="249"/>
        </w:trPr>
        <w:tc>
          <w:tcPr>
            <w:tcW w:w="583" w:type="dxa"/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9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Campesterol</w:t>
            </w:r>
            <w:proofErr w:type="spellEnd"/>
          </w:p>
        </w:tc>
        <w:tc>
          <w:tcPr>
            <w:tcW w:w="123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726" w:type="dxa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Anticancer, Antimicrobial , anti-inflammatory</w:t>
            </w:r>
          </w:p>
        </w:tc>
      </w:tr>
      <w:tr w:rsidR="00351BD8">
        <w:trPr>
          <w:cantSplit/>
          <w:trHeight w:val="276"/>
        </w:trPr>
        <w:tc>
          <w:tcPr>
            <w:tcW w:w="58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9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Stigmasterol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</w:p>
        </w:tc>
        <w:tc>
          <w:tcPr>
            <w:tcW w:w="5726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Anticancer,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Antiinflammatory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1BD8">
        <w:trPr>
          <w:cantSplit/>
          <w:trHeight w:val="291"/>
        </w:trPr>
        <w:tc>
          <w:tcPr>
            <w:tcW w:w="58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cantSplit/>
          <w:trHeight w:val="317"/>
        </w:trPr>
        <w:tc>
          <w:tcPr>
            <w:tcW w:w="58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93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Alpha.Tocospiro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26" w:type="dxa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Cytotoxicity against human A549 cells by SRB assay.</w:t>
            </w:r>
          </w:p>
        </w:tc>
      </w:tr>
      <w:tr w:rsidR="00351BD8">
        <w:trPr>
          <w:cantSplit/>
          <w:trHeight w:val="173"/>
        </w:trPr>
        <w:tc>
          <w:tcPr>
            <w:tcW w:w="58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Align w:val="center"/>
          </w:tcPr>
          <w:p w:rsidR="00351BD8" w:rsidRDefault="00C1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Antimicrobacterial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activity against Mycobacterium tuberculosis H37Rv </w:t>
            </w:r>
          </w:p>
        </w:tc>
      </w:tr>
      <w:tr w:rsidR="00351BD8">
        <w:trPr>
          <w:cantSplit/>
          <w:trHeight w:val="57"/>
        </w:trPr>
        <w:tc>
          <w:tcPr>
            <w:tcW w:w="58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vAlign w:val="center"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6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351BD8" w:rsidRDefault="00351BD8"/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3 </w:t>
      </w: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Extraction yield (</w:t>
      </w:r>
      <w:proofErr w:type="gramStart"/>
      <w:r>
        <w:rPr>
          <w:rFonts w:ascii="Times New Roman" w:eastAsia="Times New Roman" w:hAnsi="Times New Roman" w:cs="Times New Roman"/>
        </w:rPr>
        <w:t>%</w:t>
      </w:r>
      <w:proofErr w:type="gramEnd"/>
      <w:r>
        <w:rPr>
          <w:rFonts w:ascii="Times New Roman" w:eastAsia="Times New Roman" w:hAnsi="Times New Roman" w:cs="Times New Roman"/>
        </w:rPr>
        <w:t xml:space="preserve">) of three solvents of </w:t>
      </w:r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Senna </w:t>
      </w:r>
      <w:proofErr w:type="spellStart"/>
      <w:r w:rsidR="009460ED" w:rsidRPr="009460ED">
        <w:rPr>
          <w:rFonts w:ascii="Times New Roman" w:eastAsia="Times New Roman" w:hAnsi="Times New Roman" w:cs="Times New Roman"/>
          <w:i/>
          <w:iCs/>
        </w:rPr>
        <w:t>alata</w:t>
      </w:r>
      <w:proofErr w:type="spellEnd"/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leaves, total phenolic and flavonoids content.</w:t>
      </w:r>
    </w:p>
    <w:tbl>
      <w:tblPr>
        <w:tblStyle w:val="a1"/>
        <w:tblW w:w="93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2166"/>
        <w:gridCol w:w="2799"/>
        <w:gridCol w:w="2618"/>
      </w:tblGrid>
      <w:tr w:rsidR="00351BD8">
        <w:trPr>
          <w:trHeight w:val="296"/>
        </w:trPr>
        <w:tc>
          <w:tcPr>
            <w:tcW w:w="173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Extract</w:t>
            </w:r>
          </w:p>
        </w:tc>
        <w:tc>
          <w:tcPr>
            <w:tcW w:w="2166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Extraction yield (%)</w:t>
            </w:r>
          </w:p>
        </w:tc>
        <w:tc>
          <w:tcPr>
            <w:tcW w:w="2799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Phenols (mg GAE/g dry extract weight)</w:t>
            </w:r>
          </w:p>
        </w:tc>
        <w:tc>
          <w:tcPr>
            <w:tcW w:w="261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Flavonoids (mg QE/g dry extract weight)</w:t>
            </w:r>
          </w:p>
        </w:tc>
      </w:tr>
      <w:tr w:rsidR="00351BD8">
        <w:trPr>
          <w:trHeight w:val="260"/>
        </w:trPr>
        <w:tc>
          <w:tcPr>
            <w:tcW w:w="173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Methanol extract</w:t>
            </w:r>
          </w:p>
        </w:tc>
        <w:tc>
          <w:tcPr>
            <w:tcW w:w="2166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5.92</w:t>
            </w:r>
          </w:p>
        </w:tc>
        <w:tc>
          <w:tcPr>
            <w:tcW w:w="2799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46.36±4.5</w:t>
            </w:r>
          </w:p>
        </w:tc>
        <w:tc>
          <w:tcPr>
            <w:tcW w:w="261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480.4±3.055</w:t>
            </w:r>
          </w:p>
        </w:tc>
      </w:tr>
      <w:tr w:rsidR="00351BD8">
        <w:trPr>
          <w:trHeight w:val="296"/>
        </w:trPr>
        <w:tc>
          <w:tcPr>
            <w:tcW w:w="173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Hexane extract</w:t>
            </w:r>
          </w:p>
        </w:tc>
        <w:tc>
          <w:tcPr>
            <w:tcW w:w="2166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1.54</w:t>
            </w:r>
          </w:p>
        </w:tc>
        <w:tc>
          <w:tcPr>
            <w:tcW w:w="2799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44.89±4.49</w:t>
            </w:r>
          </w:p>
        </w:tc>
        <w:tc>
          <w:tcPr>
            <w:tcW w:w="261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476.17±4.33</w:t>
            </w:r>
          </w:p>
        </w:tc>
      </w:tr>
      <w:tr w:rsidR="00351BD8">
        <w:trPr>
          <w:trHeight w:val="296"/>
        </w:trPr>
        <w:tc>
          <w:tcPr>
            <w:tcW w:w="1733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Ethyl acetate</w:t>
            </w:r>
          </w:p>
        </w:tc>
        <w:tc>
          <w:tcPr>
            <w:tcW w:w="2166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</w:t>
            </w:r>
          </w:p>
        </w:tc>
        <w:tc>
          <w:tcPr>
            <w:tcW w:w="2799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40.66±0.36</w:t>
            </w:r>
          </w:p>
        </w:tc>
        <w:tc>
          <w:tcPr>
            <w:tcW w:w="2618" w:type="dxa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435.77±4.81</w:t>
            </w:r>
          </w:p>
        </w:tc>
      </w:tr>
      <w:tr w:rsidR="00351BD8">
        <w:trPr>
          <w:trHeight w:val="296"/>
        </w:trPr>
        <w:tc>
          <w:tcPr>
            <w:tcW w:w="9316" w:type="dxa"/>
            <w:gridSpan w:val="4"/>
            <w:vAlign w:val="center"/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Values calculated from the mean of three times experiment and represented as mean ± S.D</w:t>
            </w:r>
          </w:p>
        </w:tc>
      </w:tr>
    </w:tbl>
    <w:p w:rsidR="00351BD8" w:rsidRDefault="00351BD8">
      <w:pPr>
        <w:pStyle w:val="Heading3"/>
        <w:spacing w:before="0" w:line="480" w:lineRule="auto"/>
        <w:rPr>
          <w:b w:val="0"/>
          <w:sz w:val="22"/>
          <w:szCs w:val="22"/>
        </w:rPr>
      </w:pPr>
      <w:bookmarkStart w:id="0" w:name="_3j2qqm3" w:colFirst="0" w:colLast="0"/>
      <w:bookmarkEnd w:id="0"/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4 </w:t>
      </w: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vertAlign w:val="subscript"/>
        </w:rPr>
        <w:t>50</w:t>
      </w:r>
      <w:r>
        <w:rPr>
          <w:rFonts w:ascii="Times New Roman" w:eastAsia="Times New Roman" w:hAnsi="Times New Roman" w:cs="Times New Roman"/>
        </w:rPr>
        <w:t xml:space="preserve"> value and DPPH free radical scavenging activity of both </w:t>
      </w:r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Senna </w:t>
      </w:r>
      <w:proofErr w:type="spellStart"/>
      <w:r w:rsidR="009460ED" w:rsidRPr="009460ED">
        <w:rPr>
          <w:rFonts w:ascii="Times New Roman" w:eastAsia="Times New Roman" w:hAnsi="Times New Roman" w:cs="Times New Roman"/>
          <w:i/>
          <w:iCs/>
        </w:rPr>
        <w:t>alata</w:t>
      </w:r>
      <w:proofErr w:type="spellEnd"/>
      <w:r w:rsidR="009460ED" w:rsidRPr="009460ED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extracts at varying concentrations.</w:t>
      </w:r>
    </w:p>
    <w:tbl>
      <w:tblPr>
        <w:tblStyle w:val="a2"/>
        <w:tblW w:w="9576" w:type="dxa"/>
        <w:tblInd w:w="-108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304"/>
        <w:gridCol w:w="1199"/>
        <w:gridCol w:w="348"/>
        <w:gridCol w:w="1070"/>
        <w:gridCol w:w="1337"/>
        <w:gridCol w:w="1340"/>
        <w:gridCol w:w="1339"/>
        <w:gridCol w:w="1340"/>
      </w:tblGrid>
      <w:tr w:rsidR="00351BD8">
        <w:trPr>
          <w:cantSplit/>
          <w:trHeight w:val="300"/>
        </w:trPr>
        <w:tc>
          <w:tcPr>
            <w:tcW w:w="1603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Extract/ Standard</w:t>
            </w:r>
          </w:p>
        </w:tc>
        <w:tc>
          <w:tcPr>
            <w:tcW w:w="154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51BD8" w:rsidRDefault="00351B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 activity of DPPH scavenging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51BD8" w:rsidRDefault="00351B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µg/mL</w:t>
            </w:r>
          </w:p>
        </w:tc>
      </w:tr>
      <w:tr w:rsidR="00351BD8">
        <w:trPr>
          <w:cantSplit/>
          <w:trHeight w:val="300"/>
        </w:trPr>
        <w:tc>
          <w:tcPr>
            <w:tcW w:w="1603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µg/mL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 µg/mL</w:t>
            </w:r>
          </w:p>
        </w:tc>
        <w:tc>
          <w:tcPr>
            <w:tcW w:w="1337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µg/mL</w:t>
            </w:r>
          </w:p>
        </w:tc>
        <w:tc>
          <w:tcPr>
            <w:tcW w:w="1340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µg/mL</w:t>
            </w:r>
          </w:p>
        </w:tc>
        <w:tc>
          <w:tcPr>
            <w:tcW w:w="1339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 µg/mL</w:t>
            </w:r>
          </w:p>
        </w:tc>
        <w:tc>
          <w:tcPr>
            <w:tcW w:w="134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300"/>
        </w:trPr>
        <w:tc>
          <w:tcPr>
            <w:tcW w:w="1603" w:type="dxa"/>
            <w:gridSpan w:val="2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Methanol extract</w:t>
            </w:r>
          </w:p>
        </w:tc>
        <w:tc>
          <w:tcPr>
            <w:tcW w:w="1199" w:type="dxa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15.13±0.0093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24.65±0.0063</w:t>
            </w:r>
          </w:p>
        </w:tc>
        <w:tc>
          <w:tcPr>
            <w:tcW w:w="1337" w:type="dxa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29.28±0.0094</w:t>
            </w:r>
          </w:p>
        </w:tc>
        <w:tc>
          <w:tcPr>
            <w:tcW w:w="1340" w:type="dxa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37.33±0.0290</w:t>
            </w:r>
          </w:p>
        </w:tc>
        <w:tc>
          <w:tcPr>
            <w:tcW w:w="1339" w:type="dxa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42.83±0.0049</w:t>
            </w:r>
          </w:p>
        </w:tc>
        <w:tc>
          <w:tcPr>
            <w:tcW w:w="1340" w:type="dxa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29.81</w:t>
            </w:r>
          </w:p>
        </w:tc>
      </w:tr>
      <w:tr w:rsidR="00351BD8">
        <w:trPr>
          <w:trHeight w:val="300"/>
        </w:trPr>
        <w:tc>
          <w:tcPr>
            <w:tcW w:w="1603" w:type="dxa"/>
            <w:gridSpan w:val="2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Ascorbic acid</w:t>
            </w:r>
          </w:p>
        </w:tc>
        <w:tc>
          <w:tcPr>
            <w:tcW w:w="1199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41.19±0.0090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61.69±0.0012</w:t>
            </w:r>
          </w:p>
        </w:tc>
        <w:tc>
          <w:tcPr>
            <w:tcW w:w="1337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75.59±0.0050</w:t>
            </w:r>
          </w:p>
        </w:tc>
        <w:tc>
          <w:tcPr>
            <w:tcW w:w="1340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92.56±0.0050</w:t>
            </w:r>
          </w:p>
        </w:tc>
        <w:tc>
          <w:tcPr>
            <w:tcW w:w="1339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97.07±0.0080</w:t>
            </w:r>
          </w:p>
        </w:tc>
        <w:tc>
          <w:tcPr>
            <w:tcW w:w="1340" w:type="dxa"/>
            <w:tcBorders>
              <w:top w:val="nil"/>
              <w:bottom w:val="single" w:sz="12" w:space="0" w:color="000000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6.12</w:t>
            </w:r>
          </w:p>
        </w:tc>
      </w:tr>
      <w:tr w:rsidR="00351BD8">
        <w:trPr>
          <w:trHeight w:val="300"/>
        </w:trPr>
        <w:tc>
          <w:tcPr>
            <w:tcW w:w="1299" w:type="dxa"/>
            <w:tcBorders>
              <w:top w:val="single" w:sz="12" w:space="0" w:color="000000"/>
              <w:bottom w:val="nil"/>
            </w:tcBorders>
          </w:tcPr>
          <w:p w:rsidR="00351BD8" w:rsidRDefault="00351B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7" w:type="dxa"/>
            <w:gridSpan w:val="8"/>
            <w:tcBorders>
              <w:top w:val="single" w:sz="12" w:space="0" w:color="000000"/>
              <w:bottom w:val="nil"/>
            </w:tcBorders>
          </w:tcPr>
          <w:p w:rsidR="00351BD8" w:rsidRDefault="00C1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Values calculated from the mean of three times experiment and represented as mean ± standard deviation (n=3).</w:t>
            </w:r>
          </w:p>
        </w:tc>
      </w:tr>
    </w:tbl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5633085" cy="2359660"/>
            <wp:effectExtent l="0" t="0" r="5715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Fig. 1. </w:t>
      </w:r>
      <w:r>
        <w:rPr>
          <w:rFonts w:ascii="Times New Roman" w:eastAsia="Times New Roman" w:hAnsi="Times New Roman" w:cs="Times New Roman"/>
          <w:color w:val="000000"/>
        </w:rPr>
        <w:t>Antioxidant activity by using DPPH.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351BD8" w:rsidRDefault="00351BD8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351BD8" w:rsidRDefault="00C1728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5 </w:t>
      </w:r>
    </w:p>
    <w:p w:rsidR="00351BD8" w:rsidRDefault="00C1728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Percentage clot lysis of extract.</w:t>
      </w:r>
    </w:p>
    <w:tbl>
      <w:tblPr>
        <w:tblStyle w:val="a3"/>
        <w:tblW w:w="6614" w:type="dxa"/>
        <w:tblInd w:w="-14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925"/>
        <w:gridCol w:w="1729"/>
      </w:tblGrid>
      <w:tr w:rsidR="00351BD8">
        <w:trPr>
          <w:trHeight w:val="225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S.N </w:t>
            </w:r>
          </w:p>
        </w:tc>
        <w:tc>
          <w:tcPr>
            <w:tcW w:w="2925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Concentration(mg/ml) 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 clot lysis </w:t>
            </w:r>
          </w:p>
        </w:tc>
      </w:tr>
      <w:tr w:rsidR="00351BD8">
        <w:trPr>
          <w:trHeight w:val="157"/>
        </w:trPr>
        <w:tc>
          <w:tcPr>
            <w:tcW w:w="1960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Extract 1 </w:t>
            </w:r>
          </w:p>
        </w:tc>
        <w:tc>
          <w:tcPr>
            <w:tcW w:w="2925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10 </w:t>
            </w:r>
          </w:p>
        </w:tc>
        <w:tc>
          <w:tcPr>
            <w:tcW w:w="1729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7.89 </w:t>
            </w:r>
          </w:p>
        </w:tc>
      </w:tr>
      <w:tr w:rsidR="00351BD8">
        <w:trPr>
          <w:trHeight w:val="110"/>
        </w:trPr>
        <w:tc>
          <w:tcPr>
            <w:tcW w:w="19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Extract 2 </w:t>
            </w:r>
          </w:p>
        </w:tc>
        <w:tc>
          <w:tcPr>
            <w:tcW w:w="292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25 </w:t>
            </w:r>
          </w:p>
        </w:tc>
        <w:tc>
          <w:tcPr>
            <w:tcW w:w="172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10.13 </w:t>
            </w:r>
          </w:p>
        </w:tc>
      </w:tr>
      <w:tr w:rsidR="00351BD8">
        <w:trPr>
          <w:trHeight w:val="80"/>
        </w:trPr>
        <w:tc>
          <w:tcPr>
            <w:tcW w:w="19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Streptokinase </w:t>
            </w:r>
          </w:p>
        </w:tc>
        <w:tc>
          <w:tcPr>
            <w:tcW w:w="292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30,000 I.U </w:t>
            </w:r>
          </w:p>
        </w:tc>
        <w:tc>
          <w:tcPr>
            <w:tcW w:w="172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40.77 </w:t>
            </w:r>
          </w:p>
        </w:tc>
      </w:tr>
      <w:tr w:rsidR="00351BD8">
        <w:trPr>
          <w:trHeight w:val="8"/>
        </w:trPr>
        <w:tc>
          <w:tcPr>
            <w:tcW w:w="19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Negative control </w:t>
            </w:r>
          </w:p>
        </w:tc>
        <w:tc>
          <w:tcPr>
            <w:tcW w:w="292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D/W </w:t>
            </w:r>
          </w:p>
        </w:tc>
        <w:tc>
          <w:tcPr>
            <w:tcW w:w="172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2.03 </w:t>
            </w:r>
          </w:p>
        </w:tc>
      </w:tr>
      <w:tr w:rsidR="00351BD8">
        <w:trPr>
          <w:trHeight w:val="8"/>
        </w:trPr>
        <w:tc>
          <w:tcPr>
            <w:tcW w:w="19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D35F8" w:rsidRDefault="00AD3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1y810tw" w:colFirst="0" w:colLast="0"/>
      <w:bookmarkEnd w:id="1"/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5273675" cy="2813050"/>
            <wp:effectExtent l="0" t="0" r="3175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1BD8" w:rsidRDefault="00C1728B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Fig. 2.</w:t>
      </w:r>
      <w:r>
        <w:rPr>
          <w:rFonts w:ascii="Times New Roman" w:eastAsia="Times New Roman" w:hAnsi="Times New Roman" w:cs="Times New Roman"/>
          <w:color w:val="000000"/>
        </w:rPr>
        <w:t xml:space="preserve"> Thrombolytic activity of the extract.</w:t>
      </w:r>
    </w:p>
    <w:p w:rsidR="00351BD8" w:rsidRDefault="00351BD8">
      <w:pPr>
        <w:spacing w:after="0" w:line="480" w:lineRule="auto"/>
        <w:rPr>
          <w:rFonts w:ascii="Times New Roman" w:eastAsia="Times New Roman" w:hAnsi="Times New Roman" w:cs="Times New Roman"/>
        </w:rPr>
      </w:pP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bookmarkStart w:id="2" w:name="_4i7ojhp" w:colFirst="0" w:colLast="0"/>
      <w:bookmarkEnd w:id="2"/>
      <w:r>
        <w:rPr>
          <w:rFonts w:ascii="Times New Roman" w:eastAsia="Times New Roman" w:hAnsi="Times New Roman" w:cs="Times New Roman"/>
          <w:b/>
        </w:rPr>
        <w:t xml:space="preserve">Table 6 </w:t>
      </w: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Percentage protection and percentage hemolysis of extract and standard.</w:t>
      </w:r>
    </w:p>
    <w:tbl>
      <w:tblPr>
        <w:tblStyle w:val="a4"/>
        <w:tblW w:w="8751" w:type="dxa"/>
        <w:tblInd w:w="-9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588"/>
        <w:gridCol w:w="1826"/>
        <w:gridCol w:w="1747"/>
        <w:gridCol w:w="2167"/>
      </w:tblGrid>
      <w:tr w:rsidR="00351BD8">
        <w:trPr>
          <w:cantSplit/>
          <w:trHeight w:val="566"/>
        </w:trPr>
        <w:tc>
          <w:tcPr>
            <w:tcW w:w="1423" w:type="dxa"/>
            <w:vMerge w:val="restart"/>
            <w:tcBorders>
              <w:top w:val="single" w:sz="4" w:space="0" w:color="000000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Concentration(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/ml)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Percentage Protection 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% hemolysis </w:t>
            </w:r>
          </w:p>
        </w:tc>
      </w:tr>
      <w:tr w:rsidR="00351BD8">
        <w:trPr>
          <w:cantSplit/>
          <w:trHeight w:val="315"/>
        </w:trPr>
        <w:tc>
          <w:tcPr>
            <w:tcW w:w="1423" w:type="dxa"/>
            <w:vMerge/>
            <w:tcBorders>
              <w:top w:val="single" w:sz="4" w:space="0" w:color="000000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Diclofenac </w:t>
            </w:r>
          </w:p>
        </w:tc>
        <w:tc>
          <w:tcPr>
            <w:tcW w:w="1826" w:type="dxa"/>
            <w:tcBorders>
              <w:top w:val="nil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Extract </w:t>
            </w:r>
          </w:p>
        </w:tc>
        <w:tc>
          <w:tcPr>
            <w:tcW w:w="1747" w:type="dxa"/>
            <w:tcBorders>
              <w:top w:val="nil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Diclofenac </w:t>
            </w:r>
          </w:p>
        </w:tc>
        <w:tc>
          <w:tcPr>
            <w:tcW w:w="2167" w:type="dxa"/>
            <w:tcBorders>
              <w:top w:val="nil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Extract </w:t>
            </w:r>
          </w:p>
        </w:tc>
      </w:tr>
      <w:tr w:rsidR="00351BD8">
        <w:trPr>
          <w:trHeight w:val="476"/>
        </w:trPr>
        <w:tc>
          <w:tcPr>
            <w:tcW w:w="1423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19.21</w:t>
            </w:r>
          </w:p>
        </w:tc>
        <w:tc>
          <w:tcPr>
            <w:tcW w:w="1826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80.79</w:t>
            </w:r>
          </w:p>
        </w:tc>
        <w:tc>
          <w:tcPr>
            <w:tcW w:w="2167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95.46</w:t>
            </w:r>
          </w:p>
        </w:tc>
      </w:tr>
      <w:tr w:rsidR="00351BD8">
        <w:trPr>
          <w:trHeight w:val="243"/>
        </w:trPr>
        <w:tc>
          <w:tcPr>
            <w:tcW w:w="142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8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21.62</w:t>
            </w:r>
          </w:p>
        </w:tc>
        <w:tc>
          <w:tcPr>
            <w:tcW w:w="182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78.38</w:t>
            </w:r>
          </w:p>
        </w:tc>
        <w:tc>
          <w:tcPr>
            <w:tcW w:w="21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92.75</w:t>
            </w:r>
          </w:p>
        </w:tc>
      </w:tr>
      <w:tr w:rsidR="00351BD8">
        <w:trPr>
          <w:trHeight w:val="360"/>
        </w:trPr>
        <w:tc>
          <w:tcPr>
            <w:tcW w:w="142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8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24.32</w:t>
            </w:r>
          </w:p>
        </w:tc>
        <w:tc>
          <w:tcPr>
            <w:tcW w:w="182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10.32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75.68</w:t>
            </w:r>
          </w:p>
        </w:tc>
        <w:tc>
          <w:tcPr>
            <w:tcW w:w="21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89.62</w:t>
            </w:r>
          </w:p>
        </w:tc>
      </w:tr>
      <w:tr w:rsidR="00351BD8">
        <w:trPr>
          <w:trHeight w:val="621"/>
        </w:trPr>
        <w:tc>
          <w:tcPr>
            <w:tcW w:w="142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8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29.81</w:t>
            </w:r>
          </w:p>
        </w:tc>
        <w:tc>
          <w:tcPr>
            <w:tcW w:w="182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18.16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70.19</w:t>
            </w:r>
          </w:p>
        </w:tc>
        <w:tc>
          <w:tcPr>
            <w:tcW w:w="21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77.90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378"/>
        </w:trPr>
        <w:tc>
          <w:tcPr>
            <w:tcW w:w="142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36.51</w:t>
            </w:r>
          </w:p>
        </w:tc>
        <w:tc>
          <w:tcPr>
            <w:tcW w:w="182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23.32</w:t>
            </w: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63.49</w:t>
            </w:r>
          </w:p>
        </w:tc>
        <w:tc>
          <w:tcPr>
            <w:tcW w:w="21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75.17</w:t>
            </w: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1ci93xb" w:colFirst="0" w:colLast="0"/>
      <w:bookmarkEnd w:id="3"/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4590415" cy="2749550"/>
            <wp:effectExtent l="0" t="0" r="635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4" w:name="_GoBack"/>
      <w:bookmarkEnd w:id="4"/>
    </w:p>
    <w:p w:rsidR="00351BD8" w:rsidRDefault="00C1728B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Fig. 3.</w:t>
      </w:r>
      <w:r>
        <w:rPr>
          <w:rFonts w:ascii="Times New Roman" w:eastAsia="Times New Roman" w:hAnsi="Times New Roman" w:cs="Times New Roman"/>
          <w:color w:val="000000"/>
        </w:rPr>
        <w:t xml:space="preserve"> Anti-inflammatory activity of standard and extract.</w:t>
      </w:r>
    </w:p>
    <w:p w:rsidR="00351BD8" w:rsidRDefault="00351BD8">
      <w:pPr>
        <w:rPr>
          <w:rFonts w:ascii="Times New Roman" w:eastAsia="Times New Roman" w:hAnsi="Times New Roman" w:cs="Times New Roman"/>
        </w:rPr>
      </w:pP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7 </w:t>
      </w: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vertAlign w:val="subscript"/>
        </w:rPr>
        <w:t>50</w:t>
      </w:r>
      <w:r>
        <w:rPr>
          <w:rFonts w:ascii="Times New Roman" w:eastAsia="Times New Roman" w:hAnsi="Times New Roman" w:cs="Times New Roman"/>
        </w:rPr>
        <w:t xml:space="preserve"> values for Diclofenac and extract.</w:t>
      </w:r>
    </w:p>
    <w:tbl>
      <w:tblPr>
        <w:tblStyle w:val="a5"/>
        <w:tblW w:w="6596" w:type="dxa"/>
        <w:tblInd w:w="-14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3298"/>
      </w:tblGrid>
      <w:tr w:rsidR="00351BD8">
        <w:trPr>
          <w:trHeight w:val="29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1BD8">
        <w:trPr>
          <w:trHeight w:val="205"/>
        </w:trPr>
        <w:tc>
          <w:tcPr>
            <w:tcW w:w="3298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Diclofenac sodium </w:t>
            </w:r>
          </w:p>
        </w:tc>
        <w:tc>
          <w:tcPr>
            <w:tcW w:w="3298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8.54 </w:t>
            </w:r>
          </w:p>
        </w:tc>
      </w:tr>
      <w:tr w:rsidR="00351BD8">
        <w:trPr>
          <w:trHeight w:val="262"/>
        </w:trPr>
        <w:tc>
          <w:tcPr>
            <w:tcW w:w="329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Extract </w:t>
            </w:r>
          </w:p>
        </w:tc>
        <w:tc>
          <w:tcPr>
            <w:tcW w:w="329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9.93 </w:t>
            </w: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5370830" cy="2749550"/>
            <wp:effectExtent l="0" t="0" r="127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BD8" w:rsidRDefault="00C1728B">
      <w:r>
        <w:rPr>
          <w:rFonts w:ascii="Times New Roman" w:eastAsia="Times New Roman" w:hAnsi="Times New Roman" w:cs="Times New Roman"/>
          <w:b/>
        </w:rPr>
        <w:t xml:space="preserve">Fig. 4. </w:t>
      </w:r>
      <w:r>
        <w:rPr>
          <w:rFonts w:ascii="Times New Roman" w:eastAsia="Times New Roman" w:hAnsi="Times New Roman" w:cs="Times New Roman"/>
        </w:rPr>
        <w:t>Anti-inflammatory activity.</w:t>
      </w:r>
    </w:p>
    <w:p w:rsidR="00AD35F8" w:rsidRDefault="00AD35F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8 </w:t>
      </w:r>
    </w:p>
    <w:p w:rsidR="00351BD8" w:rsidRDefault="00C172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Percentage mortality by standard Vincristine </w:t>
      </w:r>
      <w:proofErr w:type="spellStart"/>
      <w:r>
        <w:rPr>
          <w:rFonts w:ascii="Times New Roman" w:eastAsia="Times New Roman" w:hAnsi="Times New Roman" w:cs="Times New Roman"/>
        </w:rPr>
        <w:t>Sulphate</w:t>
      </w:r>
      <w:proofErr w:type="spellEnd"/>
    </w:p>
    <w:tbl>
      <w:tblPr>
        <w:tblStyle w:val="a6"/>
        <w:tblW w:w="7540" w:type="dxa"/>
        <w:tblInd w:w="-14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2514"/>
        <w:gridCol w:w="2513"/>
      </w:tblGrid>
      <w:tr w:rsidR="00351BD8">
        <w:trPr>
          <w:trHeight w:val="235"/>
        </w:trPr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/ml)</w:t>
            </w:r>
          </w:p>
        </w:tc>
        <w:tc>
          <w:tcPr>
            <w:tcW w:w="2514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 mortality 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LC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value </w:t>
            </w:r>
          </w:p>
        </w:tc>
      </w:tr>
      <w:tr w:rsidR="00351BD8">
        <w:trPr>
          <w:trHeight w:val="235"/>
        </w:trPr>
        <w:tc>
          <w:tcPr>
            <w:tcW w:w="2513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0.25 </w:t>
            </w:r>
          </w:p>
        </w:tc>
        <w:tc>
          <w:tcPr>
            <w:tcW w:w="2514" w:type="dxa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2513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7.32 </w:t>
            </w:r>
          </w:p>
        </w:tc>
      </w:tr>
      <w:tr w:rsidR="00351BD8">
        <w:trPr>
          <w:trHeight w:val="235"/>
        </w:trPr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0.5 </w:t>
            </w:r>
          </w:p>
        </w:tc>
        <w:tc>
          <w:tcPr>
            <w:tcW w:w="251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1BD8">
        <w:trPr>
          <w:trHeight w:val="235"/>
        </w:trPr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51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1BD8">
        <w:trPr>
          <w:trHeight w:val="235"/>
        </w:trPr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251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40 </w:t>
            </w:r>
          </w:p>
        </w:tc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1BD8">
        <w:trPr>
          <w:trHeight w:val="235"/>
        </w:trPr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251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1BD8" w:rsidRDefault="00C1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 </w:t>
            </w:r>
          </w:p>
        </w:tc>
        <w:tc>
          <w:tcPr>
            <w:tcW w:w="25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2bn6wsx" w:colFirst="0" w:colLast="0"/>
      <w:bookmarkEnd w:id="5"/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5419725" cy="2761615"/>
            <wp:effectExtent l="0" t="0" r="9525" b="6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1BD8" w:rsidRDefault="00C1728B">
      <w:pPr>
        <w:keepNext/>
        <w:rPr>
          <w:rFonts w:ascii="Times New Roman" w:eastAsia="Times New Roman" w:hAnsi="Times New Roman" w:cs="Times New Roman"/>
        </w:rPr>
      </w:pPr>
      <w:bookmarkStart w:id="6" w:name="_qsh70q" w:colFirst="0" w:colLast="0"/>
      <w:bookmarkEnd w:id="6"/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 xml:space="preserve">Fig. 5. </w:t>
      </w:r>
      <w:r>
        <w:rPr>
          <w:rFonts w:ascii="Times New Roman" w:eastAsia="Times New Roman" w:hAnsi="Times New Roman" w:cs="Times New Roman"/>
        </w:rPr>
        <w:t xml:space="preserve">Cytotoxic activity of vincristine </w:t>
      </w:r>
      <w:proofErr w:type="spellStart"/>
      <w:r>
        <w:rPr>
          <w:rFonts w:ascii="Times New Roman" w:eastAsia="Times New Roman" w:hAnsi="Times New Roman" w:cs="Times New Roman"/>
        </w:rPr>
        <w:t>Sulphate</w:t>
      </w:r>
      <w:proofErr w:type="spellEnd"/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Table 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51BD8" w:rsidRDefault="00C1728B" w:rsidP="00AD3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Percentage mortality of brine shrimp by extract.</w:t>
      </w:r>
    </w:p>
    <w:tbl>
      <w:tblPr>
        <w:tblStyle w:val="a7"/>
        <w:tblW w:w="7134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050"/>
        <w:gridCol w:w="2532"/>
      </w:tblGrid>
      <w:tr w:rsidR="00351BD8">
        <w:trPr>
          <w:trHeight w:val="425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Concentration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/ml)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Mortality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/ml)</w:t>
            </w:r>
          </w:p>
        </w:tc>
      </w:tr>
      <w:tr w:rsidR="00351BD8">
        <w:trPr>
          <w:trHeight w:val="376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767.85</w:t>
            </w:r>
          </w:p>
        </w:tc>
      </w:tr>
      <w:tr w:rsidR="00351BD8">
        <w:trPr>
          <w:trHeight w:val="327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437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536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51BD8">
        <w:trPr>
          <w:trHeight w:val="12"/>
        </w:trPr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0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C172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3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D8" w:rsidRDefault="00351B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drawing>
          <wp:inline distT="0" distB="0" distL="114300" distR="114300">
            <wp:extent cx="5126990" cy="2749550"/>
            <wp:effectExtent l="0" t="0" r="16510" b="1270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Fig. 6. </w:t>
      </w:r>
      <w:r>
        <w:rPr>
          <w:rFonts w:ascii="Times New Roman" w:eastAsia="Times New Roman" w:hAnsi="Times New Roman" w:cs="Times New Roman"/>
          <w:color w:val="000000"/>
        </w:rPr>
        <w:t>Cytotoxic activity of extract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D35F8" w:rsidRDefault="00AD3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Table 10 </w:t>
      </w:r>
      <w:r>
        <w:rPr>
          <w:rFonts w:ascii="Times New Roman" w:eastAsia="Times New Roman" w:hAnsi="Times New Roman" w:cs="Times New Roman"/>
          <w:color w:val="000000"/>
        </w:rPr>
        <w:t>Antibacterial activity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Style w:val="a8"/>
        <w:tblW w:w="7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953"/>
        <w:gridCol w:w="1123"/>
        <w:gridCol w:w="1228"/>
        <w:gridCol w:w="1400"/>
        <w:gridCol w:w="1170"/>
      </w:tblGrid>
      <w:tr w:rsidR="00351BD8">
        <w:trPr>
          <w:cantSplit/>
          <w:trHeight w:val="753"/>
        </w:trPr>
        <w:tc>
          <w:tcPr>
            <w:tcW w:w="1686" w:type="dxa"/>
            <w:vMerge w:val="restart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Sample</w:t>
            </w:r>
          </w:p>
        </w:tc>
        <w:tc>
          <w:tcPr>
            <w:tcW w:w="953" w:type="dxa"/>
            <w:vMerge w:val="restart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Concn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/ml)</w:t>
            </w:r>
          </w:p>
        </w:tc>
        <w:tc>
          <w:tcPr>
            <w:tcW w:w="4921" w:type="dxa"/>
            <w:gridSpan w:val="4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Inhibition zones of antibacterial screening (mm)</w:t>
            </w:r>
          </w:p>
        </w:tc>
      </w:tr>
      <w:tr w:rsidR="00351BD8">
        <w:trPr>
          <w:cantSplit/>
          <w:trHeight w:val="1391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S. aureus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B. subtilis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pneumoniae</w:t>
            </w:r>
            <w:proofErr w:type="spellEnd"/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E. coli</w:t>
            </w:r>
          </w:p>
        </w:tc>
      </w:tr>
      <w:tr w:rsidR="00351BD8">
        <w:trPr>
          <w:cantSplit/>
          <w:trHeight w:val="753"/>
        </w:trPr>
        <w:tc>
          <w:tcPr>
            <w:tcW w:w="1686" w:type="dxa"/>
            <w:vMerge w:val="restart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Azithromycin</w:t>
            </w: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5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 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7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12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12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19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14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21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 w:val="restart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Gentamycin</w:t>
            </w: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3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8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3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9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4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13</w:t>
            </w:r>
          </w:p>
        </w:tc>
      </w:tr>
      <w:tr w:rsidR="00351BD8">
        <w:trPr>
          <w:cantSplit/>
          <w:trHeight w:val="434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7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15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 w:val="restart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Extract</w:t>
            </w: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3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366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4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  <w:tr w:rsidR="00351BD8">
        <w:trPr>
          <w:cantSplit/>
          <w:trHeight w:val="434"/>
        </w:trPr>
        <w:tc>
          <w:tcPr>
            <w:tcW w:w="1686" w:type="dxa"/>
            <w:vMerge/>
          </w:tcPr>
          <w:p w:rsidR="00351BD8" w:rsidRDefault="0035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123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6</w:t>
            </w:r>
          </w:p>
        </w:tc>
        <w:tc>
          <w:tcPr>
            <w:tcW w:w="1228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4</w:t>
            </w:r>
          </w:p>
        </w:tc>
        <w:tc>
          <w:tcPr>
            <w:tcW w:w="140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1170" w:type="dxa"/>
          </w:tcPr>
          <w:p w:rsidR="00351BD8" w:rsidRDefault="00C172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</w:p>
        </w:tc>
      </w:tr>
    </w:tbl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drawing>
          <wp:inline distT="0" distB="0" distL="114300" distR="114300">
            <wp:extent cx="5011420" cy="2761615"/>
            <wp:effectExtent l="0" t="0" r="17780" b="6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Fig. 7. </w:t>
      </w:r>
      <w:r>
        <w:rPr>
          <w:rFonts w:ascii="Times New Roman" w:eastAsia="Times New Roman" w:hAnsi="Times New Roman" w:cs="Times New Roman"/>
          <w:i/>
          <w:color w:val="000000"/>
        </w:rPr>
        <w:t>Antibacterial activity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of extract against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S.aureus</w:t>
      </w:r>
      <w:proofErr w:type="spellEnd"/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lastRenderedPageBreak/>
        <w:drawing>
          <wp:inline distT="0" distB="0" distL="114300" distR="114300">
            <wp:extent cx="5151755" cy="2761615"/>
            <wp:effectExtent l="0" t="0" r="10795" b="63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Fig. 7. </w:t>
      </w:r>
      <w:r>
        <w:rPr>
          <w:rFonts w:ascii="Times New Roman" w:eastAsia="Times New Roman" w:hAnsi="Times New Roman" w:cs="Times New Roman"/>
          <w:color w:val="000000"/>
        </w:rPr>
        <w:t>Antibacterial activity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of extract against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B.subtilis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AU"/>
        </w:rPr>
        <w:drawing>
          <wp:inline distT="0" distB="0" distL="114300" distR="114300">
            <wp:extent cx="5358765" cy="2761615"/>
            <wp:effectExtent l="0" t="0" r="13335" b="63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1BD8" w:rsidRDefault="00C1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Fig. 8. </w:t>
      </w:r>
      <w:r>
        <w:rPr>
          <w:rFonts w:ascii="Times New Roman" w:eastAsia="Times New Roman" w:hAnsi="Times New Roman" w:cs="Times New Roman"/>
          <w:color w:val="000000"/>
        </w:rPr>
        <w:t xml:space="preserve">Antibacterial activity of extract against </w:t>
      </w:r>
      <w:r>
        <w:rPr>
          <w:rFonts w:ascii="Times New Roman" w:eastAsia="Times New Roman" w:hAnsi="Times New Roman" w:cs="Times New Roman"/>
          <w:i/>
          <w:color w:val="000000"/>
        </w:rPr>
        <w:t>K .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pneumoniae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351BD8" w:rsidRDefault="00351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1BD8" w:rsidRDefault="00351BD8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51B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F8" w:rsidRDefault="00AD35F8" w:rsidP="00AD35F8">
      <w:pPr>
        <w:spacing w:after="0" w:line="240" w:lineRule="auto"/>
      </w:pPr>
      <w:r>
        <w:separator/>
      </w:r>
    </w:p>
  </w:endnote>
  <w:endnote w:type="continuationSeparator" w:id="0">
    <w:p w:rsidR="00AD35F8" w:rsidRDefault="00AD35F8" w:rsidP="00AD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F8" w:rsidRDefault="00AD35F8" w:rsidP="00AD35F8">
      <w:pPr>
        <w:spacing w:after="0" w:line="240" w:lineRule="auto"/>
      </w:pPr>
      <w:r>
        <w:separator/>
      </w:r>
    </w:p>
  </w:footnote>
  <w:footnote w:type="continuationSeparator" w:id="0">
    <w:p w:rsidR="00AD35F8" w:rsidRDefault="00AD35F8" w:rsidP="00AD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26E"/>
    <w:multiLevelType w:val="multilevel"/>
    <w:tmpl w:val="7BA6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D8"/>
    <w:rsid w:val="000A1631"/>
    <w:rsid w:val="00351BD8"/>
    <w:rsid w:val="004462C4"/>
    <w:rsid w:val="005348CE"/>
    <w:rsid w:val="00574459"/>
    <w:rsid w:val="005B22E3"/>
    <w:rsid w:val="00707DF9"/>
    <w:rsid w:val="00745A87"/>
    <w:rsid w:val="009460ED"/>
    <w:rsid w:val="009B614F"/>
    <w:rsid w:val="009F4E86"/>
    <w:rsid w:val="00AD35F8"/>
    <w:rsid w:val="00C14EE4"/>
    <w:rsid w:val="00C14FAC"/>
    <w:rsid w:val="00C1728B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067B"/>
  <w15:docId w15:val="{DCFE5A84-7498-436D-8AFF-7596F524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48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color w:val="00B05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00" w:after="0" w:line="360" w:lineRule="auto"/>
      <w:ind w:left="576" w:hanging="576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36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="Cambria" w:eastAsia="Cambria" w:hAnsi="Cambria" w:cs="Cambria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="Cambria" w:eastAsia="Cambria" w:hAnsi="Cambria" w:cs="Cambria"/>
      <w:i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45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F8"/>
  </w:style>
  <w:style w:type="paragraph" w:styleId="Footer">
    <w:name w:val="footer"/>
    <w:basedOn w:val="Normal"/>
    <w:link w:val="FooterChar"/>
    <w:uiPriority w:val="99"/>
    <w:unhideWhenUsed/>
    <w:rsid w:val="00AD3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ownloads\karki%20(1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eepa\Desktop\deepa%20kark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deepa%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deepa%20kark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DPph%20brine%20shrimp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wnloads\DPph%20brine%20shrimp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kabita%20antimicrobia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kabita%20antimicrobia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epa\Desktop\kabita%20antimicrobi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1558831152418403"/>
          <c:y val="6.6915815614388557E-2"/>
          <c:w val="0.54516785797670786"/>
          <c:h val="0.70389536770203698"/>
        </c:manualLayout>
      </c:layout>
      <c:scatterChart>
        <c:scatterStyle val="lineMarke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 Scavenging of ascorbic acid</c:v>
                </c:pt>
              </c:strCache>
            </c:strRef>
          </c:tx>
          <c:spPr>
            <a:ln w="19050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41.190140000000063</c:v>
                </c:pt>
                <c:pt idx="1">
                  <c:v>61.692240000000012</c:v>
                </c:pt>
                <c:pt idx="2">
                  <c:v>75.592749999999981</c:v>
                </c:pt>
                <c:pt idx="3">
                  <c:v>92.561600000000027</c:v>
                </c:pt>
                <c:pt idx="4">
                  <c:v>97.071129999999997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A15-4424-8429-25FFB8939B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Scavenging of extract</c:v>
                </c:pt>
              </c:strCache>
            </c:strRef>
          </c:tx>
          <c:spPr>
            <a:ln w="19050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</c:numCache>
            </c:numRef>
          </c:xVal>
          <c:yVal>
            <c:numRef>
              <c:f>Sheet1!$C$2:$C$6</c:f>
              <c:numCache>
                <c:formatCode>General</c:formatCode>
                <c:ptCount val="5"/>
                <c:pt idx="0">
                  <c:v>15.138329999999998</c:v>
                </c:pt>
                <c:pt idx="1">
                  <c:v>24.650300000000001</c:v>
                </c:pt>
                <c:pt idx="2">
                  <c:v>29.281939999999889</c:v>
                </c:pt>
                <c:pt idx="3">
                  <c:v>37.332900000000002</c:v>
                </c:pt>
                <c:pt idx="4">
                  <c:v>42.834940000000003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A15-4424-8429-25FFB8939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188096"/>
        <c:axId val="167461632"/>
      </c:scatterChart>
      <c:valAx>
        <c:axId val="9518809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Concentration(µg/ml)</a:t>
                </a:r>
              </a:p>
            </c:rich>
          </c:tx>
          <c:layout/>
          <c:overlay val="1"/>
        </c:title>
        <c:numFmt formatCode="General" sourceLinked="1"/>
        <c:majorTickMark val="none"/>
        <c:minorTickMark val="cross"/>
        <c:tickLblPos val="nextTo"/>
        <c:crossAx val="167461632"/>
        <c:crosses val="autoZero"/>
        <c:crossBetween val="midCat"/>
      </c:valAx>
      <c:valAx>
        <c:axId val="167461632"/>
        <c:scaling>
          <c:orientation val="minMax"/>
        </c:scaling>
        <c:delete val="1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Scavenging</a:t>
                </a:r>
              </a:p>
            </c:rich>
          </c:tx>
          <c:layout/>
          <c:overlay val="1"/>
        </c:title>
        <c:numFmt formatCode="General" sourceLinked="1"/>
        <c:majorTickMark val="none"/>
        <c:minorTickMark val="cross"/>
        <c:tickLblPos val="nextTo"/>
        <c:crossAx val="95188096"/>
        <c:crosses val="autoZero"/>
        <c:crossBetween val="midCat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70174837332808226"/>
          <c:y val="6.7415994524537518E-2"/>
          <c:w val="0.28464991478402557"/>
          <c:h val="0.8651675834475836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legend>
    <c:plotVisOnly val="1"/>
    <c:dispBlanksAs val="zero"/>
    <c:showDLblsOverMax val="1"/>
  </c:chart>
  <c:spPr>
    <a:solidFill>
      <a:schemeClr val="bg1">
        <a:lumMod val="75000"/>
      </a:schemeClr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844331901789235"/>
          <c:y val="0.16197926141531743"/>
          <c:w val="0.71712747009866784"/>
          <c:h val="0.59780975740961462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 Clot lysis</c:v>
                </c:pt>
              </c:strCache>
            </c:strRef>
          </c:tx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10</c:v>
                </c:pt>
                <c:pt idx="1">
                  <c:v>25</c:v>
                </c:pt>
                <c:pt idx="2">
                  <c:v>Streptokinase (30000IU)</c:v>
                </c:pt>
                <c:pt idx="3">
                  <c:v>Negative Control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7.89</c:v>
                </c:pt>
                <c:pt idx="1">
                  <c:v>10.130000000000001</c:v>
                </c:pt>
                <c:pt idx="2">
                  <c:v>40.770000000000003</c:v>
                </c:pt>
                <c:pt idx="3">
                  <c:v>2.0299999999999998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1-4521-92D1-08D04A5CD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378112"/>
        <c:axId val="82429824"/>
      </c:barChart>
      <c:catAx>
        <c:axId val="823781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 dirty="0" smtClean="0"/>
                  <a:t>`concentration(mg/ml)</a:t>
                </a:r>
                <a:endParaRPr lang="en-US" sz="1200" dirty="0"/>
              </a:p>
            </c:rich>
          </c:tx>
          <c:layout>
            <c:manualLayout>
              <c:xMode val="edge"/>
              <c:yMode val="edge"/>
              <c:x val="0.23911186712783841"/>
              <c:y val="0.90595765056394972"/>
            </c:manualLayout>
          </c:layout>
          <c:overlay val="1"/>
        </c:title>
        <c:numFmt formatCode="General" sourceLinked="0"/>
        <c:majorTickMark val="cross"/>
        <c:minorTickMark val="cross"/>
        <c:tickLblPos val="nextTo"/>
        <c:crossAx val="82429824"/>
        <c:crosses val="autoZero"/>
        <c:auto val="1"/>
        <c:lblAlgn val="ctr"/>
        <c:lblOffset val="100"/>
        <c:noMultiLvlLbl val="1"/>
      </c:catAx>
      <c:valAx>
        <c:axId val="82429824"/>
        <c:scaling>
          <c:orientation val="minMax"/>
        </c:scaling>
        <c:delete val="1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Clot Lysis</a:t>
                </a:r>
                <a:endParaRPr lang="en-US"/>
              </a:p>
            </c:rich>
          </c:tx>
          <c:layout/>
          <c:overlay val="1"/>
        </c:title>
        <c:numFmt formatCode="General" sourceLinked="1"/>
        <c:majorTickMark val="cross"/>
        <c:minorTickMark val="cross"/>
        <c:tickLblPos val="nextTo"/>
        <c:crossAx val="82378112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8430956749378038"/>
          <c:y val="0.23112866250207073"/>
          <c:w val="0.15448744066977027"/>
          <c:h val="0.35065790997133944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accent4">
        <a:lumMod val="40000"/>
        <a:lumOff val="60000"/>
      </a:schemeClr>
    </a:solidFill>
  </c:spPr>
  <c:externalData r:id="rId1">
    <c:autoUpdate val="1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Antiinflammatory</a:t>
            </a:r>
            <a:r>
              <a:rPr lang="en-US" sz="1100" baseline="0">
                <a:latin typeface="Times New Roman" pitchFamily="18" charset="0"/>
                <a:cs typeface="Times New Roman" pitchFamily="18" charset="0"/>
              </a:rPr>
              <a:t>  activity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autoTitleDeleted val="0"/>
    <c:plotArea>
      <c:layout>
        <c:manualLayout>
          <c:layoutTarget val="inner"/>
          <c:xMode val="edge"/>
          <c:yMode val="edge"/>
          <c:x val="0.10172462817147894"/>
          <c:y val="0.1516090696996209"/>
          <c:w val="0.61996981627296632"/>
          <c:h val="0.59984507144940435"/>
        </c:manualLayout>
      </c:layout>
      <c:scatterChart>
        <c:scatterStyle val="lineMarker"/>
        <c:varyColors val="1"/>
        <c:ser>
          <c:idx val="0"/>
          <c:order val="0"/>
          <c:tx>
            <c:strRef>
              <c:f>Sheet2!$B$1</c:f>
              <c:strCache>
                <c:ptCount val="1"/>
                <c:pt idx="0">
                  <c:v>declofenac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strRef>
              <c:f>Sheet2!$A$2:$A$6</c:f>
              <c:strCache>
                <c:ptCount val="5"/>
                <c:pt idx="0">
                  <c:v>10µg/ml</c:v>
                </c:pt>
                <c:pt idx="1">
                  <c:v>20µg/ml</c:v>
                </c:pt>
                <c:pt idx="2">
                  <c:v>40µg/ml</c:v>
                </c:pt>
                <c:pt idx="3">
                  <c:v>80µg/ml</c:v>
                </c:pt>
                <c:pt idx="4">
                  <c:v>100µg/ml</c:v>
                </c:pt>
              </c:strCache>
            </c:strRef>
          </c:xVal>
          <c:yVal>
            <c:numRef>
              <c:f>Sheet2!$B$2:$B$6</c:f>
              <c:numCache>
                <c:formatCode>General</c:formatCode>
                <c:ptCount val="5"/>
                <c:pt idx="0">
                  <c:v>19.21</c:v>
                </c:pt>
                <c:pt idx="1">
                  <c:v>21.62</c:v>
                </c:pt>
                <c:pt idx="2">
                  <c:v>24.32</c:v>
                </c:pt>
                <c:pt idx="3">
                  <c:v>29.810000000000031</c:v>
                </c:pt>
                <c:pt idx="4">
                  <c:v>36.51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5A2-41BB-BDE0-88CE7D219DFE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extract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strRef>
              <c:f>Sheet2!$A$2:$A$6</c:f>
              <c:strCache>
                <c:ptCount val="5"/>
                <c:pt idx="0">
                  <c:v>10µg/ml</c:v>
                </c:pt>
                <c:pt idx="1">
                  <c:v>20µg/ml</c:v>
                </c:pt>
                <c:pt idx="2">
                  <c:v>40µg/ml</c:v>
                </c:pt>
                <c:pt idx="3">
                  <c:v>80µg/ml</c:v>
                </c:pt>
                <c:pt idx="4">
                  <c:v>100µg/ml</c:v>
                </c:pt>
              </c:strCache>
            </c:strRef>
          </c:xVal>
          <c:yVal>
            <c:numRef>
              <c:f>Sheet2!$C$2:$C$6</c:f>
              <c:numCache>
                <c:formatCode>General</c:formatCode>
                <c:ptCount val="5"/>
                <c:pt idx="0">
                  <c:v>4.5</c:v>
                </c:pt>
                <c:pt idx="1">
                  <c:v>7.2</c:v>
                </c:pt>
                <c:pt idx="2">
                  <c:v>10.360000000000024</c:v>
                </c:pt>
                <c:pt idx="3">
                  <c:v>18</c:v>
                </c:pt>
                <c:pt idx="4">
                  <c:v>23.32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5A2-41BB-BDE0-88CE7D21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108224"/>
        <c:axId val="83110144"/>
      </c:scatterChart>
      <c:valAx>
        <c:axId val="8310822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Concentration(µg/ml)</a:t>
                </a:r>
              </a:p>
            </c:rich>
          </c:tx>
          <c:layout/>
          <c:overlay val="1"/>
        </c:title>
        <c:majorTickMark val="none"/>
        <c:minorTickMark val="cross"/>
        <c:tickLblPos val="nextTo"/>
        <c:crossAx val="83110144"/>
        <c:crosses val="autoZero"/>
        <c:crossBetween val="midCat"/>
      </c:valAx>
      <c:valAx>
        <c:axId val="83110144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% </a:t>
                </a:r>
                <a:r>
                  <a:rPr lang="en-US" b="1" baseline="0"/>
                  <a:t> Protection </a:t>
                </a:r>
                <a:endParaRPr lang="en-US" b="1"/>
              </a:p>
            </c:rich>
          </c:tx>
          <c:layout/>
          <c:overlay val="1"/>
        </c:title>
        <c:numFmt formatCode="General" sourceLinked="1"/>
        <c:majorTickMark val="none"/>
        <c:minorTickMark val="cross"/>
        <c:tickLblPos val="nextTo"/>
        <c:crossAx val="83108224"/>
        <c:crosses val="autoZero"/>
        <c:crossBetween val="midCat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73984711286089599"/>
          <c:y val="0.16044765237678624"/>
          <c:w val="0.24348622047244195"/>
          <c:h val="0.6219058034412388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chemeClr val="accent4">
        <a:lumMod val="40000"/>
        <a:lumOff val="60000"/>
      </a:schemeClr>
    </a:solidFill>
  </c:sp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Sheet2!$B$1</c:f>
              <c:strCache>
                <c:ptCount val="1"/>
                <c:pt idx="0">
                  <c:v>declofenac</c:v>
                </c:pt>
              </c:strCache>
            </c:strRef>
          </c:tx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Sheet2!$A$2:$A$6</c:f>
              <c:strCache>
                <c:ptCount val="5"/>
                <c:pt idx="0">
                  <c:v>10µg/ml</c:v>
                </c:pt>
                <c:pt idx="1">
                  <c:v>20µg/ml</c:v>
                </c:pt>
                <c:pt idx="2">
                  <c:v>40µg/ml</c:v>
                </c:pt>
                <c:pt idx="3">
                  <c:v>80µg/ml</c:v>
                </c:pt>
                <c:pt idx="4">
                  <c:v>100µg/ml</c:v>
                </c:pt>
              </c:strCache>
            </c:strRef>
          </c:cat>
          <c:val>
            <c:numRef>
              <c:f>Sheet2!$B$2:$B$6</c:f>
              <c:numCache>
                <c:formatCode>General</c:formatCode>
                <c:ptCount val="5"/>
                <c:pt idx="0">
                  <c:v>19.21</c:v>
                </c:pt>
                <c:pt idx="1">
                  <c:v>21.62</c:v>
                </c:pt>
                <c:pt idx="2">
                  <c:v>24.32</c:v>
                </c:pt>
                <c:pt idx="3">
                  <c:v>29.810000000000031</c:v>
                </c:pt>
                <c:pt idx="4">
                  <c:v>36.51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18-43E1-974D-77571BA5F1A7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extract</c:v>
                </c:pt>
              </c:strCache>
            </c:strRef>
          </c:tx>
          <c:invertIfNegative val="1"/>
          <c:dLbls>
            <c:dLbl>
              <c:idx val="2"/>
              <c:layout>
                <c:manualLayout>
                  <c:x val="2.5000000000000001E-2"/>
                  <c:y val="9.2592592592593455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C18-43E1-974D-77571BA5F1A7}"/>
                </c:ext>
              </c:extLst>
            </c:dLbl>
            <c:dLbl>
              <c:idx val="4"/>
              <c:layout>
                <c:manualLayout>
                  <c:x val="3.3333333333333229E-2"/>
                  <c:y val="4.629629629629658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C18-43E1-974D-77571BA5F1A7}"/>
                </c:ext>
              </c:extLst>
            </c:dLbl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Sheet2!$A$2:$A$6</c:f>
              <c:strCache>
                <c:ptCount val="5"/>
                <c:pt idx="0">
                  <c:v>10µg/ml</c:v>
                </c:pt>
                <c:pt idx="1">
                  <c:v>20µg/ml</c:v>
                </c:pt>
                <c:pt idx="2">
                  <c:v>40µg/ml</c:v>
                </c:pt>
                <c:pt idx="3">
                  <c:v>80µg/ml</c:v>
                </c:pt>
                <c:pt idx="4">
                  <c:v>100µg/ml</c:v>
                </c:pt>
              </c:strCache>
            </c:strRef>
          </c:cat>
          <c:val>
            <c:numRef>
              <c:f>Sheet2!$C$2:$C$6</c:f>
              <c:numCache>
                <c:formatCode>General</c:formatCode>
                <c:ptCount val="5"/>
                <c:pt idx="0">
                  <c:v>4.5</c:v>
                </c:pt>
                <c:pt idx="1">
                  <c:v>7.2</c:v>
                </c:pt>
                <c:pt idx="2">
                  <c:v>10.360000000000024</c:v>
                </c:pt>
                <c:pt idx="3">
                  <c:v>22</c:v>
                </c:pt>
                <c:pt idx="4">
                  <c:v>24.32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18-43E1-974D-77571BA5F1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443712"/>
        <c:axId val="83445632"/>
      </c:barChart>
      <c:catAx>
        <c:axId val="834437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Concentration</a:t>
                </a:r>
                <a:r>
                  <a:rPr lang="en-US" sz="1200" baseline="0"/>
                  <a:t> (</a:t>
                </a:r>
                <a:r>
                  <a:rPr lang="en-US" sz="1200" baseline="0">
                    <a:latin typeface="Times New Roman"/>
                    <a:cs typeface="Times New Roman"/>
                  </a:rPr>
                  <a:t>µg/ml)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35160189393445707"/>
              <c:y val="0.92117764725136819"/>
            </c:manualLayout>
          </c:layout>
          <c:overlay val="1"/>
        </c:title>
        <c:numFmt formatCode="General" sourceLinked="0"/>
        <c:majorTickMark val="cross"/>
        <c:minorTickMark val="cross"/>
        <c:tickLblPos val="nextTo"/>
        <c:crossAx val="83445632"/>
        <c:crosses val="autoZero"/>
        <c:auto val="1"/>
        <c:lblAlgn val="ctr"/>
        <c:lblOffset val="100"/>
        <c:noMultiLvlLbl val="1"/>
      </c:catAx>
      <c:valAx>
        <c:axId val="83445632"/>
        <c:scaling>
          <c:orientation val="minMax"/>
        </c:scaling>
        <c:delete val="1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%</a:t>
                </a:r>
                <a:r>
                  <a:rPr lang="en-US" sz="1200" baseline="0"/>
                  <a:t> Protection</a:t>
                </a:r>
                <a:endParaRPr lang="en-US" sz="1200"/>
              </a:p>
            </c:rich>
          </c:tx>
          <c:layout/>
          <c:overlay val="1"/>
        </c:title>
        <c:numFmt formatCode="General" sourceLinked="1"/>
        <c:majorTickMark val="cross"/>
        <c:minorTickMark val="cross"/>
        <c:tickLblPos val="nextTo"/>
        <c:crossAx val="83443712"/>
        <c:crosses val="autoZero"/>
        <c:crossBetween val="between"/>
      </c:valAx>
    </c:plotArea>
    <c:legend>
      <c:legendPos val="r"/>
      <c:layout/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chemeClr val="bg1">
        <a:lumMod val="85000"/>
      </a:schemeClr>
    </a:solidFill>
  </c:sp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2170027114015167"/>
          <c:y val="5.1400554097404488E-2"/>
          <c:w val="0.66338876552335868"/>
          <c:h val="0.70005358705161858"/>
        </c:manualLayout>
      </c:layout>
      <c:scatterChart>
        <c:scatterStyle val="lineMarker"/>
        <c:varyColors val="1"/>
        <c:ser>
          <c:idx val="0"/>
          <c:order val="0"/>
          <c:tx>
            <c:strRef>
              <c:f>Sheet3!$B$1</c:f>
              <c:strCache>
                <c:ptCount val="1"/>
                <c:pt idx="0">
                  <c:v>% mortality</c:v>
                </c:pt>
              </c:strCache>
            </c:strRef>
          </c:tx>
          <c:spPr>
            <a:ln w="19050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  <c:txPr>
                <a:bodyPr/>
                <a:lstStyle/>
                <a:p>
                  <a:pPr>
                    <a:defRPr sz="1200"/>
                  </a:pPr>
                  <a:endParaRPr lang="en-US"/>
                </a:p>
              </c:txPr>
            </c:trendlineLbl>
          </c:trendline>
          <c:xVal>
            <c:numRef>
              <c:f>Sheet3!$A$2:$A$6</c:f>
              <c:numCache>
                <c:formatCode>General</c:formatCode>
                <c:ptCount val="5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5</c:v>
                </c:pt>
                <c:pt idx="4">
                  <c:v>10</c:v>
                </c:pt>
              </c:numCache>
            </c:numRef>
          </c:xVal>
          <c:yVal>
            <c:numRef>
              <c:f>Sheet3!$B$2:$B$6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30</c:v>
                </c:pt>
                <c:pt idx="3">
                  <c:v>40</c:v>
                </c:pt>
                <c:pt idx="4">
                  <c:v>60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BB8-4953-B225-D35CD6B07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379072"/>
        <c:axId val="167480320"/>
      </c:scatterChart>
      <c:valAx>
        <c:axId val="16537907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Concentration (µg/ml)</a:t>
                </a:r>
              </a:p>
            </c:rich>
          </c:tx>
          <c:layout/>
          <c:overlay val="1"/>
        </c:title>
        <c:numFmt formatCode="General" sourceLinked="1"/>
        <c:majorTickMark val="none"/>
        <c:minorTickMark val="cross"/>
        <c:tickLblPos val="nextTo"/>
        <c:crossAx val="167480320"/>
        <c:crosses val="autoZero"/>
        <c:crossBetween val="midCat"/>
      </c:valAx>
      <c:valAx>
        <c:axId val="167480320"/>
        <c:scaling>
          <c:orientation val="minMax"/>
        </c:scaling>
        <c:delete val="1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% Mortality</a:t>
                </a:r>
              </a:p>
            </c:rich>
          </c:tx>
          <c:layout/>
          <c:overlay val="1"/>
        </c:title>
        <c:numFmt formatCode="General" sourceLinked="1"/>
        <c:majorTickMark val="none"/>
        <c:minorTickMark val="cross"/>
        <c:tickLblPos val="nextTo"/>
        <c:crossAx val="165379072"/>
        <c:crosses val="autoZero"/>
        <c:crossBetween val="midCat"/>
      </c:valAx>
      <c:spPr>
        <a:solidFill>
          <a:schemeClr val="bg1"/>
        </a:solidFill>
        <a:ln w="25400" cap="flat" cmpd="sng" algn="ctr">
          <a:solidFill>
            <a:schemeClr val="accent1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0252777777777751"/>
          <c:y val="0.19869021580635754"/>
          <c:w val="0.18080555555555555"/>
          <c:h val="0.38502697579469697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 sz="1050"/>
          </a:pPr>
          <a:endParaRPr lang="en-US"/>
        </a:p>
      </c:txPr>
    </c:legend>
    <c:plotVisOnly val="1"/>
    <c:dispBlanksAs val="zero"/>
    <c:showDLblsOverMax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title>
      <c:layout/>
      <c:overlay val="1"/>
    </c:title>
    <c:autoTitleDeleted val="0"/>
    <c:plotArea>
      <c:layout>
        <c:manualLayout>
          <c:layoutTarget val="inner"/>
          <c:xMode val="edge"/>
          <c:yMode val="edge"/>
          <c:x val="0.11578018372703412"/>
          <c:y val="0.19480351414406533"/>
          <c:w val="0.59469903762029874"/>
          <c:h val="0.67049650043744535"/>
        </c:manualLayout>
      </c:layout>
      <c:scatterChart>
        <c:scatterStyle val="lineMarker"/>
        <c:varyColors val="1"/>
        <c:ser>
          <c:idx val="0"/>
          <c:order val="0"/>
          <c:tx>
            <c:strRef>
              <c:f>Sheet3!$D$1</c:f>
              <c:strCache>
                <c:ptCount val="1"/>
                <c:pt idx="0">
                  <c:v>% mortality</c:v>
                </c:pt>
              </c:strCache>
            </c:strRef>
          </c:tx>
          <c:spPr>
            <a:ln w="19050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Sheet3!$C$2:$C$6</c:f>
              <c:numCache>
                <c:formatCode>General</c:formatCode>
                <c:ptCount val="5"/>
                <c:pt idx="0">
                  <c:v>50</c:v>
                </c:pt>
                <c:pt idx="1">
                  <c:v>100</c:v>
                </c:pt>
                <c:pt idx="2">
                  <c:v>200</c:v>
                </c:pt>
                <c:pt idx="3">
                  <c:v>400</c:v>
                </c:pt>
                <c:pt idx="4">
                  <c:v>800</c:v>
                </c:pt>
              </c:numCache>
            </c:numRef>
          </c:xVal>
          <c:yVal>
            <c:numRef>
              <c:f>Sheet3!$D$2:$D$6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30</c:v>
                </c:pt>
                <c:pt idx="4">
                  <c:v>50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B8A-46D7-8EFD-FEB037A8D1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452032"/>
        <c:axId val="81454208"/>
      </c:scatterChart>
      <c:valAx>
        <c:axId val="8145203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Concentration(</a:t>
                </a:r>
                <a:r>
                  <a:rPr lang="en-US" sz="1200">
                    <a:latin typeface="Times New Roman"/>
                    <a:cs typeface="Times New Roman"/>
                  </a:rPr>
                  <a:t>µg/ml)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34335170603674542"/>
              <c:y val="0.89256926217556143"/>
            </c:manualLayout>
          </c:layout>
          <c:overlay val="1"/>
        </c:title>
        <c:numFmt formatCode="General" sourceLinked="1"/>
        <c:majorTickMark val="cross"/>
        <c:minorTickMark val="cross"/>
        <c:tickLblPos val="nextTo"/>
        <c:crossAx val="81454208"/>
        <c:crosses val="autoZero"/>
        <c:crossBetween val="midCat"/>
      </c:valAx>
      <c:valAx>
        <c:axId val="81454208"/>
        <c:scaling>
          <c:orientation val="minMax"/>
        </c:scaling>
        <c:delete val="1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%</a:t>
                </a:r>
                <a:r>
                  <a:rPr lang="en-US" sz="1200" baseline="0"/>
                  <a:t> Mortality</a:t>
                </a:r>
                <a:endParaRPr lang="en-US" sz="1200"/>
              </a:p>
            </c:rich>
          </c:tx>
          <c:layout/>
          <c:overlay val="1"/>
        </c:title>
        <c:numFmt formatCode="General" sourceLinked="1"/>
        <c:majorTickMark val="cross"/>
        <c:minorTickMark val="cross"/>
        <c:tickLblPos val="nextTo"/>
        <c:crossAx val="81452032"/>
        <c:crosses val="autoZero"/>
        <c:crossBetween val="midCat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7414166666666665"/>
          <c:y val="0.16853966170895307"/>
          <c:w val="0.24191666666666709"/>
          <c:h val="0.5331751239428405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chemeClr val="bg1"/>
    </a:solidFill>
  </c:spPr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Antibacterial activity of </a:t>
            </a:r>
            <a:r>
              <a:rPr lang="en-US" i="1"/>
              <a:t>S.aureus  </a:t>
            </a:r>
          </a:p>
        </c:rich>
      </c:tx>
      <c:layout/>
      <c:overlay val="1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standard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Sheet1!$A$3:$A$6</c:f>
              <c:strCache>
                <c:ptCount val="4"/>
                <c:pt idx="0">
                  <c:v>40μg/ml</c:v>
                </c:pt>
                <c:pt idx="1">
                  <c:v>80(μg/ml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Sheet1!$B$3:$B$6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15</c:v>
                </c:pt>
                <c:pt idx="3">
                  <c:v>17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FEFC-4196-AAE4-9887772D6F26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extract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Sheet1!$A$3:$A$6</c:f>
              <c:strCache>
                <c:ptCount val="4"/>
                <c:pt idx="0">
                  <c:v>40μg/ml</c:v>
                </c:pt>
                <c:pt idx="1">
                  <c:v>80(μg/ml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Sheet1!$C$3:$C$6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1-FEFC-4196-AAE4-9887772D6F26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219"/>
        <c:overlap val="-27"/>
        <c:axId val="89421312"/>
        <c:axId val="89423232"/>
      </c:barChart>
      <c:catAx>
        <c:axId val="89421312"/>
        <c:scaling>
          <c:orientation val="minMax"/>
        </c:scaling>
        <c:delete val="1"/>
        <c:axPos val="b"/>
        <c:title>
          <c:tx>
            <c:rich>
              <a:bodyPr rot="0" vert="horz"/>
              <a:lstStyle/>
              <a:p>
                <a:pPr>
                  <a:defRPr sz="1200"/>
                </a:pPr>
                <a:r>
                  <a:rPr lang="en-US" sz="1200"/>
                  <a:t>concentration (µg/ml) </a:t>
                </a:r>
              </a:p>
            </c:rich>
          </c:tx>
          <c:layout>
            <c:manualLayout>
              <c:xMode val="edge"/>
              <c:yMode val="edge"/>
              <c:x val="0.32826264811171285"/>
              <c:y val="0.92152200795548977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89423232"/>
        <c:crosses val="autoZero"/>
        <c:auto val="1"/>
        <c:lblAlgn val="ctr"/>
        <c:lblOffset val="100"/>
        <c:noMultiLvlLbl val="1"/>
      </c:catAx>
      <c:valAx>
        <c:axId val="894232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zone of inhibition</a:t>
                </a:r>
              </a:p>
            </c:rich>
          </c:tx>
          <c:layout>
            <c:manualLayout>
              <c:xMode val="edge"/>
              <c:yMode val="edge"/>
              <c:x val="1.7739483020780537E-2"/>
              <c:y val="0.26253152593681595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89421312"/>
        <c:crosses val="autoZero"/>
        <c:crossBetween val="between"/>
      </c:valAx>
      <c:spPr>
        <a:solidFill>
          <a:schemeClr val="bg1">
            <a:lumMod val="85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559953067194527E-2"/>
          <c:y val="0.12346434966496052"/>
          <c:w val="0.27146377673393968"/>
          <c:h val="8.0950458336878958E-2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 rot="0" vert="horz"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accent2">
        <a:lumMod val="40000"/>
        <a:lumOff val="60000"/>
      </a:schemeClr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Antibacterial activity aganist B.subtilis </a:t>
            </a:r>
          </a:p>
        </c:rich>
      </c:tx>
      <c:layout/>
      <c:overlay val="1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Sheet2!$B$1</c:f>
              <c:strCache>
                <c:ptCount val="1"/>
                <c:pt idx="0">
                  <c:v>standard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Sheet2!$A$2:$A$5</c:f>
              <c:strCache>
                <c:ptCount val="4"/>
                <c:pt idx="0">
                  <c:v>40μg/ml</c:v>
                </c:pt>
                <c:pt idx="1">
                  <c:v>80μg/ml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Sheet2!$B$2:$B$5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19</c:v>
                </c:pt>
                <c:pt idx="3">
                  <c:v>21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A718-4639-938F-BD5B594AD2F9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extract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Sheet2!$A$2:$A$5</c:f>
              <c:strCache>
                <c:ptCount val="4"/>
                <c:pt idx="0">
                  <c:v>40μg/ml</c:v>
                </c:pt>
                <c:pt idx="1">
                  <c:v>80μg/ml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Sheet2!$C$2:$C$5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1-A718-4639-938F-BD5B594AD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317952"/>
        <c:axId val="90319872"/>
      </c:barChart>
      <c:catAx>
        <c:axId val="90317952"/>
        <c:scaling>
          <c:orientation val="minMax"/>
        </c:scaling>
        <c:delete val="1"/>
        <c:axPos val="b"/>
        <c:title>
          <c:tx>
            <c:rich>
              <a:bodyPr rot="0" vert="horz"/>
              <a:lstStyle/>
              <a:p>
                <a:pPr>
                  <a:defRPr sz="1200"/>
                </a:pPr>
                <a:r>
                  <a:rPr lang="en-US" sz="1200"/>
                  <a:t>Concentration(µg/ml</a:t>
                </a:r>
              </a:p>
            </c:rich>
          </c:tx>
          <c:layout>
            <c:manualLayout>
              <c:xMode val="edge"/>
              <c:yMode val="edge"/>
              <c:x val="0.33576965519517138"/>
              <c:y val="0.92152200795548977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90319872"/>
        <c:crosses val="autoZero"/>
        <c:auto val="1"/>
        <c:lblAlgn val="ctr"/>
        <c:lblOffset val="100"/>
        <c:noMultiLvlLbl val="1"/>
      </c:catAx>
      <c:valAx>
        <c:axId val="903198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zone of inhibition</a:t>
                </a:r>
              </a:p>
            </c:rich>
          </c:tx>
          <c:layout>
            <c:manualLayout>
              <c:xMode val="edge"/>
              <c:yMode val="edge"/>
              <c:x val="1.7256255392579811E-2"/>
              <c:y val="0.24873525093106752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90317952"/>
        <c:crosses val="autoZero"/>
        <c:crossBetween val="between"/>
      </c:valAx>
      <c:spPr>
        <a:solidFill>
          <a:schemeClr val="bg1">
            <a:lumMod val="85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4754554515887"/>
          <c:y val="0.13266186633545948"/>
          <c:w val="0.26406904055025909"/>
          <c:h val="8.0950458336878958E-2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1"/>
  </c:chart>
  <c:spPr>
    <a:solidFill>
      <a:schemeClr val="accent2">
        <a:lumMod val="40000"/>
        <a:lumOff val="60000"/>
      </a:schemeClr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Antibacterial activity aganist K. pneumoniae </a:t>
            </a:r>
          </a:p>
        </c:rich>
      </c:tx>
      <c:layout/>
      <c:overlay val="1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Sheet3!$B$1</c:f>
              <c:strCache>
                <c:ptCount val="1"/>
                <c:pt idx="0">
                  <c:v>standard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Sheet3!$A$2:$A$5</c:f>
              <c:strCache>
                <c:ptCount val="4"/>
                <c:pt idx="0">
                  <c:v>40μg/ml</c:v>
                </c:pt>
                <c:pt idx="1">
                  <c:v>80μg/ml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Sheet3!$B$2:$B$5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A4D6-4091-844C-FF68C0ECA95C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extract 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  <a:effectLst/>
          </c:spPr>
          <c:invertIfNegative val="1"/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Sheet3!$A$2:$A$5</c:f>
              <c:strCache>
                <c:ptCount val="4"/>
                <c:pt idx="0">
                  <c:v>40μg/ml</c:v>
                </c:pt>
                <c:pt idx="1">
                  <c:v>80μg/ml</c:v>
                </c:pt>
                <c:pt idx="2">
                  <c:v>160μg/ml</c:v>
                </c:pt>
                <c:pt idx="3">
                  <c:v>320μg/ml</c:v>
                </c:pt>
              </c:strCache>
            </c:strRef>
          </c:cat>
          <c:val>
            <c:numRef>
              <c:f>Sheet3!$C$2:$C$5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1-A4D6-4091-844C-FF68C0ECA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358528"/>
        <c:axId val="90360448"/>
      </c:barChart>
      <c:catAx>
        <c:axId val="90358528"/>
        <c:scaling>
          <c:orientation val="minMax"/>
        </c:scaling>
        <c:delete val="1"/>
        <c:axPos val="b"/>
        <c:title>
          <c:tx>
            <c:rich>
              <a:bodyPr rot="0" vert="horz"/>
              <a:lstStyle/>
              <a:p>
                <a:pPr>
                  <a:defRPr sz="1200"/>
                </a:pPr>
                <a:r>
                  <a:rPr lang="en-US" sz="1200"/>
                  <a:t>Concentration</a:t>
                </a:r>
              </a:p>
            </c:rich>
          </c:tx>
          <c:layout>
            <c:manualLayout>
              <c:xMode val="edge"/>
              <c:yMode val="edge"/>
              <c:x val="0.3810344361060804"/>
              <c:y val="0.91232449128499082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90360448"/>
        <c:crosses val="autoZero"/>
        <c:auto val="1"/>
        <c:lblAlgn val="ctr"/>
        <c:lblOffset val="100"/>
        <c:noMultiLvlLbl val="1"/>
      </c:catAx>
      <c:valAx>
        <c:axId val="903604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zone of inhibition</a:t>
                </a:r>
              </a:p>
            </c:rich>
          </c:tx>
          <c:layout>
            <c:manualLayout>
              <c:xMode val="edge"/>
              <c:yMode val="edge"/>
              <c:x val="1.1849745230477545E-2"/>
              <c:y val="0.26253152593681595"/>
            </c:manualLayout>
          </c:layout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cross"/>
        <c:tickLblPos val="nextTo"/>
        <c:crossAx val="90358528"/>
        <c:crosses val="autoZero"/>
        <c:crossBetween val="between"/>
      </c:valAx>
      <c:spPr>
        <a:solidFill>
          <a:schemeClr val="bg1">
            <a:lumMod val="85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173828298124669E-2"/>
          <c:y val="0.13266186633545948"/>
          <c:w val="0.2601246742486375"/>
          <c:h val="8.0950458336878958E-2"/>
        </c:manualLayout>
      </c:layout>
      <c:overlay val="1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1"/>
  </c:chart>
  <c:spPr>
    <a:solidFill>
      <a:schemeClr val="accent2">
        <a:lumMod val="40000"/>
        <a:lumOff val="60000"/>
      </a:schemeClr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1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0.26955</cdr:x>
      <cdr:y>0.09893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1725318" cy="37188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Sandesh Panthi</dc:creator>
  <cp:lastModifiedBy>Sandesh Panthi</cp:lastModifiedBy>
  <cp:revision>10</cp:revision>
  <dcterms:created xsi:type="dcterms:W3CDTF">2023-12-15T04:04:00Z</dcterms:created>
  <dcterms:modified xsi:type="dcterms:W3CDTF">2023-12-17T23:58:00Z</dcterms:modified>
</cp:coreProperties>
</file>