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D5091B0" wp14:paraId="44EBF551" wp14:textId="03113C11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-ES"/>
        </w:rPr>
      </w:pPr>
      <w:r w:rsidRPr="0D5091B0" w:rsidR="3C4C3C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Supplementary material: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5222"/>
        <w:gridCol w:w="3010"/>
      </w:tblGrid>
      <w:tr w:rsidR="0D5091B0" w:rsidTr="0D5091B0" w14:paraId="52B426D0">
        <w:trPr>
          <w:trHeight w:val="405"/>
        </w:trPr>
        <w:tc>
          <w:tcPr>
            <w:tcW w:w="600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50519A39" w14:textId="65B9F4A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84D7E0A" w14:textId="0A9E69F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6"/>
                <w:szCs w:val="16"/>
                <w:lang w:val="en-GB"/>
              </w:rPr>
              <w:t>Prices</w:t>
            </w:r>
          </w:p>
        </w:tc>
      </w:tr>
      <w:tr w:rsidR="0D5091B0" w:rsidTr="0D5091B0" w14:paraId="7DEE7F58">
        <w:trPr>
          <w:trHeight w:val="405"/>
        </w:trPr>
        <w:tc>
          <w:tcPr>
            <w:tcW w:w="901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49013646" w14:textId="0AE4F2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Primary care</w:t>
            </w:r>
          </w:p>
        </w:tc>
      </w:tr>
      <w:tr w:rsidR="0D5091B0" w:rsidTr="0D5091B0" w14:paraId="031FCC59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1824B7E6" w14:textId="743DAB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822F586" w14:textId="1629915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General practitioner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8080100" w14:textId="72A7A566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50·00 €</w:t>
            </w:r>
          </w:p>
        </w:tc>
      </w:tr>
      <w:tr w:rsidR="0D5091B0" w:rsidTr="0D5091B0" w14:paraId="1AD224C9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592341FC" w14:textId="69CBE28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FE9A6CD" w14:textId="62EF3EF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Nursery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BEB4BDF" w14:textId="73FFA6E1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35·00 €</w:t>
            </w:r>
          </w:p>
        </w:tc>
      </w:tr>
      <w:tr w:rsidR="0D5091B0" w:rsidTr="0D5091B0" w14:paraId="6DFA3393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EBBBCB2" w14:textId="31C0437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CE581E4" w14:textId="1ECCA2D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Home visits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6275AD2C" w14:textId="1A19397E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65·00 €</w:t>
            </w:r>
          </w:p>
        </w:tc>
      </w:tr>
      <w:tr w:rsidR="0D5091B0" w:rsidTr="0D5091B0" w14:paraId="030595B9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3DBAC98" w14:textId="50BA530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A4AC252" w14:textId="04F081E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Emergency care centres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D9DF7B6" w14:textId="4435E232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120·00 €</w:t>
            </w:r>
          </w:p>
        </w:tc>
      </w:tr>
      <w:tr w:rsidR="0D5091B0" w:rsidTr="0D5091B0" w14:paraId="0AA7CBC9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6E8EA2E6" w14:textId="2444020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1B060B6D" w14:textId="450D0F9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Sexual and reproductive care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5FCB0BA" w14:textId="70772BF8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50·00 €</w:t>
            </w:r>
          </w:p>
        </w:tc>
      </w:tr>
      <w:tr w:rsidR="0D5091B0" w:rsidTr="0D5091B0" w14:paraId="1A7E0528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9514914" w14:textId="4D2AC7E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AD8C1BF" w14:textId="4204791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Others (mental health, administrative, extractions)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DCFB9F0" w14:textId="47632B15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30·00 €</w:t>
            </w:r>
          </w:p>
        </w:tc>
      </w:tr>
      <w:tr w:rsidR="0D5091B0" w:rsidTr="0D5091B0" w14:paraId="228B0265">
        <w:trPr>
          <w:trHeight w:val="405"/>
        </w:trPr>
        <w:tc>
          <w:tcPr>
            <w:tcW w:w="901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4D5C63A5" w14:textId="242E09B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Hospital visits</w:t>
            </w:r>
          </w:p>
        </w:tc>
      </w:tr>
      <w:tr w:rsidR="0D5091B0" w:rsidTr="0D5091B0" w14:paraId="12940C55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DD1E26D" w14:textId="321CB2B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74D83D1" w14:textId="75DC758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First visit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11EF2BCE" w14:textId="19D5A2F5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171·00 €</w:t>
            </w:r>
          </w:p>
        </w:tc>
      </w:tr>
      <w:tr w:rsidR="0D5091B0" w:rsidTr="0D5091B0" w14:paraId="43D04AE8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1118303" w14:textId="5E2D2F6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5AB29E37" w14:textId="1446DC6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Successive and other visits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77FF025" w14:textId="6328D0C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80·00 €</w:t>
            </w:r>
          </w:p>
        </w:tc>
      </w:tr>
      <w:tr w:rsidR="0D5091B0" w:rsidTr="0D5091B0" w14:paraId="10914C84">
        <w:trPr>
          <w:trHeight w:val="405"/>
        </w:trPr>
        <w:tc>
          <w:tcPr>
            <w:tcW w:w="9015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411FAD4" w14:textId="49D5376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Hospitalisations</w:t>
            </w:r>
          </w:p>
        </w:tc>
      </w:tr>
      <w:tr w:rsidR="0D5091B0" w:rsidTr="0D5091B0" w14:paraId="44A0A830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FDAD141" w14:textId="71E01D2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6BFDD87D" w14:textId="1A8547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General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212B73AF" w14:textId="463282B1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674·00 €</w:t>
            </w:r>
          </w:p>
        </w:tc>
      </w:tr>
      <w:tr w:rsidR="0D5091B0" w:rsidTr="0D5091B0" w14:paraId="066077A5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8F2D09E" w14:textId="589D48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34AEE00D" w14:textId="26651C2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Surgery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41B8FCF" w14:textId="0FCD665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817·00 €</w:t>
            </w:r>
          </w:p>
        </w:tc>
      </w:tr>
      <w:tr w:rsidR="0D5091B0" w:rsidTr="0D5091B0" w14:paraId="6A0B7451">
        <w:trPr>
          <w:trHeight w:val="300"/>
        </w:trPr>
        <w:tc>
          <w:tcPr>
            <w:tcW w:w="7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5FA6AA9B" w14:textId="5D71C8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  <w:tc>
          <w:tcPr>
            <w:tcW w:w="52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444FD060" w14:textId="6249AC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Home hospitalisations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46F5B66C" w14:textId="0A5C0711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477·00 €</w:t>
            </w:r>
          </w:p>
        </w:tc>
      </w:tr>
      <w:tr w:rsidR="0D5091B0" w:rsidTr="0D5091B0" w14:paraId="5CE43E61">
        <w:trPr>
          <w:trHeight w:val="405"/>
        </w:trPr>
        <w:tc>
          <w:tcPr>
            <w:tcW w:w="600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4C3B9B4" w14:textId="48FEC94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Emergencies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1A596204" w14:textId="7A04DB28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248·00 €</w:t>
            </w:r>
          </w:p>
        </w:tc>
      </w:tr>
      <w:tr w:rsidR="0D5091B0" w:rsidTr="0D5091B0" w14:paraId="7BF7639A">
        <w:trPr>
          <w:trHeight w:val="405"/>
        </w:trPr>
        <w:tc>
          <w:tcPr>
            <w:tcW w:w="600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0DDA0503" w14:textId="5A99FAC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Procedures</w:t>
            </w:r>
          </w:p>
        </w:tc>
        <w:tc>
          <w:tcPr>
            <w:tcW w:w="30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0D5091B0" w:rsidP="0D5091B0" w:rsidRDefault="0D5091B0" w14:paraId="7584DAF7" w14:textId="6468372A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6"/>
                <w:szCs w:val="16"/>
                <w:lang w:val="en-GB"/>
              </w:rPr>
              <w:t>See Supplementary Table 2</w:t>
            </w:r>
          </w:p>
        </w:tc>
      </w:tr>
    </w:tbl>
    <w:p xmlns:wp14="http://schemas.microsoft.com/office/word/2010/wordml" w:rsidP="0D5091B0" wp14:paraId="56D87F57" wp14:textId="5F1108A2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0D5091B0" w:rsidR="3C4C3C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Supplementary Table 1: Description of costs for healthcare resources</w:t>
      </w:r>
      <w:r w:rsidRPr="0D5091B0" w:rsidR="3C4C3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 Costs were priced as per [14], with some services in primary care (Emergency care centres, Sexual and reproductive care, Others) being an average. Procedures were included in Supplementary Table 2.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2766"/>
        <w:gridCol w:w="785"/>
        <w:gridCol w:w="908"/>
        <w:gridCol w:w="2877"/>
        <w:gridCol w:w="743"/>
      </w:tblGrid>
      <w:tr w:rsidR="0D5091B0" w:rsidTr="0D5091B0" w14:paraId="331FCFF1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24BE41B" w14:textId="684CF3C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A6E0295" w14:textId="5B8D9DB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D56A0E5" w14:textId="275BAEE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Price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61FF378" w14:textId="1202DA1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605E9AA" w14:textId="09A0A4BD">
            <w:pPr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795E611" w14:textId="54D230D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18"/>
                <w:szCs w:val="18"/>
                <w:lang w:val="en-GB"/>
              </w:rPr>
              <w:t>Price</w:t>
            </w:r>
          </w:p>
        </w:tc>
      </w:tr>
      <w:tr w:rsidR="0D5091B0" w:rsidTr="0D5091B0" w14:paraId="78114128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9A58B8F" w14:textId="0F1B070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RA00001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87B4CB1" w14:textId="37B6625A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Chest X-ray 1-2 projections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0653A5E" w14:textId="225D2C55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E1308AD" w14:textId="6E84993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PD00118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F281BA9" w14:textId="4D1D132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Electrocardiogram (ECG or EKG)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5B7F996" w14:textId="54D78A29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21·00 €</w:t>
            </w:r>
          </w:p>
        </w:tc>
      </w:tr>
      <w:tr w:rsidR="0D5091B0" w:rsidTr="0D5091B0" w14:paraId="1D4B25AD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2244A1E" w14:textId="7B86A7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PD00642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E479417" w14:textId="29870451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Liquid-based Gynecological Cytology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73FE8AA" w14:textId="02042AB2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7882C28" w14:textId="6E87725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RA00561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263F32B" w14:textId="31EFC28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Shoulder Ultrasound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A40E3D4" w14:textId="0FC4B399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24·00 €</w:t>
            </w:r>
          </w:p>
        </w:tc>
      </w:tr>
      <w:tr w:rsidR="0D5091B0" w:rsidTr="0D5091B0" w14:paraId="3F2387B5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8D3C40E" w14:textId="6791AE5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RA00248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78FDFC3" w14:textId="74608678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Computed Tomography of the chest without contrast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15CED25" w14:textId="486663C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110·00 €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A5151AA" w14:textId="624CD35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RA01200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0D85DF2" w14:textId="267B26FA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Urinary Tract Ultrasound (Renal - Bladder)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A7200C8" w14:textId="1A6757A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24·00 €</w:t>
            </w:r>
          </w:p>
        </w:tc>
      </w:tr>
      <w:tr w:rsidR="0D5091B0" w:rsidTr="0D5091B0" w14:paraId="0E591459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D8C2523" w14:textId="4BD25F6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RA00047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5F4AD5D" w14:textId="7D56543B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Lumbar-sacral spine X-ray 1-2 projections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8CCA475" w14:textId="636D6FEA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7F88B5C" w14:textId="1479E26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PD00041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2766DD9" w14:textId="2A704BFD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Non-Mydriatic Retinography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85D8A96" w14:textId="77E111C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93·00 €</w:t>
            </w:r>
          </w:p>
        </w:tc>
      </w:tr>
      <w:tr w:rsidR="0D5091B0" w:rsidTr="0D5091B0" w14:paraId="65674BA8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09F524A" w14:textId="709943D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PD00008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CFAA0A7" w14:textId="1A57FE7E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Electromyography (EMG) of Lower Limbs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41B94FA" w14:textId="42320510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100·00 €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6436204" w14:textId="1A55E40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PD00069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BF2D518" w14:textId="2837B759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Colonoscopy (Fibrocolonoscopy) with Sedation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F1BEC80" w14:textId="5483B68A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185·00 €</w:t>
            </w:r>
          </w:p>
        </w:tc>
      </w:tr>
      <w:tr w:rsidR="0D5091B0" w:rsidTr="0D5091B0" w14:paraId="6CDA190F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28B55AC" w14:textId="45994E3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PD00046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DBAB862" w14:textId="09AB01ED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Photography of the Eye Fundus (Ophthalmoscopy)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0F8CA2C" w14:textId="3BB551F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140·00 €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1C23B96" w14:textId="53CB4EF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PD00093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FD96A18" w14:textId="27C3E9DE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Forced Spirometry with Bronchodilator Test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F5D4F79" w14:textId="12408E05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82·00 €</w:t>
            </w:r>
          </w:p>
        </w:tc>
      </w:tr>
      <w:tr w:rsidR="0D5091B0" w:rsidTr="0D5091B0" w14:paraId="246E9E5C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467BB87" w14:textId="57D966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RA00002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C485FDE" w14:textId="35E45D90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Chest X-ray &gt;2 projection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5C56620" w14:textId="324F4D33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E5A00C7" w14:textId="2FF2BE3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RA00090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10F60E0" w14:textId="2EBA3F82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Foot X-ray &gt;2 projections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767EC01" w14:textId="0E404B19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</w:tr>
      <w:tr w:rsidR="0D5091B0" w:rsidTr="0D5091B0" w14:paraId="6A2CEA45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83611A0" w14:textId="77CCE3F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RA00041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E2473AD" w14:textId="15BCB3FB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Cervical Spine X-ray 1-2 projections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53B85C7" w14:textId="6A8A0F12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9A39C77" w14:textId="53A5C2D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RA00428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DC48A73" w14:textId="49EE4705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Soft Tissue Ultrasound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DEC9AFD" w14:textId="1AB1E5F4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24·00 €</w:t>
            </w:r>
          </w:p>
        </w:tc>
      </w:tr>
      <w:tr w:rsidR="0D5091B0" w:rsidTr="0D5091B0" w14:paraId="63D0865B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F7B2F14" w14:textId="20A6DC4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RA00416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905DC6A" w14:textId="02567B2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Transthoracic Echocardiogram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A7586D1" w14:textId="365D71BD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67·00 €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C67C49A" w14:textId="186AD02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RA00020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05DD16C" w14:textId="43CA686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Face X-ray 1-2 projections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4A2F311" w14:textId="23285DE4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</w:tr>
      <w:tr w:rsidR="0D5091B0" w:rsidTr="0D5091B0" w14:paraId="148ADA3B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52EACC2" w14:textId="527F35D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RA00419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DF8D2FD" w14:textId="7411028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Abdominal Ultrasound (Complete)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0637E17" w14:textId="2900534C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72·00 €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7D5DBE08" w14:textId="5000473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RA00062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1D05EF5" w14:textId="3DD0C6FF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Shoulder X-ray 1-2 projections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0A63FD27" w14:textId="5216BC64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15·00 €</w:t>
            </w:r>
          </w:p>
        </w:tc>
      </w:tr>
      <w:tr w:rsidR="0D5091B0" w:rsidTr="0D5091B0" w14:paraId="553FC945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2E5F13E9" w14:textId="645BAB9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RA00429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770C156" w14:textId="24FEA6D3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Transvaginal Ultrasound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9E00C08" w14:textId="34985A91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36·00 €</w:t>
            </w:r>
          </w:p>
        </w:tc>
        <w:tc>
          <w:tcPr>
            <w:tcW w:w="9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99E7D8D" w14:textId="328CE87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RA00038</w:t>
            </w:r>
          </w:p>
        </w:tc>
        <w:tc>
          <w:tcPr>
            <w:tcW w:w="287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8F90957" w14:textId="0A91393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Orthopantomography (Dental Panoramic Radiography)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745A005" w14:textId="36614F79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25·00 €</w:t>
            </w:r>
          </w:p>
        </w:tc>
      </w:tr>
      <w:tr w:rsidR="0D5091B0" w:rsidTr="0D5091B0" w14:paraId="1496BAAB">
        <w:trPr>
          <w:trHeight w:val="315"/>
        </w:trPr>
        <w:tc>
          <w:tcPr>
            <w:tcW w:w="93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1DBD5020" w14:textId="225F5FE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IQ44.13-1</w:t>
            </w:r>
          </w:p>
        </w:tc>
        <w:tc>
          <w:tcPr>
            <w:tcW w:w="276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457A4DEC" w14:textId="54ED7954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Fibrogastroscopy</w:t>
            </w:r>
          </w:p>
        </w:tc>
        <w:tc>
          <w:tcPr>
            <w:tcW w:w="7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57BD11FB" w14:textId="146D8A07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110·00 €</w:t>
            </w:r>
          </w:p>
        </w:tc>
        <w:tc>
          <w:tcPr>
            <w:tcW w:w="378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648879AE" w14:textId="0A576B4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Others (median price)</w:t>
            </w:r>
          </w:p>
        </w:tc>
        <w:tc>
          <w:tcPr>
            <w:tcW w:w="74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D5091B0" w:rsidP="0D5091B0" w:rsidRDefault="0D5091B0" w14:paraId="382C25AA" w14:textId="565D5B0E">
            <w:pPr>
              <w:spacing w:before="0"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D5091B0" w:rsidR="0D5091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40·00 €</w:t>
            </w:r>
          </w:p>
        </w:tc>
      </w:tr>
    </w:tbl>
    <w:p xmlns:wp14="http://schemas.microsoft.com/office/word/2010/wordml" w:rsidP="0D5091B0" wp14:paraId="553859BA" wp14:textId="08EF6B53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0D5091B0" w:rsidR="3C4C3C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Supplementary Table 2: Description of costs for each procedure</w:t>
      </w:r>
      <w:r w:rsidRPr="0D5091B0" w:rsidR="3C4C3C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 Procedures were priced as per [14]. “Others” englobes procedures others than the ones listed (the most common used in the Unit population) and is a median price of such procedures.</w:t>
      </w:r>
    </w:p>
    <w:p xmlns:wp14="http://schemas.microsoft.com/office/word/2010/wordml" w:rsidP="0D5091B0" wp14:paraId="6E62CEA4" wp14:textId="6169DEB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7C3BF"/>
    <w:rsid w:val="0D5091B0"/>
    <w:rsid w:val="3C4C3C3A"/>
    <w:rsid w:val="4CF7C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C3BF"/>
  <w15:chartTrackingRefBased/>
  <w15:docId w15:val="{EE61F3D5-7EE9-4599-99D7-E5A008B61F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2024-02-15T16:57:19.7695984Z</dcterms:created>
  <dcterms:modified xsi:type="dcterms:W3CDTF">2024-02-15T17:03:00.1208719Z</dcterms:modified>
  <dc:creator>Ricou Rios, Laura</dc:creator>
  <lastModifiedBy>Ricou Rios, Laura</lastModifiedBy>
</coreProperties>
</file>