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FF019" w14:textId="7C97878E" w:rsidR="00F22110" w:rsidRPr="00F22110" w:rsidRDefault="00F22110" w:rsidP="00F22110">
      <w:pPr>
        <w:suppressLineNumbers/>
        <w:spacing w:before="240" w:after="120" w:line="240" w:lineRule="auto"/>
        <w:jc w:val="center"/>
        <w:rPr>
          <w:rFonts w:ascii="Arial" w:eastAsia="Calibri" w:hAnsi="Arial" w:cs="Arial"/>
          <w:b/>
          <w:i/>
          <w:sz w:val="24"/>
          <w:szCs w:val="24"/>
        </w:rPr>
      </w:pPr>
      <w:bookmarkStart w:id="0" w:name="_Hlk162277002"/>
      <w:bookmarkEnd w:id="0"/>
      <w:r w:rsidRPr="00F22110">
        <w:rPr>
          <w:rFonts w:ascii="Arial" w:eastAsia="Calibri" w:hAnsi="Arial" w:cs="Arial"/>
          <w:b/>
          <w:i/>
          <w:sz w:val="24"/>
          <w:szCs w:val="24"/>
        </w:rPr>
        <w:t>Supplementary Material</w:t>
      </w:r>
    </w:p>
    <w:p w14:paraId="63402C6B" w14:textId="77777777" w:rsidR="00A84036" w:rsidRPr="00F14F60" w:rsidRDefault="00A84036" w:rsidP="00A84036">
      <w:pPr>
        <w:spacing w:line="240" w:lineRule="auto"/>
        <w:jc w:val="center"/>
        <w:rPr>
          <w:rFonts w:ascii="Arial" w:eastAsia="Arial" w:hAnsi="Arial" w:cs="Arial"/>
        </w:rPr>
      </w:pPr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>Nano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 xml:space="preserve">pulse treatment </w:t>
      </w:r>
      <w:r w:rsidRPr="00E0307D">
        <w:rPr>
          <w:rFonts w:ascii="Arial" w:hAnsi="Arial" w:cs="Arial"/>
          <w:b/>
          <w:bCs/>
          <w:color w:val="222222"/>
          <w:shd w:val="clear" w:color="auto" w:fill="FFFFFF"/>
        </w:rPr>
        <w:t>o</w:t>
      </w:r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>vercom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es</w:t>
      </w:r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 xml:space="preserve"> immunosuppressive tumor microenvironment </w:t>
      </w:r>
      <w:r w:rsidRPr="000B38B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to elicit</w:t>
      </w:r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 xml:space="preserve"> in situ vaccination protection against breast </w:t>
      </w:r>
      <w:proofErr w:type="gramStart"/>
      <w:r w:rsidRPr="00F14F60">
        <w:rPr>
          <w:rFonts w:ascii="Arial" w:hAnsi="Arial" w:cs="Arial"/>
          <w:b/>
          <w:bCs/>
          <w:color w:val="222222"/>
          <w:shd w:val="clear" w:color="auto" w:fill="FFFFFF"/>
        </w:rPr>
        <w:t>cancer</w:t>
      </w:r>
      <w:proofErr w:type="gramEnd"/>
    </w:p>
    <w:p w14:paraId="2FF4FFC1" w14:textId="77777777" w:rsidR="00A84036" w:rsidRPr="00F14F60" w:rsidRDefault="00A84036" w:rsidP="00A84036">
      <w:pPr>
        <w:spacing w:after="0" w:line="240" w:lineRule="auto"/>
        <w:jc w:val="center"/>
        <w:rPr>
          <w:rFonts w:ascii="Arial" w:eastAsia="Arial" w:hAnsi="Arial" w:cs="Arial"/>
        </w:rPr>
      </w:pPr>
      <w:r w:rsidRPr="00F14F60">
        <w:rPr>
          <w:rFonts w:ascii="Arial" w:eastAsia="Arial" w:hAnsi="Arial" w:cs="Arial"/>
        </w:rPr>
        <w:t>Anthony Nanajian</w:t>
      </w:r>
      <w:r w:rsidRPr="00F14F60">
        <w:rPr>
          <w:rFonts w:ascii="Arial" w:eastAsia="Arial" w:hAnsi="Arial" w:cs="Arial"/>
          <w:vertAlign w:val="superscript"/>
        </w:rPr>
        <w:t>1,2</w:t>
      </w:r>
      <w:r w:rsidRPr="00F14F60">
        <w:rPr>
          <w:rFonts w:ascii="Arial" w:eastAsia="Arial" w:hAnsi="Arial" w:cs="Arial"/>
        </w:rPr>
        <w:t xml:space="preserve">, </w:t>
      </w:r>
      <w:r w:rsidRPr="000B38B8">
        <w:rPr>
          <w:rFonts w:ascii="Arial" w:eastAsia="Arial" w:hAnsi="Arial" w:cs="Arial"/>
          <w:sz w:val="24"/>
          <w:szCs w:val="24"/>
        </w:rPr>
        <w:t>Megan Scott</w:t>
      </w:r>
      <w:r w:rsidRPr="000B38B8">
        <w:rPr>
          <w:rFonts w:ascii="Arial" w:eastAsia="Arial" w:hAnsi="Arial" w:cs="Arial"/>
          <w:sz w:val="24"/>
          <w:szCs w:val="24"/>
          <w:vertAlign w:val="superscript"/>
        </w:rPr>
        <w:t>1</w:t>
      </w:r>
      <w:r w:rsidRPr="000B38B8">
        <w:rPr>
          <w:rFonts w:ascii="Arial" w:eastAsia="Arial" w:hAnsi="Arial" w:cs="Arial"/>
          <w:sz w:val="24"/>
          <w:szCs w:val="24"/>
        </w:rPr>
        <w:t>, Niculina I. Burcus</w:t>
      </w:r>
      <w:r w:rsidRPr="000B38B8">
        <w:rPr>
          <w:rFonts w:ascii="Arial" w:eastAsia="Arial" w:hAnsi="Arial" w:cs="Arial"/>
          <w:sz w:val="24"/>
          <w:szCs w:val="24"/>
          <w:vertAlign w:val="superscript"/>
        </w:rPr>
        <w:t>1</w:t>
      </w:r>
      <w:r w:rsidRPr="000B38B8">
        <w:rPr>
          <w:rFonts w:ascii="Arial" w:eastAsia="Arial" w:hAnsi="Arial" w:cs="Arial"/>
          <w:sz w:val="24"/>
          <w:szCs w:val="24"/>
        </w:rPr>
        <w:t>, Brittney L. Ruedlinger</w:t>
      </w:r>
      <w:r w:rsidRPr="00817D56">
        <w:rPr>
          <w:rFonts w:ascii="Arial" w:eastAsia="Arial" w:hAnsi="Arial" w:cs="Arial"/>
          <w:vertAlign w:val="superscript"/>
        </w:rPr>
        <w:t>1</w:t>
      </w:r>
      <w:r w:rsidRPr="000B38B8">
        <w:rPr>
          <w:rFonts w:ascii="Arial" w:eastAsia="Arial" w:hAnsi="Arial" w:cs="Arial"/>
          <w:sz w:val="24"/>
          <w:szCs w:val="24"/>
        </w:rPr>
        <w:t>, Edwin A. Oshin</w:t>
      </w:r>
      <w:r w:rsidRPr="000B38B8">
        <w:rPr>
          <w:rFonts w:ascii="Arial" w:eastAsia="Arial" w:hAnsi="Arial" w:cs="Arial"/>
          <w:sz w:val="24"/>
          <w:szCs w:val="24"/>
          <w:vertAlign w:val="superscript"/>
        </w:rPr>
        <w:t>1,3</w:t>
      </w:r>
      <w:r w:rsidRPr="000B38B8">
        <w:rPr>
          <w:rFonts w:ascii="Arial" w:eastAsia="Arial" w:hAnsi="Arial" w:cs="Arial"/>
          <w:sz w:val="24"/>
          <w:szCs w:val="24"/>
        </w:rPr>
        <w:t>, Chunqi Jiang</w:t>
      </w:r>
      <w:r w:rsidRPr="000B38B8">
        <w:rPr>
          <w:rFonts w:ascii="Arial" w:eastAsia="Arial" w:hAnsi="Arial" w:cs="Arial"/>
          <w:sz w:val="24"/>
          <w:szCs w:val="24"/>
          <w:vertAlign w:val="superscript"/>
        </w:rPr>
        <w:t>1,3</w:t>
      </w:r>
      <w:r w:rsidRPr="000B38B8">
        <w:rPr>
          <w:rFonts w:ascii="Arial" w:eastAsia="Arial" w:hAnsi="Arial" w:cs="Arial"/>
          <w:sz w:val="24"/>
          <w:szCs w:val="24"/>
        </w:rPr>
        <w:t xml:space="preserve">, </w:t>
      </w:r>
      <w:r w:rsidRPr="00F14F60">
        <w:rPr>
          <w:rFonts w:ascii="Arial" w:eastAsia="Arial" w:hAnsi="Arial" w:cs="Arial"/>
        </w:rPr>
        <w:t>Stephen J. Beebe</w:t>
      </w:r>
      <w:r w:rsidRPr="00F14F60">
        <w:rPr>
          <w:rFonts w:ascii="Arial" w:eastAsia="Arial" w:hAnsi="Arial" w:cs="Arial"/>
          <w:vertAlign w:val="superscript"/>
        </w:rPr>
        <w:t>1</w:t>
      </w:r>
      <w:r w:rsidRPr="00F14F60">
        <w:rPr>
          <w:rFonts w:ascii="Arial" w:eastAsia="Arial" w:hAnsi="Arial" w:cs="Arial"/>
        </w:rPr>
        <w:t xml:space="preserve"> and Siqi Guo</w:t>
      </w:r>
      <w:r w:rsidRPr="00F14F60">
        <w:rPr>
          <w:rFonts w:ascii="Arial" w:eastAsia="Arial" w:hAnsi="Arial" w:cs="Arial"/>
          <w:vertAlign w:val="superscript"/>
        </w:rPr>
        <w:t>1*</w:t>
      </w:r>
    </w:p>
    <w:p w14:paraId="650464C1" w14:textId="77777777" w:rsidR="00A84036" w:rsidRPr="00F14F60" w:rsidRDefault="00A84036" w:rsidP="00A84036">
      <w:pPr>
        <w:spacing w:after="0" w:line="240" w:lineRule="auto"/>
        <w:rPr>
          <w:rFonts w:ascii="Arial" w:eastAsia="Arial" w:hAnsi="Arial" w:cs="Arial"/>
          <w:vertAlign w:val="superscript"/>
        </w:rPr>
      </w:pPr>
      <w:bookmarkStart w:id="1" w:name="_heading=h.gjdgxs" w:colFirst="0" w:colLast="0"/>
      <w:bookmarkEnd w:id="1"/>
    </w:p>
    <w:p w14:paraId="749A318D" w14:textId="77777777" w:rsidR="00A84036" w:rsidRPr="000B38B8" w:rsidRDefault="00A84036" w:rsidP="00A8403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B38B8">
        <w:rPr>
          <w:rFonts w:ascii="Arial" w:eastAsia="Arial" w:hAnsi="Arial" w:cs="Arial"/>
          <w:sz w:val="24"/>
          <w:szCs w:val="24"/>
          <w:vertAlign w:val="superscript"/>
        </w:rPr>
        <w:t xml:space="preserve">1 </w:t>
      </w:r>
      <w:r w:rsidRPr="000B38B8">
        <w:rPr>
          <w:rFonts w:ascii="Arial" w:eastAsia="Arial" w:hAnsi="Arial" w:cs="Arial"/>
          <w:sz w:val="24"/>
          <w:szCs w:val="24"/>
        </w:rPr>
        <w:t xml:space="preserve">Frank Reidy Research Center for </w:t>
      </w:r>
      <w:proofErr w:type="spellStart"/>
      <w:r w:rsidRPr="000B38B8">
        <w:rPr>
          <w:rFonts w:ascii="Arial" w:eastAsia="Arial" w:hAnsi="Arial" w:cs="Arial"/>
          <w:sz w:val="24"/>
          <w:szCs w:val="24"/>
        </w:rPr>
        <w:t>Bioelectrics</w:t>
      </w:r>
      <w:proofErr w:type="spellEnd"/>
      <w:r w:rsidRPr="000B38B8">
        <w:rPr>
          <w:rFonts w:ascii="Arial" w:eastAsia="Arial" w:hAnsi="Arial" w:cs="Arial"/>
          <w:sz w:val="24"/>
          <w:szCs w:val="24"/>
        </w:rPr>
        <w:t>, Old Dominion University. Norfolk, VA, USA</w:t>
      </w:r>
    </w:p>
    <w:p w14:paraId="5A6BEE93" w14:textId="77777777" w:rsidR="00A84036" w:rsidRPr="000B38B8" w:rsidRDefault="00A84036" w:rsidP="00A8403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B38B8">
        <w:rPr>
          <w:rFonts w:ascii="Arial" w:eastAsia="Arial" w:hAnsi="Arial" w:cs="Arial"/>
          <w:sz w:val="24"/>
          <w:szCs w:val="24"/>
          <w:vertAlign w:val="superscript"/>
        </w:rPr>
        <w:t xml:space="preserve">2 </w:t>
      </w:r>
      <w:r w:rsidRPr="000B38B8">
        <w:rPr>
          <w:rFonts w:ascii="Arial" w:eastAsia="Arial" w:hAnsi="Arial" w:cs="Arial"/>
          <w:sz w:val="24"/>
          <w:szCs w:val="24"/>
        </w:rPr>
        <w:t>Department of Biological Sciences, Old Dominion University. Norfolk, VA, USA</w:t>
      </w:r>
    </w:p>
    <w:p w14:paraId="79AC5D15" w14:textId="77777777" w:rsidR="00A84036" w:rsidRPr="00F14F60" w:rsidRDefault="00A84036" w:rsidP="00A84036">
      <w:pPr>
        <w:spacing w:after="0" w:line="240" w:lineRule="auto"/>
        <w:jc w:val="both"/>
        <w:rPr>
          <w:rFonts w:ascii="Arial" w:eastAsia="Arial" w:hAnsi="Arial" w:cs="Arial"/>
        </w:rPr>
      </w:pPr>
      <w:r w:rsidRPr="000B38B8">
        <w:rPr>
          <w:rFonts w:ascii="Arial" w:eastAsia="Arial" w:hAnsi="Arial" w:cs="Arial"/>
          <w:sz w:val="24"/>
          <w:szCs w:val="24"/>
          <w:vertAlign w:val="superscript"/>
        </w:rPr>
        <w:t xml:space="preserve">3 </w:t>
      </w:r>
      <w:r w:rsidRPr="000B38B8">
        <w:rPr>
          <w:rFonts w:ascii="Arial" w:eastAsia="Arial" w:hAnsi="Arial" w:cs="Arial"/>
          <w:sz w:val="24"/>
          <w:szCs w:val="24"/>
        </w:rPr>
        <w:t>Department of Electrical &amp; Computer Engineering,</w:t>
      </w:r>
      <w:r w:rsidRPr="000B38B8">
        <w:rPr>
          <w:rFonts w:ascii="Arial" w:eastAsia="Arial" w:hAnsi="Arial" w:cs="Arial"/>
        </w:rPr>
        <w:t xml:space="preserve"> Old Dominion University, Norfolk, Virginia, USA,</w:t>
      </w:r>
    </w:p>
    <w:p w14:paraId="647BED1B" w14:textId="77777777" w:rsidR="00A84036" w:rsidRPr="00F14F60" w:rsidRDefault="00A84036" w:rsidP="00A84036">
      <w:pPr>
        <w:spacing w:after="0" w:line="240" w:lineRule="auto"/>
        <w:jc w:val="both"/>
        <w:rPr>
          <w:rFonts w:ascii="Arial" w:eastAsia="Arial" w:hAnsi="Arial" w:cs="Arial"/>
        </w:rPr>
      </w:pPr>
      <w:r w:rsidRPr="00F14F60">
        <w:rPr>
          <w:rFonts w:ascii="Arial" w:eastAsia="Arial" w:hAnsi="Arial" w:cs="Arial"/>
        </w:rPr>
        <w:t xml:space="preserve">*Correspondence to:  </w:t>
      </w:r>
    </w:p>
    <w:p w14:paraId="01441608" w14:textId="77777777" w:rsidR="00A84036" w:rsidRPr="00F14F60" w:rsidRDefault="00A84036" w:rsidP="00A84036">
      <w:pPr>
        <w:spacing w:after="0" w:line="240" w:lineRule="auto"/>
        <w:jc w:val="both"/>
        <w:rPr>
          <w:rFonts w:ascii="Arial" w:eastAsia="Arial" w:hAnsi="Arial" w:cs="Arial"/>
        </w:rPr>
      </w:pPr>
      <w:r w:rsidRPr="00F14F60">
        <w:rPr>
          <w:rFonts w:ascii="Arial" w:eastAsia="Arial" w:hAnsi="Arial" w:cs="Arial"/>
        </w:rPr>
        <w:t xml:space="preserve">Siqi Guo, Phone: 757-683-7021. Fax: 757-451-1010. Email: </w:t>
      </w:r>
      <w:r w:rsidRPr="00F14F60">
        <w:rPr>
          <w:rFonts w:ascii="Arial" w:eastAsia="Arial" w:hAnsi="Arial" w:cs="Arial"/>
          <w:color w:val="0000FF"/>
          <w:u w:val="single"/>
        </w:rPr>
        <w:t>s2guo@odu.edu</w:t>
      </w:r>
    </w:p>
    <w:p w14:paraId="211C7599" w14:textId="77777777" w:rsidR="001E61D1" w:rsidRDefault="001E61D1" w:rsidP="0005394A">
      <w:pPr>
        <w:spacing w:after="0" w:line="360" w:lineRule="auto"/>
        <w:jc w:val="both"/>
        <w:rPr>
          <w:rFonts w:ascii="Arial" w:eastAsia="Arial" w:hAnsi="Arial" w:cs="Arial"/>
          <w:lang w:eastAsia="zh-CN"/>
        </w:rPr>
      </w:pPr>
    </w:p>
    <w:p w14:paraId="0F1ADA0E" w14:textId="18DF122E" w:rsidR="001E61D1" w:rsidRDefault="001E61D1" w:rsidP="0005394A">
      <w:pPr>
        <w:spacing w:after="0" w:line="360" w:lineRule="auto"/>
        <w:jc w:val="both"/>
        <w:rPr>
          <w:rFonts w:ascii="Arial" w:eastAsia="Arial" w:hAnsi="Arial" w:cs="Arial"/>
          <w:lang w:eastAsia="zh-CN"/>
        </w:rPr>
      </w:pPr>
      <w:r w:rsidRPr="001E61D1">
        <w:rPr>
          <w:rFonts w:ascii="Arial" w:eastAsia="Arial" w:hAnsi="Arial" w:cs="Arial"/>
          <w:noProof/>
          <w:lang w:eastAsia="zh-CN"/>
        </w:rPr>
        <w:drawing>
          <wp:inline distT="0" distB="0" distL="0" distR="0" wp14:anchorId="40C93F1C" wp14:editId="219F89DF">
            <wp:extent cx="5457825" cy="1381760"/>
            <wp:effectExtent l="0" t="0" r="9525" b="8890"/>
            <wp:docPr id="168" name="Picture 167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7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805CF" w14:textId="30058520" w:rsidR="001E61D1" w:rsidRPr="00161932" w:rsidRDefault="001E61D1" w:rsidP="001E61D1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>
        <w:rPr>
          <w:rFonts w:ascii="Arial" w:hAnsi="Arial" w:cs="Arial"/>
          <w:b/>
          <w:bCs/>
          <w:i w:val="0"/>
          <w:iCs/>
        </w:rPr>
        <w:t>1</w:t>
      </w:r>
      <w:r w:rsidRPr="00161932">
        <w:rPr>
          <w:rFonts w:ascii="Arial" w:hAnsi="Arial" w:cs="Arial"/>
          <w:b/>
          <w:bCs/>
          <w:i w:val="0"/>
          <w:iCs/>
        </w:rPr>
        <w:t xml:space="preserve">. </w:t>
      </w:r>
    </w:p>
    <w:p w14:paraId="55E383E8" w14:textId="2B006633" w:rsidR="001E61D1" w:rsidRPr="001E61D1" w:rsidRDefault="001E61D1" w:rsidP="001E61D1">
      <w:pPr>
        <w:spacing w:after="0" w:line="240" w:lineRule="auto"/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  <w:r w:rsidRPr="001E61D1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In vivo NPT experimental design. 1x10</w:t>
      </w:r>
      <w:r w:rsidRPr="001E61D1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6</w:t>
      </w:r>
      <w:r w:rsidRPr="001E61D1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4T1-luc cells were injected subcutaneously into the posterior part of the mammary fat pad. The control group (n=4) received the tumor inoculation only. The remaining mice underwent NPT (100 ns pulses, 50 kV/cm, 1-3 Hz, 1000 pulses) on Day 11 following tumor inoculation. The treated mice were euthanized 4 hours (4hr), 8 hours (8hr) (for local tissues only), and on Day 1 (D1), Day 3 (D3), and Day 7 (D7) post-NPT. Their tumor tissues, tumor-draining lymph nodes (</w:t>
      </w:r>
      <w:proofErr w:type="spellStart"/>
      <w:r w:rsidRPr="001E61D1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dLN</w:t>
      </w:r>
      <w:proofErr w:type="spellEnd"/>
      <w:r w:rsidRPr="001E61D1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), blood and spleens were harvested. Control tissues were obtained from mice with untreated tumors. Single cell suspensions from each tissue were prepared.</w:t>
      </w:r>
    </w:p>
    <w:p w14:paraId="26092D61" w14:textId="77777777" w:rsidR="001E61D1" w:rsidRDefault="001E61D1" w:rsidP="0005394A">
      <w:pPr>
        <w:spacing w:after="0" w:line="360" w:lineRule="auto"/>
        <w:jc w:val="both"/>
        <w:rPr>
          <w:rFonts w:ascii="Arial" w:eastAsia="Arial" w:hAnsi="Arial" w:cs="Arial"/>
          <w:lang w:eastAsia="zh-CN"/>
        </w:rPr>
      </w:pPr>
    </w:p>
    <w:p w14:paraId="235818AF" w14:textId="63A53D82" w:rsidR="003A4EBC" w:rsidRDefault="003A4EBC" w:rsidP="0005394A">
      <w:pPr>
        <w:spacing w:after="0" w:line="360" w:lineRule="auto"/>
        <w:jc w:val="both"/>
        <w:rPr>
          <w:rFonts w:ascii="Arial" w:eastAsia="Arial" w:hAnsi="Arial" w:cs="Arial"/>
          <w:lang w:eastAsia="zh-CN"/>
        </w:rPr>
      </w:pPr>
      <w:r>
        <w:rPr>
          <w:rFonts w:ascii="Arial" w:hAnsi="Arial" w:cs="Arial"/>
          <w:b/>
          <w:bCs/>
          <w:noProof/>
          <w:color w:val="4472C4" w:themeColor="accent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24669C1" wp14:editId="656A07EC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5900420" cy="1098550"/>
            <wp:effectExtent l="0" t="0" r="0" b="6350"/>
            <wp:wrapTopAndBottom/>
            <wp:docPr id="1570918478" name="Picture 1" descr="A collage of blood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8478" name="Picture 1" descr="A collage of blood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9" b="7814"/>
                    <a:stretch/>
                  </pic:blipFill>
                  <pic:spPr bwMode="auto">
                    <a:xfrm>
                      <a:off x="0" y="0"/>
                      <a:ext cx="590042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764BA4" w14:textId="3F01C1E6" w:rsidR="003A4EBC" w:rsidRPr="00161932" w:rsidRDefault="003A4EBC" w:rsidP="003A4EBC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bookmarkStart w:id="2" w:name="_Hlk140179227"/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 w:rsidR="000C7FBE">
        <w:rPr>
          <w:rFonts w:ascii="Arial" w:hAnsi="Arial" w:cs="Arial"/>
          <w:b/>
          <w:bCs/>
          <w:i w:val="0"/>
          <w:iCs/>
        </w:rPr>
        <w:t>2</w:t>
      </w:r>
      <w:r w:rsidRPr="00161932">
        <w:rPr>
          <w:rFonts w:ascii="Arial" w:hAnsi="Arial" w:cs="Arial"/>
          <w:b/>
          <w:bCs/>
          <w:i w:val="0"/>
          <w:iCs/>
        </w:rPr>
        <w:t xml:space="preserve">. </w:t>
      </w:r>
    </w:p>
    <w:bookmarkEnd w:id="2"/>
    <w:p w14:paraId="271F8295" w14:textId="0B1ADF8B" w:rsidR="00F22110" w:rsidRPr="0005394A" w:rsidRDefault="003A4EBC" w:rsidP="003A4EBC">
      <w:pPr>
        <w:spacing w:after="0" w:line="360" w:lineRule="auto"/>
        <w:jc w:val="both"/>
        <w:rPr>
          <w:rFonts w:ascii="Arial" w:eastAsia="Arial" w:hAnsi="Arial" w:cs="Arial"/>
          <w:lang w:eastAsia="zh-CN"/>
        </w:rPr>
      </w:pPr>
      <w:r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Resected 4t1-luc solid tumor samples can be seen rapidly deteriorating in size and morphology following NPT.</w:t>
      </w:r>
    </w:p>
    <w:p w14:paraId="18609813" w14:textId="3FDD29E8" w:rsidR="009E7FB2" w:rsidRPr="00161932" w:rsidRDefault="007144B0" w:rsidP="009E7FB2">
      <w:pPr>
        <w:jc w:val="center"/>
        <w:rPr>
          <w:rFonts w:ascii="Arial" w:hAnsi="Arial" w:cs="Arial"/>
          <w:sz w:val="20"/>
          <w:szCs w:val="20"/>
        </w:rPr>
      </w:pPr>
      <w:r w:rsidRPr="0016193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86A2F15" wp14:editId="40BA055B">
            <wp:extent cx="5445877" cy="38671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46" cy="391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6C2BB" w14:textId="4266DEED" w:rsidR="009E7FB2" w:rsidRPr="00161932" w:rsidRDefault="009E7FB2" w:rsidP="009E7FB2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 w:rsidR="000C7FBE">
        <w:rPr>
          <w:rFonts w:ascii="Arial" w:hAnsi="Arial" w:cs="Arial"/>
          <w:b/>
          <w:bCs/>
          <w:i w:val="0"/>
          <w:iCs/>
        </w:rPr>
        <w:t>3</w:t>
      </w:r>
      <w:r w:rsidRPr="00161932">
        <w:rPr>
          <w:rFonts w:ascii="Arial" w:hAnsi="Arial" w:cs="Arial"/>
          <w:b/>
          <w:bCs/>
          <w:i w:val="0"/>
          <w:iCs/>
        </w:rPr>
        <w:t xml:space="preserve">. </w:t>
      </w:r>
    </w:p>
    <w:p w14:paraId="38130D4A" w14:textId="6F05F385" w:rsidR="00EE3F9C" w:rsidRDefault="009E7FB2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CD25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Foxp3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Treg gating strategy.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A-E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, Summary flow plots representing the Treg gating strategy.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A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, Single cell suspensions from the dLN of 4t1-luc tumor-bearing mice were gated on the forward scatter (FSC) vs side scatter (SSC) dot plot to select lymphocytes.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B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, Lymphocytes were then gated on the FSC-Height vs FSC axis to eliminate doublets.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C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and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D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, CD3 cells were selected (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C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) and gated on the CD4 vs CD8 axis to separate CD4-single positive and CD8-single positive T cells (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D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).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E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, CD4-single positive T cells were then gated on the CD25 vs Foxp3 axis to select CD25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Foxp3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Tregs. </w:t>
      </w:r>
    </w:p>
    <w:p w14:paraId="649038C5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7BB8B0BB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5F5EFC8F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1535A220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25BFDA58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0AA8CD5F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201E4B83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67907E77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0390DABD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7530F55F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7368BA16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10A2EC9A" w14:textId="77777777" w:rsidR="00EE3F9C" w:rsidRDefault="00EE3F9C" w:rsidP="00CA3803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</w:p>
    <w:p w14:paraId="2B18998A" w14:textId="20D71688" w:rsidR="00EE3F9C" w:rsidRPr="00161932" w:rsidRDefault="00EE3F9C" w:rsidP="00EE3F9C">
      <w:pPr>
        <w:rPr>
          <w:rFonts w:ascii="Arial" w:hAnsi="Arial" w:cs="Arial"/>
          <w:noProof/>
          <w:sz w:val="20"/>
          <w:szCs w:val="20"/>
        </w:rPr>
      </w:pPr>
    </w:p>
    <w:p w14:paraId="69C7158D" w14:textId="76881B1F" w:rsidR="00EE3F9C" w:rsidRPr="00161932" w:rsidRDefault="009526CD" w:rsidP="00EE3F9C">
      <w:pPr>
        <w:rPr>
          <w:rFonts w:ascii="Arial" w:hAnsi="Arial" w:cs="Arial"/>
          <w:sz w:val="20"/>
          <w:szCs w:val="20"/>
        </w:rPr>
      </w:pPr>
      <w:r w:rsidRPr="00161932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6B5064" wp14:editId="5E856B8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10515" cy="328930"/>
                <wp:effectExtent l="0" t="0" r="0" b="0"/>
                <wp:wrapNone/>
                <wp:docPr id="636698575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F67E6" w14:textId="77777777" w:rsidR="00EE3F9C" w:rsidRPr="00A704B2" w:rsidRDefault="00EE3F9C" w:rsidP="00EE3F9C">
                            <w:pPr>
                              <w:spacing w:line="25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Cs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C6B5064" id="Rectangle 56" o:spid="_x0000_s1026" style="position:absolute;margin-left:0;margin-top:.95pt;width:24.45pt;height:25.9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" filled="f" stroked="f">
                <v:textbox>
                  <w:txbxContent>
                    <w:p w14:paraId="161F67E6" w14:textId="77777777" w:rsidR="00EE3F9C" w:rsidRPr="00A704B2" w:rsidRDefault="00EE3F9C" w:rsidP="00EE3F9C">
                      <w:pPr>
                        <w:spacing w:line="25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iCs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3F9C" w:rsidRPr="0016193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AAC3C9" wp14:editId="239A3ADE">
                <wp:simplePos x="0" y="0"/>
                <wp:positionH relativeFrom="margin">
                  <wp:align>left</wp:align>
                </wp:positionH>
                <wp:positionV relativeFrom="paragraph">
                  <wp:posOffset>1889760</wp:posOffset>
                </wp:positionV>
                <wp:extent cx="310515" cy="328930"/>
                <wp:effectExtent l="0" t="0" r="0" b="0"/>
                <wp:wrapNone/>
                <wp:docPr id="134918494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1A637" w14:textId="77777777" w:rsidR="00EE3F9C" w:rsidRPr="00A704B2" w:rsidRDefault="00EE3F9C" w:rsidP="00EE3F9C">
                            <w:pPr>
                              <w:spacing w:line="25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Cs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EAAC3C9" id="_x0000_s1027" style="position:absolute;margin-left:0;margin-top:148.8pt;width:24.45pt;height:25.9pt;z-index:25165824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" filled="f" stroked="f">
                <v:textbox>
                  <w:txbxContent>
                    <w:p w14:paraId="4DE1A637" w14:textId="77777777" w:rsidR="00EE3F9C" w:rsidRPr="00A704B2" w:rsidRDefault="00EE3F9C" w:rsidP="00EE3F9C">
                      <w:pPr>
                        <w:spacing w:line="25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iCs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E3F9C" w:rsidRPr="001619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A96564" wp14:editId="49610323">
            <wp:extent cx="5343525" cy="3497764"/>
            <wp:effectExtent l="0" t="0" r="0" b="0"/>
            <wp:docPr id="1949368742" name="Picture 194936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"/>
                    <a:stretch/>
                  </pic:blipFill>
                  <pic:spPr bwMode="auto">
                    <a:xfrm>
                      <a:off x="0" y="0"/>
                      <a:ext cx="5346637" cy="34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2BAEF" w14:textId="42FAB61A" w:rsidR="00EE3F9C" w:rsidRPr="00161932" w:rsidRDefault="00EE3F9C" w:rsidP="00EE3F9C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>
        <w:rPr>
          <w:rFonts w:ascii="Arial" w:hAnsi="Arial" w:cs="Arial"/>
          <w:b/>
          <w:bCs/>
          <w:i w:val="0"/>
          <w:iCs/>
        </w:rPr>
        <w:t>4</w:t>
      </w:r>
      <w:r w:rsidRPr="00161932">
        <w:rPr>
          <w:rFonts w:ascii="Arial" w:hAnsi="Arial" w:cs="Arial"/>
          <w:b/>
          <w:bCs/>
          <w:i w:val="0"/>
          <w:iCs/>
        </w:rPr>
        <w:t xml:space="preserve">. </w:t>
      </w:r>
    </w:p>
    <w:p w14:paraId="1B3107BF" w14:textId="71D2DE5B" w:rsidR="00EE3F9C" w:rsidRPr="009526CD" w:rsidRDefault="00EE3F9C" w:rsidP="009526CD">
      <w:pPr>
        <w:jc w:val="both"/>
        <w:rPr>
          <w:rFonts w:ascii="Arial" w:eastAsia="Calibri" w:hAnsi="Arial" w:cs="Arial"/>
          <w:iCs/>
          <w:color w:val="2E2E2E"/>
          <w:kern w:val="24"/>
          <w:sz w:val="20"/>
          <w:szCs w:val="20"/>
        </w:rPr>
      </w:pPr>
      <w:r w:rsidRPr="00161932">
        <w:rPr>
          <w:rFonts w:ascii="Arial" w:hAnsi="Arial" w:cs="Arial"/>
          <w:iCs/>
          <w:sz w:val="20"/>
          <w:szCs w:val="20"/>
        </w:rPr>
        <w:t xml:space="preserve">NPT severely reduces </w:t>
      </w:r>
      <w:proofErr w:type="spellStart"/>
      <w:r w:rsidRPr="00161932">
        <w:rPr>
          <w:rFonts w:ascii="Arial" w:hAnsi="Arial" w:cs="Arial"/>
          <w:iCs/>
          <w:sz w:val="20"/>
          <w:szCs w:val="20"/>
        </w:rPr>
        <w:t>intratumoral</w:t>
      </w:r>
      <w:proofErr w:type="spellEnd"/>
      <w:r w:rsidRPr="00161932">
        <w:rPr>
          <w:rFonts w:ascii="Arial" w:hAnsi="Arial" w:cs="Arial"/>
          <w:iCs/>
          <w:sz w:val="20"/>
          <w:szCs w:val="20"/>
        </w:rPr>
        <w:t xml:space="preserve"> Tregs making their activation marker expression unquantifiable post-treatment.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A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and 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B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, Flow plots representing Foxp3 co-expression with 4-1BB (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A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) and TGFβ (</w:t>
      </w:r>
      <w:r w:rsidRPr="00161932">
        <w:rPr>
          <w:rFonts w:ascii="Arial" w:eastAsia="Calibri" w:hAnsi="Arial" w:cs="Arial"/>
          <w:b/>
          <w:bCs/>
          <w:iCs/>
          <w:color w:val="2E2E2E"/>
          <w:kern w:val="24"/>
          <w:sz w:val="20"/>
          <w:szCs w:val="20"/>
        </w:rPr>
        <w:t>B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) among CD4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TILS in untreated tumors and on Day 3 and Day 7 post-NPT. N=4 per group.</w:t>
      </w:r>
    </w:p>
    <w:p w14:paraId="6CD52965" w14:textId="77777777" w:rsidR="009526CD" w:rsidRPr="00161932" w:rsidRDefault="009526CD" w:rsidP="009526CD">
      <w:pPr>
        <w:jc w:val="center"/>
        <w:rPr>
          <w:rFonts w:ascii="Arial" w:hAnsi="Arial" w:cs="Arial"/>
          <w:sz w:val="20"/>
          <w:szCs w:val="20"/>
        </w:rPr>
      </w:pPr>
      <w:r w:rsidRPr="0016193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315123" wp14:editId="73982F1B">
            <wp:extent cx="3109097" cy="3076575"/>
            <wp:effectExtent l="0" t="0" r="0" b="0"/>
            <wp:docPr id="1717804104" name="Picture 171780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6" t="20783" r="22337"/>
                    <a:stretch/>
                  </pic:blipFill>
                  <pic:spPr bwMode="auto">
                    <a:xfrm>
                      <a:off x="0" y="0"/>
                      <a:ext cx="3111653" cy="30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204BF" w14:textId="228D7200" w:rsidR="009526CD" w:rsidRPr="00161932" w:rsidRDefault="009526CD" w:rsidP="009526CD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>
        <w:rPr>
          <w:rFonts w:ascii="Arial" w:hAnsi="Arial" w:cs="Arial"/>
          <w:b/>
          <w:bCs/>
          <w:i w:val="0"/>
          <w:iCs/>
        </w:rPr>
        <w:t>5</w:t>
      </w:r>
      <w:r w:rsidRPr="00161932">
        <w:rPr>
          <w:rFonts w:ascii="Arial" w:hAnsi="Arial" w:cs="Arial"/>
          <w:b/>
          <w:bCs/>
          <w:i w:val="0"/>
          <w:iCs/>
        </w:rPr>
        <w:t xml:space="preserve">. </w:t>
      </w:r>
    </w:p>
    <w:p w14:paraId="60F7AE18" w14:textId="0A9CF360" w:rsidR="00EE3F9C" w:rsidRDefault="009526CD" w:rsidP="009526CD">
      <w:pPr>
        <w:rPr>
          <w:rFonts w:ascii="Arial" w:hAnsi="Arial" w:cs="Arial"/>
          <w:sz w:val="20"/>
          <w:szCs w:val="20"/>
        </w:rPr>
      </w:pP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NPT-induced changes in 4-1BB and Foxp3 co-expression among CD4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T cells in the </w:t>
      </w:r>
      <w:proofErr w:type="spellStart"/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dLN</w:t>
      </w:r>
      <w:proofErr w:type="spellEnd"/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. Flow plots represent 4-1BB and Foxp3 analysis among CD4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  <w:vertAlign w:val="superscript"/>
        </w:rPr>
        <w:t>+</w:t>
      </w:r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T cells in the </w:t>
      </w:r>
      <w:proofErr w:type="spellStart"/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>dLN</w:t>
      </w:r>
      <w:proofErr w:type="spellEnd"/>
      <w:r w:rsidRPr="00161932">
        <w:rPr>
          <w:rFonts w:ascii="Arial" w:eastAsia="Calibri" w:hAnsi="Arial" w:cs="Arial"/>
          <w:iCs/>
          <w:color w:val="2E2E2E"/>
          <w:kern w:val="24"/>
          <w:sz w:val="20"/>
          <w:szCs w:val="20"/>
        </w:rPr>
        <w:t xml:space="preserve"> of untreated tumor-bearing mice (Untreated control), tumor-naïve mice (Negative control) and treated mice from the 4-hour and Day 1 post-NPT timepoints. N=4 per group.</w:t>
      </w:r>
    </w:p>
    <w:p w14:paraId="53F2A9A7" w14:textId="77777777" w:rsidR="0075129E" w:rsidRPr="00161932" w:rsidRDefault="0075129E" w:rsidP="0075129E">
      <w:pPr>
        <w:rPr>
          <w:rFonts w:ascii="Arial" w:hAnsi="Arial" w:cs="Arial"/>
          <w:sz w:val="20"/>
          <w:szCs w:val="20"/>
        </w:rPr>
      </w:pPr>
      <w:r w:rsidRPr="0016193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7B5F27A" wp14:editId="3A240258">
            <wp:extent cx="5943600" cy="2415396"/>
            <wp:effectExtent l="0" t="0" r="0" b="0"/>
            <wp:docPr id="856126347" name="Picture 85612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7"/>
                    <a:stretch/>
                  </pic:blipFill>
                  <pic:spPr bwMode="auto">
                    <a:xfrm>
                      <a:off x="0" y="0"/>
                      <a:ext cx="5943600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343C9" w14:textId="0AAB2E64" w:rsidR="0075129E" w:rsidRPr="00161932" w:rsidRDefault="0075129E" w:rsidP="0075129E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>
        <w:rPr>
          <w:rFonts w:ascii="Arial" w:hAnsi="Arial" w:cs="Arial"/>
          <w:b/>
          <w:bCs/>
          <w:i w:val="0"/>
          <w:iCs/>
        </w:rPr>
        <w:t>6</w:t>
      </w:r>
      <w:r w:rsidRPr="00161932">
        <w:rPr>
          <w:rFonts w:ascii="Arial" w:hAnsi="Arial" w:cs="Arial"/>
          <w:b/>
          <w:bCs/>
          <w:i w:val="0"/>
          <w:iCs/>
        </w:rPr>
        <w:t>.</w:t>
      </w:r>
      <w:r w:rsidRPr="00161932">
        <w:rPr>
          <w:rFonts w:ascii="Arial" w:hAnsi="Arial" w:cs="Arial"/>
          <w:iCs/>
          <w:noProof/>
        </w:rPr>
        <w:t xml:space="preserve"> </w:t>
      </w:r>
      <w:r w:rsidRPr="00161932">
        <w:rPr>
          <w:rFonts w:ascii="Arial" w:hAnsi="Arial" w:cs="Arial"/>
          <w:b/>
          <w:bCs/>
          <w:i w:val="0"/>
          <w:iCs/>
        </w:rPr>
        <w:t xml:space="preserve"> </w:t>
      </w:r>
    </w:p>
    <w:p w14:paraId="6BB170B9" w14:textId="643EE1FB" w:rsidR="00C416F2" w:rsidRDefault="0075129E" w:rsidP="0075129E">
      <w:pPr>
        <w:pStyle w:val="Caption"/>
        <w:jc w:val="both"/>
        <w:rPr>
          <w:rFonts w:ascii="Arial" w:eastAsia="Calibri" w:hAnsi="Arial" w:cs="Arial"/>
          <w:i w:val="0"/>
          <w:iCs/>
          <w:color w:val="2E2E2E"/>
          <w:kern w:val="24"/>
          <w:sz w:val="20"/>
          <w:szCs w:val="20"/>
        </w:rPr>
      </w:pPr>
      <w:r w:rsidRPr="00161932">
        <w:rPr>
          <w:rFonts w:ascii="Arial" w:hAnsi="Arial" w:cs="Arial"/>
          <w:i w:val="0"/>
          <w:iCs/>
          <w:sz w:val="20"/>
          <w:szCs w:val="20"/>
        </w:rPr>
        <w:t xml:space="preserve">Comparing phenotypic characteristics among different Treg subsets in the untreated tumor </w:t>
      </w:r>
      <w:proofErr w:type="spellStart"/>
      <w:r w:rsidRPr="00161932">
        <w:rPr>
          <w:rFonts w:ascii="Arial" w:hAnsi="Arial" w:cs="Arial"/>
          <w:i w:val="0"/>
          <w:iCs/>
          <w:sz w:val="20"/>
          <w:szCs w:val="20"/>
        </w:rPr>
        <w:t>dLN</w:t>
      </w:r>
      <w:proofErr w:type="spellEnd"/>
      <w:r w:rsidRPr="00161932">
        <w:rPr>
          <w:rFonts w:ascii="Arial" w:hAnsi="Arial" w:cs="Arial"/>
          <w:i w:val="0"/>
          <w:iCs/>
          <w:sz w:val="20"/>
          <w:szCs w:val="20"/>
        </w:rPr>
        <w:t xml:space="preserve">. </w:t>
      </w:r>
      <w:proofErr w:type="gramStart"/>
      <w:r w:rsidRPr="00161932">
        <w:rPr>
          <w:rFonts w:ascii="Arial" w:hAnsi="Arial" w:cs="Arial"/>
          <w:b/>
          <w:bCs/>
          <w:i w:val="0"/>
          <w:iCs/>
          <w:sz w:val="20"/>
          <w:szCs w:val="20"/>
        </w:rPr>
        <w:t>A,</w:t>
      </w:r>
      <w:proofErr w:type="gramEnd"/>
      <w:r w:rsidRPr="00161932">
        <w:rPr>
          <w:rFonts w:ascii="Arial" w:hAnsi="Arial" w:cs="Arial"/>
          <w:i w:val="0"/>
          <w:iCs/>
          <w:sz w:val="20"/>
          <w:szCs w:val="20"/>
        </w:rPr>
        <w:t xml:space="preserve"> </w:t>
      </w:r>
      <w:r w:rsidRPr="00161932">
        <w:rPr>
          <w:rFonts w:ascii="Arial" w:eastAsia="Calibri" w:hAnsi="Arial" w:cs="Arial"/>
          <w:i w:val="0"/>
          <w:iCs/>
          <w:color w:val="2E2E2E"/>
          <w:kern w:val="24"/>
          <w:sz w:val="20"/>
          <w:szCs w:val="20"/>
        </w:rPr>
        <w:t>Flow plots represent</w:t>
      </w:r>
      <w:r w:rsidRPr="00161932">
        <w:rPr>
          <w:rFonts w:ascii="Arial" w:hAnsi="Arial" w:cs="Arial"/>
          <w:i w:val="0"/>
          <w:iCs/>
          <w:sz w:val="20"/>
          <w:szCs w:val="20"/>
        </w:rPr>
        <w:t xml:space="preserve"> CD44/CD62L expression among the total Treg population (red) and 4-1BB</w:t>
      </w:r>
      <w:r w:rsidRPr="00161932">
        <w:rPr>
          <w:rFonts w:ascii="Arial" w:hAnsi="Arial" w:cs="Arial"/>
          <w:i w:val="0"/>
          <w:iCs/>
          <w:sz w:val="20"/>
          <w:szCs w:val="20"/>
          <w:vertAlign w:val="superscript"/>
        </w:rPr>
        <w:t>+</w:t>
      </w:r>
      <w:r w:rsidRPr="00161932">
        <w:rPr>
          <w:rFonts w:ascii="Arial" w:hAnsi="Arial" w:cs="Arial"/>
          <w:i w:val="0"/>
          <w:iCs/>
          <w:sz w:val="20"/>
          <w:szCs w:val="20"/>
        </w:rPr>
        <w:t xml:space="preserve"> </w:t>
      </w:r>
      <w:proofErr w:type="spellStart"/>
      <w:r w:rsidRPr="00161932">
        <w:rPr>
          <w:rFonts w:ascii="Arial" w:hAnsi="Arial" w:cs="Arial"/>
          <w:i w:val="0"/>
          <w:iCs/>
          <w:sz w:val="20"/>
          <w:szCs w:val="20"/>
        </w:rPr>
        <w:t>subgate</w:t>
      </w:r>
      <w:proofErr w:type="spellEnd"/>
      <w:r w:rsidRPr="00161932">
        <w:rPr>
          <w:rFonts w:ascii="Arial" w:hAnsi="Arial" w:cs="Arial"/>
          <w:i w:val="0"/>
          <w:iCs/>
          <w:sz w:val="20"/>
          <w:szCs w:val="20"/>
        </w:rPr>
        <w:t xml:space="preserve"> (blue) in the </w:t>
      </w:r>
      <w:proofErr w:type="spellStart"/>
      <w:r w:rsidRPr="00161932">
        <w:rPr>
          <w:rFonts w:ascii="Arial" w:hAnsi="Arial" w:cs="Arial"/>
          <w:i w:val="0"/>
          <w:iCs/>
          <w:sz w:val="20"/>
          <w:szCs w:val="20"/>
        </w:rPr>
        <w:t>dLN</w:t>
      </w:r>
      <w:proofErr w:type="spellEnd"/>
      <w:r w:rsidRPr="00161932">
        <w:rPr>
          <w:rFonts w:ascii="Arial" w:hAnsi="Arial" w:cs="Arial"/>
          <w:i w:val="0"/>
          <w:iCs/>
          <w:sz w:val="20"/>
          <w:szCs w:val="20"/>
        </w:rPr>
        <w:t xml:space="preserve"> of untreated tumor-bearing mice. </w:t>
      </w:r>
      <w:r w:rsidRPr="00161932">
        <w:rPr>
          <w:rFonts w:ascii="Arial" w:hAnsi="Arial" w:cs="Arial"/>
          <w:b/>
          <w:bCs/>
          <w:i w:val="0"/>
          <w:iCs/>
          <w:sz w:val="20"/>
          <w:szCs w:val="20"/>
        </w:rPr>
        <w:t xml:space="preserve">B, </w:t>
      </w:r>
      <w:r w:rsidRPr="00161932">
        <w:rPr>
          <w:rFonts w:ascii="Arial" w:hAnsi="Arial" w:cs="Arial"/>
          <w:i w:val="0"/>
          <w:iCs/>
          <w:sz w:val="20"/>
          <w:szCs w:val="20"/>
        </w:rPr>
        <w:t>TGFβ expression among naïve vs activated Tregs (left) and 4-1BB</w:t>
      </w:r>
      <w:r w:rsidRPr="00161932">
        <w:rPr>
          <w:rFonts w:ascii="Arial" w:hAnsi="Arial" w:cs="Arial"/>
          <w:i w:val="0"/>
          <w:iCs/>
          <w:sz w:val="20"/>
          <w:szCs w:val="20"/>
          <w:vertAlign w:val="superscript"/>
        </w:rPr>
        <w:t>+</w:t>
      </w:r>
      <w:r w:rsidRPr="00161932">
        <w:rPr>
          <w:rFonts w:ascii="Arial" w:hAnsi="Arial" w:cs="Arial"/>
          <w:i w:val="0"/>
          <w:iCs/>
          <w:sz w:val="20"/>
          <w:szCs w:val="20"/>
        </w:rPr>
        <w:t xml:space="preserve"> vs 4-1BB</w:t>
      </w:r>
      <w:r w:rsidRPr="00161932">
        <w:rPr>
          <w:rFonts w:ascii="Arial" w:hAnsi="Arial" w:cs="Arial"/>
          <w:i w:val="0"/>
          <w:iCs/>
          <w:sz w:val="20"/>
          <w:szCs w:val="20"/>
          <w:vertAlign w:val="superscript"/>
        </w:rPr>
        <w:t>-</w:t>
      </w:r>
      <w:r w:rsidRPr="00161932">
        <w:rPr>
          <w:rFonts w:ascii="Arial" w:hAnsi="Arial" w:cs="Arial"/>
          <w:i w:val="0"/>
          <w:iCs/>
          <w:sz w:val="20"/>
          <w:szCs w:val="20"/>
        </w:rPr>
        <w:t xml:space="preserve"> Tregs (right).</w:t>
      </w:r>
      <w:r w:rsidRPr="00161932">
        <w:rPr>
          <w:rFonts w:ascii="Arial" w:eastAsia="Calibri" w:hAnsi="Arial" w:cs="Arial"/>
          <w:i w:val="0"/>
          <w:iCs/>
          <w:color w:val="2E2E2E"/>
          <w:kern w:val="24"/>
          <w:sz w:val="20"/>
          <w:szCs w:val="20"/>
        </w:rPr>
        <w:t xml:space="preserve"> </w:t>
      </w:r>
    </w:p>
    <w:p w14:paraId="3A230FFC" w14:textId="77777777" w:rsidR="007C3CC4" w:rsidRPr="00C416F2" w:rsidRDefault="007C3CC4" w:rsidP="0075129E">
      <w:pPr>
        <w:pStyle w:val="Caption"/>
        <w:jc w:val="both"/>
        <w:rPr>
          <w:rFonts w:ascii="Arial" w:eastAsia="Calibri" w:hAnsi="Arial" w:cs="Arial"/>
          <w:i w:val="0"/>
          <w:iCs/>
          <w:color w:val="2E2E2E"/>
          <w:kern w:val="24"/>
          <w:sz w:val="20"/>
          <w:szCs w:val="20"/>
        </w:rPr>
      </w:pPr>
    </w:p>
    <w:p w14:paraId="35AED6EF" w14:textId="77777777" w:rsidR="007C3CC4" w:rsidRDefault="00C416F2" w:rsidP="002A27CB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>
        <w:rPr>
          <w:noProof/>
        </w:rPr>
        <w:drawing>
          <wp:inline distT="0" distB="0" distL="0" distR="0" wp14:anchorId="295C896C" wp14:editId="14FCB50E">
            <wp:extent cx="6309360" cy="3723437"/>
            <wp:effectExtent l="0" t="0" r="0" b="0"/>
            <wp:docPr id="1588273115" name="Picture 2" descr="A graph of a number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73115" name="Picture 2" descr="A graph of a number of cel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2"/>
                    <a:stretch/>
                  </pic:blipFill>
                  <pic:spPr bwMode="auto">
                    <a:xfrm>
                      <a:off x="0" y="0"/>
                      <a:ext cx="6309360" cy="37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7CB" w:rsidRPr="002A27CB">
        <w:rPr>
          <w:rFonts w:ascii="Arial" w:hAnsi="Arial" w:cs="Arial"/>
          <w:b/>
          <w:bCs/>
          <w:i w:val="0"/>
          <w:iCs/>
        </w:rPr>
        <w:t xml:space="preserve"> </w:t>
      </w:r>
    </w:p>
    <w:p w14:paraId="193D1478" w14:textId="77777777" w:rsidR="007C3CC4" w:rsidRDefault="007C3CC4" w:rsidP="002A27CB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</w:p>
    <w:p w14:paraId="406B8FBE" w14:textId="0F786811" w:rsidR="002A27CB" w:rsidRDefault="002A27CB" w:rsidP="002A27CB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161932">
        <w:rPr>
          <w:rFonts w:ascii="Arial" w:hAnsi="Arial" w:cs="Arial"/>
          <w:b/>
          <w:bCs/>
          <w:i w:val="0"/>
          <w:iCs/>
        </w:rPr>
        <w:t xml:space="preserve">Supplementary Figure </w:t>
      </w:r>
      <w:r w:rsidR="007C3CC4">
        <w:rPr>
          <w:rFonts w:ascii="Arial" w:hAnsi="Arial" w:cs="Arial"/>
          <w:b/>
          <w:bCs/>
          <w:i w:val="0"/>
          <w:iCs/>
        </w:rPr>
        <w:t>7</w:t>
      </w:r>
      <w:r w:rsidRPr="00161932">
        <w:rPr>
          <w:rFonts w:ascii="Arial" w:hAnsi="Arial" w:cs="Arial"/>
          <w:b/>
          <w:bCs/>
          <w:i w:val="0"/>
          <w:iCs/>
        </w:rPr>
        <w:t>.</w:t>
      </w:r>
      <w:r w:rsidRPr="00161932">
        <w:rPr>
          <w:rFonts w:ascii="Arial" w:hAnsi="Arial" w:cs="Arial"/>
          <w:iCs/>
          <w:noProof/>
        </w:rPr>
        <w:t xml:space="preserve"> </w:t>
      </w:r>
      <w:r w:rsidRPr="00161932">
        <w:rPr>
          <w:rFonts w:ascii="Arial" w:hAnsi="Arial" w:cs="Arial"/>
          <w:b/>
          <w:bCs/>
          <w:i w:val="0"/>
          <w:iCs/>
        </w:rPr>
        <w:t xml:space="preserve"> </w:t>
      </w:r>
    </w:p>
    <w:p w14:paraId="4D19C8AA" w14:textId="4D7D5E0F" w:rsidR="009F0728" w:rsidRPr="007C3CC4" w:rsidRDefault="002A27CB" w:rsidP="007C3CC4">
      <w:pPr>
        <w:pStyle w:val="Caption"/>
        <w:contextualSpacing/>
        <w:jc w:val="both"/>
        <w:rPr>
          <w:rFonts w:ascii="Arial" w:hAnsi="Arial" w:cs="Arial"/>
          <w:b/>
          <w:bCs/>
          <w:i w:val="0"/>
          <w:iCs/>
        </w:rPr>
      </w:pP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MDSCs and TAMs are decreased following NP</w:t>
      </w:r>
      <w:r w:rsidR="001259B7">
        <w:rPr>
          <w:rFonts w:ascii="Arial" w:eastAsia="Times New Roman" w:hAnsi="Arial" w:cs="Arial"/>
          <w:i w:val="0"/>
          <w:iCs/>
          <w:sz w:val="20"/>
          <w:szCs w:val="20"/>
        </w:rPr>
        <w:t>T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. F4/80</w:t>
      </w:r>
      <w:r w:rsidRPr="006219C9">
        <w:rPr>
          <w:rFonts w:ascii="Arial" w:eastAsia="Times New Roman" w:hAnsi="Arial" w:cs="Arial"/>
          <w:i w:val="0"/>
          <w:iCs/>
          <w:sz w:val="20"/>
          <w:szCs w:val="20"/>
          <w:vertAlign w:val="superscript"/>
        </w:rPr>
        <w:t>+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CD11b</w:t>
      </w:r>
      <w:r w:rsidRPr="006219C9">
        <w:rPr>
          <w:rFonts w:ascii="Arial" w:eastAsia="Times New Roman" w:hAnsi="Arial" w:cs="Arial"/>
          <w:i w:val="0"/>
          <w:iCs/>
          <w:sz w:val="20"/>
          <w:szCs w:val="20"/>
          <w:vertAlign w:val="superscript"/>
        </w:rPr>
        <w:t>+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TAMs in the </w:t>
      </w:r>
      <w:proofErr w:type="spellStart"/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dLN</w:t>
      </w:r>
      <w:proofErr w:type="spellEnd"/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A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and 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B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) and Gr-1</w:t>
      </w:r>
      <w:r w:rsidRPr="006219C9">
        <w:rPr>
          <w:rFonts w:ascii="Arial" w:eastAsia="Times New Roman" w:hAnsi="Arial" w:cs="Arial"/>
          <w:i w:val="0"/>
          <w:iCs/>
          <w:sz w:val="20"/>
          <w:szCs w:val="20"/>
          <w:vertAlign w:val="superscript"/>
        </w:rPr>
        <w:t>+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CD11b</w:t>
      </w:r>
      <w:r w:rsidRPr="006219C9">
        <w:rPr>
          <w:rFonts w:ascii="Arial" w:eastAsia="Times New Roman" w:hAnsi="Arial" w:cs="Arial"/>
          <w:i w:val="0"/>
          <w:iCs/>
          <w:sz w:val="20"/>
          <w:szCs w:val="20"/>
          <w:vertAlign w:val="superscript"/>
        </w:rPr>
        <w:t>+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MDSCs in the blood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C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and 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D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) are represented as a percentage among total single events in the summary flow plots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A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and 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C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) and quantitative bar graphs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B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 and 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D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). A standardized cell count is represented for TAMs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B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>) and MDSCs (</w:t>
      </w:r>
      <w:r w:rsidRPr="006219C9">
        <w:rPr>
          <w:rFonts w:ascii="Arial" w:eastAsia="Times New Roman" w:hAnsi="Arial" w:cs="Arial"/>
          <w:b/>
          <w:bCs/>
          <w:i w:val="0"/>
          <w:iCs/>
          <w:sz w:val="20"/>
          <w:szCs w:val="20"/>
        </w:rPr>
        <w:t>C</w:t>
      </w:r>
      <w:r w:rsidRPr="006219C9">
        <w:rPr>
          <w:rFonts w:ascii="Arial" w:eastAsia="Times New Roman" w:hAnsi="Arial" w:cs="Arial"/>
          <w:i w:val="0"/>
          <w:iCs/>
          <w:sz w:val="20"/>
          <w:szCs w:val="20"/>
        </w:rPr>
        <w:t xml:space="preserve">). N=4 per group. Error bars, SD. ** p &lt; 0.01 and * p &lt; 0.05 determined by one-way ANOVA. </w:t>
      </w:r>
    </w:p>
    <w:sectPr w:rsidR="009F0728" w:rsidRPr="007C3CC4" w:rsidSect="00FD752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1CD02" w14:textId="77777777" w:rsidR="00C655F7" w:rsidRDefault="00C655F7" w:rsidP="009F0728">
      <w:pPr>
        <w:spacing w:after="0" w:line="240" w:lineRule="auto"/>
      </w:pPr>
      <w:r>
        <w:separator/>
      </w:r>
    </w:p>
  </w:endnote>
  <w:endnote w:type="continuationSeparator" w:id="0">
    <w:p w14:paraId="22E2C7A6" w14:textId="77777777" w:rsidR="00C655F7" w:rsidRDefault="00C655F7" w:rsidP="009F0728">
      <w:pPr>
        <w:spacing w:after="0" w:line="240" w:lineRule="auto"/>
      </w:pPr>
      <w:r>
        <w:continuationSeparator/>
      </w:r>
    </w:p>
  </w:endnote>
  <w:endnote w:type="continuationNotice" w:id="1">
    <w:p w14:paraId="55AACFAE" w14:textId="77777777" w:rsidR="00C655F7" w:rsidRDefault="00C655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341D3" w14:textId="77777777" w:rsidR="00C655F7" w:rsidRDefault="00C655F7" w:rsidP="009F0728">
      <w:pPr>
        <w:spacing w:after="0" w:line="240" w:lineRule="auto"/>
      </w:pPr>
      <w:r>
        <w:separator/>
      </w:r>
    </w:p>
  </w:footnote>
  <w:footnote w:type="continuationSeparator" w:id="0">
    <w:p w14:paraId="7C086B34" w14:textId="77777777" w:rsidR="00C655F7" w:rsidRDefault="00C655F7" w:rsidP="009F0728">
      <w:pPr>
        <w:spacing w:after="0" w:line="240" w:lineRule="auto"/>
      </w:pPr>
      <w:r>
        <w:continuationSeparator/>
      </w:r>
    </w:p>
  </w:footnote>
  <w:footnote w:type="continuationNotice" w:id="1">
    <w:p w14:paraId="75BFF372" w14:textId="77777777" w:rsidR="00C655F7" w:rsidRDefault="00C655F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EC3"/>
    <w:rsid w:val="000222CC"/>
    <w:rsid w:val="0003680E"/>
    <w:rsid w:val="00050BD8"/>
    <w:rsid w:val="0005394A"/>
    <w:rsid w:val="00077F8E"/>
    <w:rsid w:val="00080424"/>
    <w:rsid w:val="000B3764"/>
    <w:rsid w:val="000C7FBE"/>
    <w:rsid w:val="00103751"/>
    <w:rsid w:val="0010557B"/>
    <w:rsid w:val="00110EB2"/>
    <w:rsid w:val="001259B7"/>
    <w:rsid w:val="00161932"/>
    <w:rsid w:val="001C1C74"/>
    <w:rsid w:val="001D586D"/>
    <w:rsid w:val="001E61D1"/>
    <w:rsid w:val="001F64DD"/>
    <w:rsid w:val="002025D9"/>
    <w:rsid w:val="00246003"/>
    <w:rsid w:val="00247C3B"/>
    <w:rsid w:val="00270D7F"/>
    <w:rsid w:val="00271B08"/>
    <w:rsid w:val="00282D0A"/>
    <w:rsid w:val="002A27CB"/>
    <w:rsid w:val="00305BE3"/>
    <w:rsid w:val="0031289A"/>
    <w:rsid w:val="00322B86"/>
    <w:rsid w:val="00323D79"/>
    <w:rsid w:val="00363475"/>
    <w:rsid w:val="003A4EBC"/>
    <w:rsid w:val="00417D4F"/>
    <w:rsid w:val="004261A9"/>
    <w:rsid w:val="00447C22"/>
    <w:rsid w:val="00495F01"/>
    <w:rsid w:val="00545FC0"/>
    <w:rsid w:val="00566312"/>
    <w:rsid w:val="00567DD9"/>
    <w:rsid w:val="00583EC3"/>
    <w:rsid w:val="00590B09"/>
    <w:rsid w:val="005A3315"/>
    <w:rsid w:val="005F11A2"/>
    <w:rsid w:val="006172F7"/>
    <w:rsid w:val="006219C9"/>
    <w:rsid w:val="006745DC"/>
    <w:rsid w:val="0069036E"/>
    <w:rsid w:val="006C7425"/>
    <w:rsid w:val="007144B0"/>
    <w:rsid w:val="0073083E"/>
    <w:rsid w:val="00742F4D"/>
    <w:rsid w:val="0075129E"/>
    <w:rsid w:val="007543FD"/>
    <w:rsid w:val="007A0919"/>
    <w:rsid w:val="007A593B"/>
    <w:rsid w:val="007C3CC4"/>
    <w:rsid w:val="00896763"/>
    <w:rsid w:val="008C35E9"/>
    <w:rsid w:val="008E2CA6"/>
    <w:rsid w:val="00941139"/>
    <w:rsid w:val="009526CD"/>
    <w:rsid w:val="0097416B"/>
    <w:rsid w:val="00995699"/>
    <w:rsid w:val="009A78AE"/>
    <w:rsid w:val="009C482B"/>
    <w:rsid w:val="009E2873"/>
    <w:rsid w:val="009E7FB2"/>
    <w:rsid w:val="009F0728"/>
    <w:rsid w:val="00A00DDF"/>
    <w:rsid w:val="00A01D20"/>
    <w:rsid w:val="00A1414E"/>
    <w:rsid w:val="00A7297A"/>
    <w:rsid w:val="00A84036"/>
    <w:rsid w:val="00AE14DC"/>
    <w:rsid w:val="00B92916"/>
    <w:rsid w:val="00B9323A"/>
    <w:rsid w:val="00BA4A20"/>
    <w:rsid w:val="00BD61B6"/>
    <w:rsid w:val="00C2796E"/>
    <w:rsid w:val="00C416F2"/>
    <w:rsid w:val="00C655F7"/>
    <w:rsid w:val="00C7773B"/>
    <w:rsid w:val="00C8773E"/>
    <w:rsid w:val="00CA3803"/>
    <w:rsid w:val="00CC4F1D"/>
    <w:rsid w:val="00D31D54"/>
    <w:rsid w:val="00D605B6"/>
    <w:rsid w:val="00E643FC"/>
    <w:rsid w:val="00E9478A"/>
    <w:rsid w:val="00EB4511"/>
    <w:rsid w:val="00ED7115"/>
    <w:rsid w:val="00EE3F9C"/>
    <w:rsid w:val="00EF4FE9"/>
    <w:rsid w:val="00EF5702"/>
    <w:rsid w:val="00F1274D"/>
    <w:rsid w:val="00F15A0F"/>
    <w:rsid w:val="00F22110"/>
    <w:rsid w:val="00F24300"/>
    <w:rsid w:val="00F25684"/>
    <w:rsid w:val="00F36204"/>
    <w:rsid w:val="00F839EC"/>
    <w:rsid w:val="00FA61FB"/>
    <w:rsid w:val="00FC558E"/>
    <w:rsid w:val="00FD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125CD"/>
  <w15:docId w15:val="{B43D2B01-1C21-4AB6-82D7-A3CCA44D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728"/>
  </w:style>
  <w:style w:type="paragraph" w:styleId="Footer">
    <w:name w:val="footer"/>
    <w:basedOn w:val="Normal"/>
    <w:link w:val="FooterChar"/>
    <w:uiPriority w:val="99"/>
    <w:unhideWhenUsed/>
    <w:rsid w:val="009F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728"/>
  </w:style>
  <w:style w:type="character" w:customStyle="1" w:styleId="CaptionChar">
    <w:name w:val="Caption Char"/>
    <w:basedOn w:val="DefaultParagraphFont"/>
    <w:link w:val="Caption"/>
    <w:rsid w:val="00B92916"/>
    <w:rPr>
      <w:i/>
      <w:sz w:val="24"/>
      <w:szCs w:val="24"/>
    </w:rPr>
  </w:style>
  <w:style w:type="paragraph" w:styleId="Caption">
    <w:name w:val="caption"/>
    <w:basedOn w:val="Normal"/>
    <w:link w:val="CaptionChar"/>
    <w:rsid w:val="00B92916"/>
    <w:pPr>
      <w:spacing w:after="120" w:line="240" w:lineRule="auto"/>
    </w:pPr>
    <w:rPr>
      <w:i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742F4D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742F4D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42F4D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742F4D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F4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42F4D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unhideWhenUsed/>
    <w:rsid w:val="00C4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Nanajian, Anthony</dc:creator>
  <cp:keywords/>
  <dc:description/>
  <cp:lastModifiedBy>Guo, Siqi</cp:lastModifiedBy>
  <cp:revision>2</cp:revision>
  <dcterms:created xsi:type="dcterms:W3CDTF">2024-04-16T13:35:00Z</dcterms:created>
  <dcterms:modified xsi:type="dcterms:W3CDTF">2024-04-16T13:35:00Z</dcterms:modified>
</cp:coreProperties>
</file>