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90B4D" w14:textId="522ACBC5" w:rsidR="006B141F" w:rsidRPr="001F4C8E" w:rsidRDefault="006B141F" w:rsidP="006B141F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212121"/>
        </w:rPr>
      </w:pPr>
      <w:r>
        <w:rPr>
          <w:rFonts w:ascii="Times New Roman" w:hAnsi="Times New Roman" w:cs="Times New Roman"/>
          <w:b/>
          <w:color w:val="212121"/>
        </w:rPr>
        <w:t xml:space="preserve">Full </w:t>
      </w:r>
      <w:r w:rsidRPr="002220FC">
        <w:rPr>
          <w:rFonts w:ascii="Times New Roman" w:hAnsi="Times New Roman" w:cs="Times New Roman"/>
          <w:b/>
          <w:color w:val="212121"/>
        </w:rPr>
        <w:t xml:space="preserve">Title: </w:t>
      </w:r>
      <w:r w:rsidRPr="001F4C8E">
        <w:rPr>
          <w:rFonts w:ascii="Times New Roman" w:hAnsi="Times New Roman" w:cs="Times New Roman"/>
          <w:b/>
          <w:color w:val="212121"/>
        </w:rPr>
        <w:t xml:space="preserve">A comprehensive genetic study of </w:t>
      </w:r>
      <w:r w:rsidR="005A6CE1">
        <w:rPr>
          <w:rFonts w:ascii="Times New Roman" w:hAnsi="Times New Roman" w:cs="Times New Roman"/>
          <w:b/>
          <w:color w:val="212121"/>
        </w:rPr>
        <w:t>Microtubule</w:t>
      </w:r>
      <w:r w:rsidRPr="001F4C8E">
        <w:rPr>
          <w:rFonts w:ascii="Times New Roman" w:hAnsi="Times New Roman" w:cs="Times New Roman"/>
          <w:b/>
          <w:color w:val="212121"/>
        </w:rPr>
        <w:t>-associated genes clusters for male infertility in a Taiwanese cohort</w:t>
      </w:r>
    </w:p>
    <w:p w14:paraId="3A136D87" w14:textId="7CC6D0CD" w:rsidR="006B141F" w:rsidRPr="002220FC" w:rsidRDefault="006B141F" w:rsidP="006B141F">
      <w:pPr>
        <w:spacing w:before="240" w:after="240" w:line="480" w:lineRule="auto"/>
        <w:jc w:val="both"/>
        <w:rPr>
          <w:rFonts w:ascii="Times New Roman" w:hAnsi="Times New Roman" w:cs="Times New Roman"/>
          <w:b/>
          <w:color w:val="212121"/>
        </w:rPr>
      </w:pPr>
      <w:r w:rsidRPr="001F4C8E">
        <w:rPr>
          <w:rFonts w:ascii="Times New Roman" w:hAnsi="Times New Roman" w:cs="Times New Roman"/>
          <w:b/>
          <w:color w:val="212121"/>
        </w:rPr>
        <w:t xml:space="preserve">Short Title: </w:t>
      </w:r>
      <w:r w:rsidR="005A6CE1">
        <w:rPr>
          <w:rFonts w:ascii="Times New Roman" w:hAnsi="Times New Roman" w:cs="Times New Roman"/>
          <w:b/>
          <w:color w:val="212121"/>
        </w:rPr>
        <w:t>Microtubule</w:t>
      </w:r>
      <w:r w:rsidRPr="001F4C8E">
        <w:rPr>
          <w:rFonts w:ascii="Times New Roman" w:hAnsi="Times New Roman" w:cs="Times New Roman"/>
          <w:b/>
          <w:color w:val="212121"/>
        </w:rPr>
        <w:t xml:space="preserve">-associated genes clusters for male infertility </w:t>
      </w:r>
    </w:p>
    <w:p w14:paraId="165DA4E5" w14:textId="77777777" w:rsidR="006B141F" w:rsidRDefault="006B141F" w:rsidP="006B141F">
      <w:pPr>
        <w:spacing w:before="240" w:after="240" w:line="480" w:lineRule="auto"/>
        <w:jc w:val="both"/>
        <w:rPr>
          <w:rFonts w:ascii="Times New Roman" w:hAnsi="Times New Roman" w:cs="Times New Roman"/>
          <w:color w:val="212121"/>
          <w:highlight w:val="white"/>
          <w:vertAlign w:val="superscript"/>
        </w:rPr>
      </w:pPr>
      <w:proofErr w:type="spellStart"/>
      <w:r w:rsidRPr="002220FC">
        <w:rPr>
          <w:rFonts w:ascii="Times New Roman" w:hAnsi="Times New Roman" w:cs="Times New Roman"/>
          <w:color w:val="212121"/>
          <w:highlight w:val="white"/>
        </w:rPr>
        <w:t>Chying-Chyuan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 xml:space="preserve"> Chan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>1,2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, </w:t>
      </w:r>
      <w:proofErr w:type="spellStart"/>
      <w:r w:rsidRPr="002220FC">
        <w:rPr>
          <w:rFonts w:ascii="Times New Roman" w:hAnsi="Times New Roman" w:cs="Times New Roman"/>
          <w:color w:val="212121"/>
          <w:highlight w:val="white"/>
        </w:rPr>
        <w:t>Te-Hsin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 xml:space="preserve"> Yen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2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Hao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>-Chen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 </w:t>
      </w:r>
      <w:r>
        <w:rPr>
          <w:rFonts w:ascii="Times New Roman" w:hAnsi="Times New Roman" w:cs="Times New Roman"/>
          <w:color w:val="212121"/>
          <w:highlight w:val="white"/>
        </w:rPr>
        <w:t>Tseng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3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, </w:t>
      </w:r>
      <w:proofErr w:type="spellStart"/>
      <w:r w:rsidRPr="002220FC">
        <w:rPr>
          <w:rFonts w:ascii="Times New Roman" w:hAnsi="Times New Roman" w:cs="Times New Roman"/>
          <w:color w:val="212121"/>
          <w:highlight w:val="white"/>
        </w:rPr>
        <w:t>Brang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 xml:space="preserve"> Mai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3</w:t>
      </w:r>
      <w:r w:rsidRPr="002220FC">
        <w:rPr>
          <w:rFonts w:ascii="Times New Roman" w:hAnsi="Times New Roman" w:cs="Times New Roman"/>
          <w:color w:val="212121"/>
          <w:highlight w:val="white"/>
        </w:rPr>
        <w:t>,</w:t>
      </w:r>
      <w:r>
        <w:rPr>
          <w:rFonts w:ascii="Times New Roman" w:hAnsi="Times New Roman" w:cs="Times New Roman"/>
          <w:color w:val="212121"/>
          <w:highlight w:val="white"/>
        </w:rPr>
        <w:t xml:space="preserve"> Pin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Kuan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 xml:space="preserve"> </w:t>
      </w:r>
      <w:r>
        <w:rPr>
          <w:rFonts w:ascii="Times New Roman" w:hAnsi="Times New Roman" w:cs="Times New Roman"/>
          <w:color w:val="212121"/>
          <w:highlight w:val="white"/>
        </w:rPr>
        <w:t>Ho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4</w:t>
      </w:r>
      <w:r w:rsidRPr="002220FC">
        <w:rPr>
          <w:rFonts w:ascii="Times New Roman" w:hAnsi="Times New Roman" w:cs="Times New Roman"/>
          <w:color w:val="212121"/>
          <w:highlight w:val="white"/>
        </w:rPr>
        <w:t>, Jian-Liang Chou</w:t>
      </w:r>
      <w:r w:rsidRPr="001F4C8E">
        <w:rPr>
          <w:rFonts w:ascii="Times New Roman" w:hAnsi="Times New Roman" w:cs="Times New Roman"/>
          <w:color w:val="212121"/>
          <w:highlight w:val="white"/>
          <w:vertAlign w:val="superscript"/>
        </w:rPr>
        <w:t>1,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5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, </w:t>
      </w:r>
      <w:proofErr w:type="spellStart"/>
      <w:r w:rsidRPr="002220FC">
        <w:rPr>
          <w:rFonts w:ascii="Times New Roman" w:hAnsi="Times New Roman" w:cs="Times New Roman"/>
          <w:color w:val="212121"/>
          <w:highlight w:val="white"/>
        </w:rPr>
        <w:t>G</w:t>
      </w:r>
      <w:r>
        <w:rPr>
          <w:rFonts w:ascii="Times New Roman" w:hAnsi="Times New Roman" w:cs="Times New Roman"/>
          <w:color w:val="212121"/>
          <w:highlight w:val="white"/>
        </w:rPr>
        <w:t>w</w:t>
      </w:r>
      <w:r w:rsidRPr="002220FC">
        <w:rPr>
          <w:rFonts w:ascii="Times New Roman" w:hAnsi="Times New Roman" w:cs="Times New Roman"/>
          <w:color w:val="212121"/>
          <w:highlight w:val="white"/>
        </w:rPr>
        <w:t>o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>-J</w:t>
      </w:r>
      <w:r>
        <w:rPr>
          <w:rFonts w:ascii="Times New Roman" w:hAnsi="Times New Roman" w:cs="Times New Roman"/>
          <w:color w:val="212121"/>
          <w:highlight w:val="white"/>
        </w:rPr>
        <w:t>a</w:t>
      </w:r>
      <w:r w:rsidRPr="002220FC">
        <w:rPr>
          <w:rFonts w:ascii="Times New Roman" w:hAnsi="Times New Roman" w:cs="Times New Roman"/>
          <w:color w:val="212121"/>
          <w:highlight w:val="white"/>
        </w:rPr>
        <w:t>ng Wu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1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>,</w:t>
      </w:r>
      <w:r>
        <w:rPr>
          <w:rFonts w:ascii="Times New Roman" w:hAnsi="Times New Roman" w:cs="Times New Roman" w:hint="eastAsia"/>
          <w:color w:val="212121"/>
          <w:highlight w:val="white"/>
          <w:vertAlign w:val="superscript"/>
        </w:rPr>
        <w:t>6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>*</w:t>
      </w:r>
      <w:r w:rsidRPr="00390018"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2220FC">
        <w:rPr>
          <w:rFonts w:ascii="Times New Roman" w:hAnsi="Times New Roman" w:cs="Times New Roman"/>
          <w:color w:val="212121"/>
          <w:highlight w:val="white"/>
        </w:rPr>
        <w:t>and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 xml:space="preserve"> </w:t>
      </w:r>
      <w:r w:rsidRPr="002220FC">
        <w:rPr>
          <w:rFonts w:ascii="Times New Roman" w:hAnsi="Times New Roman" w:cs="Times New Roman"/>
          <w:color w:val="212121"/>
          <w:highlight w:val="white"/>
        </w:rPr>
        <w:t xml:space="preserve">Yu </w:t>
      </w:r>
      <w:proofErr w:type="spellStart"/>
      <w:r w:rsidRPr="002220FC">
        <w:rPr>
          <w:rFonts w:ascii="Times New Roman" w:hAnsi="Times New Roman" w:cs="Times New Roman"/>
          <w:color w:val="212121"/>
          <w:highlight w:val="white"/>
        </w:rPr>
        <w:t>Chuan</w:t>
      </w:r>
      <w:proofErr w:type="spellEnd"/>
      <w:r w:rsidRPr="002220FC">
        <w:rPr>
          <w:rFonts w:ascii="Times New Roman" w:hAnsi="Times New Roman" w:cs="Times New Roman"/>
          <w:color w:val="212121"/>
          <w:highlight w:val="white"/>
        </w:rPr>
        <w:t xml:space="preserve"> Huang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1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>,</w:t>
      </w:r>
      <w:r>
        <w:rPr>
          <w:rFonts w:ascii="Times New Roman" w:hAnsi="Times New Roman" w:cs="Times New Roman"/>
          <w:color w:val="212121"/>
          <w:highlight w:val="white"/>
          <w:vertAlign w:val="superscript"/>
        </w:rPr>
        <w:t>3,</w:t>
      </w:r>
      <w:r>
        <w:rPr>
          <w:rFonts w:ascii="Times New Roman" w:hAnsi="Times New Roman" w:cs="Times New Roman" w:hint="eastAsia"/>
          <w:color w:val="212121"/>
          <w:highlight w:val="white"/>
          <w:vertAlign w:val="superscript"/>
        </w:rPr>
        <w:t>5</w:t>
      </w:r>
      <w:r w:rsidRPr="002220FC">
        <w:rPr>
          <w:rFonts w:ascii="Times New Roman" w:hAnsi="Times New Roman" w:cs="Times New Roman"/>
          <w:color w:val="212121"/>
          <w:highlight w:val="white"/>
          <w:vertAlign w:val="superscript"/>
        </w:rPr>
        <w:t>*</w:t>
      </w:r>
    </w:p>
    <w:p w14:paraId="18C4CD41" w14:textId="77F37080" w:rsidR="00580754" w:rsidRDefault="00580754" w:rsidP="008B0D0F">
      <w:pPr>
        <w:spacing w:line="360" w:lineRule="auto"/>
        <w:rPr>
          <w:rFonts w:ascii="Times New Roman" w:hAnsi="Times New Roman" w:cs="Times New Roman"/>
          <w:b/>
          <w:color w:val="212121"/>
          <w:highlight w:val="white"/>
          <w:u w:val="single"/>
        </w:rPr>
      </w:pPr>
      <w:r w:rsidRPr="0083520C">
        <w:rPr>
          <w:rFonts w:ascii="Times New Roman" w:hAnsi="Times New Roman" w:cs="Times New Roman"/>
          <w:b/>
          <w:color w:val="212121"/>
          <w:highlight w:val="white"/>
          <w:u w:val="single"/>
        </w:rPr>
        <w:t xml:space="preserve">SUPPLEMENTARY </w:t>
      </w:r>
      <w:r>
        <w:rPr>
          <w:rFonts w:ascii="Times New Roman" w:hAnsi="Times New Roman" w:cs="Times New Roman"/>
          <w:b/>
          <w:color w:val="212121"/>
          <w:highlight w:val="white"/>
          <w:u w:val="single"/>
        </w:rPr>
        <w:t>TABLES</w:t>
      </w:r>
    </w:p>
    <w:p w14:paraId="512FE046" w14:textId="6D979FAA" w:rsidR="00580754" w:rsidRDefault="00580754" w:rsidP="008B0D0F">
      <w:pPr>
        <w:spacing w:line="360" w:lineRule="auto"/>
        <w:rPr>
          <w:rFonts w:ascii="Times New Roman" w:hAnsi="Times New Roman" w:cs="Times New Roman"/>
          <w:b/>
          <w:color w:val="212121"/>
          <w:highlight w:val="white"/>
          <w:u w:val="single"/>
        </w:rPr>
      </w:pPr>
      <w:r>
        <w:rPr>
          <w:rFonts w:ascii="Times New Roman" w:hAnsi="Times New Roman" w:cs="Times New Roman"/>
          <w:color w:val="212121"/>
          <w:highlight w:val="white"/>
        </w:rPr>
        <w:t>Table S</w:t>
      </w:r>
      <w:r>
        <w:rPr>
          <w:rFonts w:ascii="Times New Roman" w:hAnsi="Times New Roman" w:cs="Times New Roman" w:hint="eastAsia"/>
          <w:color w:val="212121"/>
          <w:highlight w:val="white"/>
        </w:rPr>
        <w:t>1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FB6B81">
        <w:rPr>
          <w:rFonts w:ascii="Times New Roman" w:hAnsi="Times New Roman" w:cs="Times New Roman"/>
          <w:color w:val="000000"/>
        </w:rPr>
        <w:t xml:space="preserve">The primers of SNPs on </w:t>
      </w:r>
      <w:r w:rsidRPr="005A6CE1">
        <w:rPr>
          <w:rFonts w:ascii="Times New Roman" w:hAnsi="Times New Roman" w:cs="Times New Roman"/>
          <w:i/>
          <w:color w:val="000000"/>
        </w:rPr>
        <w:t>ESR1</w:t>
      </w:r>
      <w:r>
        <w:rPr>
          <w:rFonts w:ascii="Times New Roman" w:hAnsi="Times New Roman" w:cs="Times New Roman"/>
          <w:color w:val="000000"/>
        </w:rPr>
        <w:t xml:space="preserve">, </w:t>
      </w:r>
      <w:r w:rsidRPr="005A6CE1">
        <w:rPr>
          <w:rFonts w:ascii="Times New Roman" w:hAnsi="Times New Roman" w:cs="Times New Roman"/>
          <w:i/>
          <w:color w:val="000000"/>
        </w:rPr>
        <w:t>CFTR</w:t>
      </w:r>
      <w:r>
        <w:rPr>
          <w:rFonts w:ascii="Times New Roman" w:hAnsi="Times New Roman" w:cs="Times New Roman"/>
          <w:color w:val="000000"/>
        </w:rPr>
        <w:t xml:space="preserve">, </w:t>
      </w:r>
      <w:r w:rsidRPr="005A6CE1">
        <w:rPr>
          <w:rFonts w:ascii="Times New Roman" w:hAnsi="Times New Roman" w:cs="Times New Roman"/>
          <w:i/>
          <w:color w:val="000000"/>
        </w:rPr>
        <w:t>SPATA16</w:t>
      </w:r>
      <w:r>
        <w:rPr>
          <w:rFonts w:ascii="Times New Roman" w:hAnsi="Times New Roman" w:cs="Times New Roman"/>
          <w:color w:val="000000"/>
        </w:rPr>
        <w:t xml:space="preserve">, </w:t>
      </w:r>
      <w:r w:rsidRPr="005A6CE1">
        <w:rPr>
          <w:rFonts w:ascii="Times New Roman" w:hAnsi="Times New Roman" w:cs="Times New Roman"/>
          <w:i/>
          <w:color w:val="000000"/>
        </w:rPr>
        <w:t>STPG2</w:t>
      </w:r>
      <w:r w:rsidRPr="00FB6B81">
        <w:rPr>
          <w:rFonts w:ascii="Times New Roman" w:hAnsi="Times New Roman" w:cs="Times New Roman"/>
          <w:color w:val="000000"/>
        </w:rPr>
        <w:t xml:space="preserve">, </w:t>
      </w:r>
      <w:r w:rsidRPr="005A6CE1">
        <w:rPr>
          <w:rFonts w:ascii="Times New Roman" w:hAnsi="Times New Roman" w:cs="Times New Roman"/>
          <w:i/>
          <w:color w:val="000000"/>
        </w:rPr>
        <w:t>KIF6</w:t>
      </w:r>
      <w:r w:rsidRPr="00FB6B81">
        <w:rPr>
          <w:rFonts w:ascii="Times New Roman" w:hAnsi="Times New Roman" w:cs="Times New Roman"/>
          <w:color w:val="000000"/>
        </w:rPr>
        <w:t xml:space="preserve"> and </w:t>
      </w:r>
      <w:r w:rsidRPr="005A6CE1">
        <w:rPr>
          <w:rFonts w:ascii="Times New Roman" w:hAnsi="Times New Roman" w:cs="Times New Roman"/>
          <w:i/>
          <w:color w:val="000000"/>
        </w:rPr>
        <w:t>SIMC1</w:t>
      </w:r>
      <w:r w:rsidRPr="00FB6B81">
        <w:rPr>
          <w:rFonts w:ascii="Times New Roman" w:hAnsi="Times New Roman" w:cs="Times New Roman"/>
          <w:color w:val="000000"/>
        </w:rPr>
        <w:t xml:space="preserve"> were used to validate the </w:t>
      </w:r>
      <w:r>
        <w:rPr>
          <w:rFonts w:ascii="Times New Roman" w:hAnsi="Times New Roman" w:cs="Times New Roman"/>
          <w:color w:val="000000"/>
        </w:rPr>
        <w:t>targeted NGS and WES</w:t>
      </w:r>
      <w:r>
        <w:rPr>
          <w:rFonts w:ascii="Times New Roman" w:hAnsi="Times New Roman" w:cs="Times New Roman"/>
          <w:color w:val="212121"/>
          <w:highlight w:val="white"/>
        </w:rPr>
        <w:t xml:space="preserve"> (upper table). The PCR reaction</w:t>
      </w:r>
      <w:r w:rsidR="00CC4E40">
        <w:rPr>
          <w:rFonts w:ascii="Times New Roman" w:hAnsi="Times New Roman" w:cs="Times New Roman"/>
          <w:color w:val="212121"/>
          <w:highlight w:val="white"/>
        </w:rPr>
        <w:t xml:space="preserve"> protocol</w:t>
      </w:r>
      <w:r>
        <w:rPr>
          <w:rFonts w:ascii="Times New Roman" w:hAnsi="Times New Roman" w:cs="Times New Roman"/>
          <w:color w:val="212121"/>
          <w:highlight w:val="white"/>
        </w:rPr>
        <w:t xml:space="preserve"> is shown in the lower table and generally run for 34 cycles.</w:t>
      </w:r>
    </w:p>
    <w:p w14:paraId="5102ED76" w14:textId="0E4911D1" w:rsidR="00580754" w:rsidRPr="0083520C" w:rsidRDefault="00580754" w:rsidP="008B0D0F">
      <w:pPr>
        <w:spacing w:line="360" w:lineRule="auto"/>
        <w:rPr>
          <w:rFonts w:ascii="Times New Roman" w:hAnsi="Times New Roman" w:cs="Times New Roman"/>
          <w:b/>
          <w:color w:val="212121"/>
          <w:highlight w:val="white"/>
          <w:u w:val="single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43D4463" wp14:editId="0B3E68C4">
            <wp:extent cx="4552950" cy="2248335"/>
            <wp:effectExtent l="0" t="0" r="0" b="0"/>
            <wp:docPr id="9" name="圖片 1" descr="一張含有 文字, 螢幕擷取畫面, 字型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09502" name="圖片 1" descr="一張含有 文字, 螢幕擷取畫面, 字型, 收據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87" cy="22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DF53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b/>
          <w:color w:val="212121"/>
          <w:highlight w:val="white"/>
          <w:u w:val="single"/>
        </w:rPr>
      </w:pPr>
      <w:r>
        <w:rPr>
          <w:noProof/>
        </w:rPr>
        <w:drawing>
          <wp:inline distT="0" distB="0" distL="0" distR="0" wp14:anchorId="043C19A6" wp14:editId="1F65487C">
            <wp:extent cx="4533900" cy="16048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231" cy="161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2265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/>
          <w:color w:val="212121"/>
          <w:highlight w:val="white"/>
        </w:rPr>
        <w:t>Table S</w:t>
      </w:r>
      <w:r>
        <w:rPr>
          <w:rFonts w:ascii="Times New Roman" w:hAnsi="Times New Roman" w:cs="Times New Roman" w:hint="eastAsia"/>
          <w:color w:val="212121"/>
          <w:highlight w:val="white"/>
        </w:rPr>
        <w:t>2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 Screening of Y chromosome microdeletion was used for testing samples for the presence of AZF-STS based on polymerase chain reaction. The map contains STSs in different AZF (</w:t>
      </w:r>
      <w:proofErr w:type="spellStart"/>
      <w:r w:rsidRPr="00C3622D">
        <w:rPr>
          <w:rFonts w:ascii="Times New Roman" w:hAnsi="Times New Roman" w:cs="Times New Roman"/>
          <w:color w:val="212121"/>
          <w:highlight w:val="white"/>
        </w:rPr>
        <w:t>Promega</w:t>
      </w:r>
      <w:proofErr w:type="spellEnd"/>
      <w:r w:rsidRPr="00C3622D">
        <w:rPr>
          <w:rFonts w:ascii="Times New Roman" w:hAnsi="Times New Roman" w:cs="Times New Roman"/>
          <w:color w:val="212121"/>
          <w:highlight w:val="white"/>
        </w:rPr>
        <w:t>).</w:t>
      </w:r>
    </w:p>
    <w:p w14:paraId="2F4F448D" w14:textId="6D4F2F24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noProof/>
        </w:rPr>
        <w:drawing>
          <wp:inline distT="0" distB="0" distL="0" distR="0" wp14:anchorId="650B4988" wp14:editId="7D10DA77">
            <wp:extent cx="4286250" cy="2757488"/>
            <wp:effectExtent l="0" t="0" r="0" b="5080"/>
            <wp:docPr id="4" name="圖片 4" descr="https://lh5.googleusercontent.com/H5uAp2dIOEOMV9fSb3SO6VtfYv9jvnHin0J57K8cIuqh23SPzlnzl3utyksvDSg3HsC6HYI_bP9px7I9eiKz85uUshiH-wQ1bdrZqkpAiKsbdxidYuZlg8YRTf6GvCoj1SNusV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H5uAp2dIOEOMV9fSb3SO6VtfYv9jvnHin0J57K8cIuqh23SPzlnzl3utyksvDSg3HsC6HYI_bP9px7I9eiKz85uUshiH-wQ1bdrZqkpAiKsbdxidYuZlg8YRTf6GvCoj1SNusV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21" cy="27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5A9D" w14:textId="0130E71F" w:rsidR="005A6CE1" w:rsidRDefault="005A6CE1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</w:p>
    <w:p w14:paraId="4C1F3893" w14:textId="77777777" w:rsidR="005A6CE1" w:rsidRDefault="005A6CE1" w:rsidP="008B0D0F">
      <w:pPr>
        <w:spacing w:line="360" w:lineRule="auto"/>
        <w:rPr>
          <w:rFonts w:ascii="Times New Roman" w:hAnsi="Times New Roman" w:cs="Times New Roman" w:hint="eastAsia"/>
          <w:color w:val="212121"/>
          <w:highlight w:val="white"/>
        </w:rPr>
      </w:pPr>
    </w:p>
    <w:p w14:paraId="2127DE59" w14:textId="32E420A9" w:rsidR="00383234" w:rsidRPr="00C1751A" w:rsidRDefault="00383234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Table</w:t>
      </w:r>
      <w:r w:rsidR="0083112D">
        <w:rPr>
          <w:rFonts w:ascii="Times New Roman" w:hAnsi="Times New Roman" w:cs="Times New Roman"/>
          <w:color w:val="000000"/>
        </w:rPr>
        <w:t xml:space="preserve"> S3</w:t>
      </w:r>
      <w:r w:rsidRPr="00C1751A">
        <w:rPr>
          <w:rFonts w:ascii="Times New Roman" w:hAnsi="Times New Roman" w:cs="Times New Roman"/>
          <w:color w:val="000000"/>
        </w:rPr>
        <w:t xml:space="preserve">. Variants identified and in </w:t>
      </w:r>
      <w:proofErr w:type="spellStart"/>
      <w:r w:rsidRPr="00C1751A">
        <w:rPr>
          <w:rFonts w:ascii="Times New Roman" w:hAnsi="Times New Roman" w:cs="Times New Roman"/>
          <w:color w:val="000000"/>
        </w:rPr>
        <w:t>silico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 evaluation of pathogenicity of nucleotide changes in exons of CFTR and SPATA16 was performed using CADD, SIFT, </w:t>
      </w:r>
      <w:proofErr w:type="spellStart"/>
      <w:r w:rsidRPr="00C1751A">
        <w:rPr>
          <w:rFonts w:ascii="Times New Roman" w:hAnsi="Times New Roman" w:cs="Times New Roman"/>
          <w:color w:val="000000"/>
        </w:rPr>
        <w:t>Polyphen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. MAF were checked in the </w:t>
      </w:r>
      <w:proofErr w:type="spellStart"/>
      <w:r w:rsidRPr="00C1751A">
        <w:rPr>
          <w:rFonts w:ascii="Times New Roman" w:hAnsi="Times New Roman" w:cs="Times New Roman"/>
          <w:color w:val="000000"/>
        </w:rPr>
        <w:t>GenomAD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 and Taiwan Biobank</w:t>
      </w:r>
    </w:p>
    <w:p w14:paraId="1189D1E7" w14:textId="77777777" w:rsidR="00383234" w:rsidRPr="00C1751A" w:rsidRDefault="00383234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 w:hanging="270"/>
        <w:jc w:val="both"/>
        <w:rPr>
          <w:rFonts w:ascii="Times New Roman" w:hAnsi="Times New Roman" w:cs="Times New Roman"/>
          <w:color w:val="000000"/>
        </w:rPr>
      </w:pPr>
      <w:r w:rsidRPr="00C1751A">
        <w:rPr>
          <w:rFonts w:ascii="Times New Roman" w:hAnsi="Times New Roman" w:cs="Times New Roman"/>
          <w:color w:val="000000"/>
        </w:rPr>
        <w:t xml:space="preserve"> </w:t>
      </w:r>
      <w:r w:rsidRPr="00C1751A">
        <w:rPr>
          <w:rFonts w:ascii="Times New Roman" w:hAnsi="Times New Roman" w:cs="Times New Roman"/>
          <w:color w:val="000000"/>
        </w:rPr>
        <w:drawing>
          <wp:inline distT="0" distB="0" distL="0" distR="0" wp14:anchorId="77529DA6" wp14:editId="3776EEE7">
            <wp:extent cx="5137150" cy="1540510"/>
            <wp:effectExtent l="0" t="0" r="6350" b="2540"/>
            <wp:docPr id="10" name="圖片 10" descr="一張含有 文字, 收據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收據, 螢幕擷取畫面, 字型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AF06" w14:textId="77777777" w:rsidR="005A6CE1" w:rsidRDefault="005A6CE1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74B39649" w14:textId="77777777" w:rsidR="005A6CE1" w:rsidRDefault="005A6CE1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2228164C" w14:textId="77777777" w:rsidR="005A6CE1" w:rsidRDefault="005A6CE1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14:paraId="6F464F06" w14:textId="289974F1" w:rsidR="00383234" w:rsidRPr="00C1751A" w:rsidRDefault="00383234" w:rsidP="008B0D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Table</w:t>
      </w:r>
      <w:r w:rsidR="0083112D">
        <w:rPr>
          <w:rFonts w:ascii="Times New Roman" w:hAnsi="Times New Roman" w:cs="Times New Roman"/>
          <w:color w:val="000000"/>
        </w:rPr>
        <w:t xml:space="preserve"> S4</w:t>
      </w:r>
      <w:r w:rsidRPr="00C1751A">
        <w:rPr>
          <w:rFonts w:ascii="Times New Roman" w:hAnsi="Times New Roman" w:cs="Times New Roman"/>
          <w:color w:val="000000"/>
        </w:rPr>
        <w:t xml:space="preserve">. Variants identified and in </w:t>
      </w:r>
      <w:proofErr w:type="spellStart"/>
      <w:r w:rsidRPr="00C1751A">
        <w:rPr>
          <w:rFonts w:ascii="Times New Roman" w:hAnsi="Times New Roman" w:cs="Times New Roman"/>
          <w:color w:val="000000"/>
        </w:rPr>
        <w:t>silico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 evaluation of pathogenicity of nucleotide changes in exons of 15 candidate SNPs were performed using CADD, SIFT, </w:t>
      </w:r>
      <w:proofErr w:type="spellStart"/>
      <w:r w:rsidRPr="00C1751A">
        <w:rPr>
          <w:rFonts w:ascii="Times New Roman" w:hAnsi="Times New Roman" w:cs="Times New Roman"/>
          <w:color w:val="000000"/>
        </w:rPr>
        <w:t>Polyphen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. MAF and </w:t>
      </w:r>
      <w:proofErr w:type="spellStart"/>
      <w:r w:rsidRPr="00C1751A">
        <w:rPr>
          <w:rFonts w:ascii="Times New Roman" w:hAnsi="Times New Roman" w:cs="Times New Roman"/>
          <w:color w:val="000000"/>
        </w:rPr>
        <w:t>MAF_eas</w:t>
      </w:r>
      <w:proofErr w:type="spellEnd"/>
      <w:r w:rsidRPr="00C1751A">
        <w:rPr>
          <w:rFonts w:ascii="Times New Roman" w:hAnsi="Times New Roman" w:cs="Times New Roman"/>
          <w:color w:val="000000"/>
        </w:rPr>
        <w:t xml:space="preserve"> were checked in the CLC module. The mutation frequencies in cases are compared to those in controls and are also provided in the list.</w:t>
      </w:r>
    </w:p>
    <w:p w14:paraId="67757C21" w14:textId="178486FD" w:rsidR="00383234" w:rsidRPr="00383234" w:rsidRDefault="0083112D" w:rsidP="00580754">
      <w:pPr>
        <w:rPr>
          <w:rFonts w:ascii="Times New Roman" w:hAnsi="Times New Roman" w:cs="Times New Roman" w:hint="eastAsia"/>
          <w:color w:val="212121"/>
          <w:highlight w:val="white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23B5666" wp14:editId="496E73A0">
            <wp:extent cx="5241925" cy="1175383"/>
            <wp:effectExtent l="0" t="0" r="0" b="6350"/>
            <wp:docPr id="1954616820" name="圖片 2" descr="一張含有 文字, 收據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16820" name="圖片 2" descr="一張含有 文字, 收據, 螢幕擷取畫面, 數字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10" cy="119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1D3A" w14:textId="109F9438" w:rsidR="008B0D0F" w:rsidRDefault="008B0D0F" w:rsidP="00580754">
      <w:pPr>
        <w:rPr>
          <w:rFonts w:ascii="Times New Roman" w:hAnsi="Times New Roman" w:cs="Times New Roman" w:hint="eastAsia"/>
          <w:b/>
          <w:color w:val="212121"/>
          <w:highlight w:val="white"/>
          <w:u w:val="single"/>
        </w:rPr>
      </w:pPr>
    </w:p>
    <w:p w14:paraId="0F05901F" w14:textId="30794DD8" w:rsidR="00580754" w:rsidRDefault="00580754" w:rsidP="008B0D0F">
      <w:pPr>
        <w:spacing w:line="360" w:lineRule="auto"/>
        <w:rPr>
          <w:rFonts w:ascii="Times New Roman" w:hAnsi="Times New Roman" w:cs="Times New Roman"/>
          <w:b/>
          <w:color w:val="212121"/>
          <w:highlight w:val="white"/>
          <w:u w:val="single"/>
        </w:rPr>
      </w:pPr>
      <w:r w:rsidRPr="0083520C">
        <w:rPr>
          <w:rFonts w:ascii="Times New Roman" w:hAnsi="Times New Roman" w:cs="Times New Roman"/>
          <w:b/>
          <w:color w:val="212121"/>
          <w:highlight w:val="white"/>
          <w:u w:val="single"/>
        </w:rPr>
        <w:t>SUPPLEMENTARY FIGURES</w:t>
      </w:r>
    </w:p>
    <w:p w14:paraId="63769FE5" w14:textId="77777777" w:rsidR="00580754" w:rsidRPr="00991FDB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 w:rsidRPr="00991FDB">
        <w:rPr>
          <w:rFonts w:ascii="Times New Roman" w:hAnsi="Times New Roman" w:cs="Times New Roman"/>
          <w:color w:val="212121"/>
          <w:highlight w:val="white"/>
        </w:rPr>
        <w:t>Figure S1 AZF-STS based multiplex polymerase chain reaction (PCR) is routinely used to detect YCMD by tracing sequence-tagged sites (STSs) marks in the AZF (azoospermia factor region) at the long arm of Y chromosome (</w:t>
      </w:r>
      <w:proofErr w:type="spellStart"/>
      <w:r w:rsidRPr="00991FDB">
        <w:rPr>
          <w:rFonts w:ascii="Times New Roman" w:hAnsi="Times New Roman" w:cs="Times New Roman"/>
          <w:color w:val="212121"/>
          <w:highlight w:val="white"/>
        </w:rPr>
        <w:t>Yp</w:t>
      </w:r>
      <w:proofErr w:type="spellEnd"/>
      <w:r w:rsidRPr="00991FDB">
        <w:rPr>
          <w:rFonts w:ascii="Times New Roman" w:hAnsi="Times New Roman" w:cs="Times New Roman"/>
          <w:color w:val="212121"/>
          <w:highlight w:val="white"/>
        </w:rPr>
        <w:t>) (</w:t>
      </w:r>
      <w:proofErr w:type="spellStart"/>
      <w:r w:rsidRPr="00991FDB">
        <w:rPr>
          <w:rFonts w:ascii="Times New Roman" w:hAnsi="Times New Roman" w:cs="Times New Roman"/>
          <w:color w:val="212121"/>
          <w:highlight w:val="white"/>
        </w:rPr>
        <w:t>Promega</w:t>
      </w:r>
      <w:proofErr w:type="spellEnd"/>
      <w:r w:rsidRPr="00991FDB">
        <w:rPr>
          <w:rFonts w:ascii="Times New Roman" w:hAnsi="Times New Roman" w:cs="Times New Roman"/>
          <w:color w:val="212121"/>
          <w:highlight w:val="white"/>
        </w:rPr>
        <w:t>).</w:t>
      </w:r>
    </w:p>
    <w:p w14:paraId="58E0FB97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</w:p>
    <w:p w14:paraId="4A20C32B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 w:rsidRPr="00C3622D">
        <w:rPr>
          <w:rFonts w:ascii="Times New Roman" w:hAnsi="Times New Roman" w:cs="Times New Roman"/>
          <w:color w:val="212121"/>
          <w:highlight w:val="white"/>
        </w:rPr>
        <w:t xml:space="preserve">Figure </w:t>
      </w:r>
      <w:r>
        <w:rPr>
          <w:rFonts w:ascii="Times New Roman" w:hAnsi="Times New Roman" w:cs="Times New Roman" w:hint="eastAsia"/>
          <w:color w:val="212121"/>
          <w:highlight w:val="white"/>
        </w:rPr>
        <w:t>S2</w:t>
      </w:r>
      <w:r w:rsidRPr="00C3622D">
        <w:rPr>
          <w:rFonts w:ascii="Times New Roman" w:hAnsi="Times New Roman" w:cs="Times New Roman"/>
          <w:color w:val="212121"/>
          <w:highlight w:val="white"/>
        </w:rPr>
        <w:t>A The designed amplicons (green) covered the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Refseq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 xml:space="preserve"> (blue) of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FSHB, AURKC, LHB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, and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PICK1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 regions of a 15-gene targeted NGS panel.</w:t>
      </w:r>
    </w:p>
    <w:p w14:paraId="65EC375D" w14:textId="77777777" w:rsidR="00580754" w:rsidRPr="00C3622D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</w:p>
    <w:p w14:paraId="3214D675" w14:textId="6AA8EE92" w:rsidR="00580754" w:rsidRDefault="00580754" w:rsidP="008B0D0F">
      <w:pPr>
        <w:pStyle w:val="Web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212121"/>
          <w:highlight w:val="white"/>
        </w:rPr>
      </w:pPr>
      <w:r w:rsidRPr="00C3622D">
        <w:rPr>
          <w:rFonts w:ascii="Times New Roman" w:eastAsiaTheme="minorEastAsia" w:hAnsi="Times New Roman" w:cs="Times New Roman"/>
          <w:color w:val="212121"/>
          <w:highlight w:val="white"/>
        </w:rPr>
        <w:t xml:space="preserve">Figure </w:t>
      </w:r>
      <w:r>
        <w:rPr>
          <w:rFonts w:ascii="Times New Roman" w:eastAsiaTheme="minorEastAsia" w:hAnsi="Times New Roman" w:cs="Times New Roman" w:hint="eastAsia"/>
          <w:color w:val="212121"/>
          <w:highlight w:val="white"/>
        </w:rPr>
        <w:t>S2</w:t>
      </w:r>
      <w:r w:rsidRPr="00C3622D">
        <w:rPr>
          <w:rFonts w:ascii="Times New Roman" w:eastAsiaTheme="minorEastAsia" w:hAnsi="Times New Roman" w:cs="Times New Roman"/>
          <w:color w:val="212121"/>
          <w:highlight w:val="white"/>
        </w:rPr>
        <w:t>B The designed amplicons (green) covered the</w:t>
      </w:r>
      <w:r>
        <w:rPr>
          <w:rFonts w:ascii="Times New Roman" w:eastAsiaTheme="minorEastAsia" w:hAnsi="Times New Roman" w:cs="Times New Roman"/>
          <w:color w:val="212121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Refseq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 xml:space="preserve"> (blue) of</w:t>
      </w:r>
      <w:r w:rsidRPr="00C3622D">
        <w:rPr>
          <w:rFonts w:ascii="Times New Roman" w:eastAsiaTheme="minorEastAsia" w:hAnsi="Times New Roman" w:cs="Times New Roman"/>
          <w:color w:val="212121"/>
          <w:highlight w:val="white"/>
        </w:rPr>
        <w:t xml:space="preserve">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DAZL, ESR1, GNRH1, NR5A1,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and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KAL2</w:t>
      </w:r>
      <w:r>
        <w:rPr>
          <w:rFonts w:ascii="Times New Roman" w:hAnsi="Times New Roman" w:cs="Times New Roman" w:hint="eastAsia"/>
          <w:color w:val="212121"/>
          <w:highlight w:val="white"/>
        </w:rPr>
        <w:t>(</w:t>
      </w:r>
      <w:r w:rsidRPr="00635401">
        <w:rPr>
          <w:rFonts w:ascii="Times New Roman" w:hAnsi="Times New Roman" w:cs="Times New Roman" w:hint="eastAsia"/>
          <w:i/>
          <w:color w:val="212121"/>
          <w:highlight w:val="white"/>
        </w:rPr>
        <w:t>FGFH1</w:t>
      </w:r>
      <w:r>
        <w:rPr>
          <w:rFonts w:ascii="Times New Roman" w:hAnsi="Times New Roman" w:cs="Times New Roman" w:hint="eastAsia"/>
          <w:color w:val="212121"/>
          <w:highlight w:val="white"/>
        </w:rPr>
        <w:t>)</w:t>
      </w:r>
      <w:r>
        <w:rPr>
          <w:rFonts w:ascii="Times New Roman" w:eastAsiaTheme="minorEastAsia" w:hAnsi="Times New Roman" w:cs="Times New Roman" w:hint="eastAsia"/>
          <w:color w:val="212121"/>
          <w:highlight w:val="white"/>
        </w:rPr>
        <w:t xml:space="preserve"> </w:t>
      </w:r>
      <w:r w:rsidRPr="00C3622D">
        <w:rPr>
          <w:rFonts w:ascii="Times New Roman" w:eastAsiaTheme="minorEastAsia" w:hAnsi="Times New Roman" w:cs="Times New Roman"/>
          <w:color w:val="212121"/>
          <w:highlight w:val="white"/>
        </w:rPr>
        <w:t>regions of a 15-gene targeted NGS panel.</w:t>
      </w:r>
    </w:p>
    <w:p w14:paraId="6DD53CDD" w14:textId="77777777" w:rsidR="00635401" w:rsidRDefault="00635401" w:rsidP="008B0D0F">
      <w:pPr>
        <w:pStyle w:val="Web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212121"/>
          <w:highlight w:val="white"/>
        </w:rPr>
      </w:pPr>
    </w:p>
    <w:p w14:paraId="64742104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 w:rsidRPr="00C3622D">
        <w:rPr>
          <w:rFonts w:ascii="Times New Roman" w:hAnsi="Times New Roman" w:cs="Times New Roman"/>
          <w:color w:val="212121"/>
          <w:highlight w:val="white"/>
        </w:rPr>
        <w:t xml:space="preserve">Figure </w:t>
      </w:r>
      <w:r>
        <w:rPr>
          <w:rFonts w:ascii="Times New Roman" w:hAnsi="Times New Roman" w:cs="Times New Roman" w:hint="eastAsia"/>
          <w:color w:val="212121"/>
          <w:highlight w:val="white"/>
        </w:rPr>
        <w:t>S2</w:t>
      </w:r>
      <w:r w:rsidRPr="00C3622D">
        <w:rPr>
          <w:rFonts w:ascii="Times New Roman" w:hAnsi="Times New Roman" w:cs="Times New Roman"/>
          <w:color w:val="212121"/>
          <w:highlight w:val="white"/>
        </w:rPr>
        <w:t>C The designed amplicons (green) covered the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Refseq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 xml:space="preserve"> (blue) of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AR, TEX11, USP26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r w:rsidRPr="00C3622D">
        <w:rPr>
          <w:rFonts w:ascii="Times New Roman" w:hAnsi="Times New Roman" w:cs="Times New Roman"/>
          <w:color w:val="212121"/>
          <w:highlight w:val="white"/>
        </w:rPr>
        <w:t xml:space="preserve">and 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KAL1</w:t>
      </w:r>
      <w:r>
        <w:rPr>
          <w:rFonts w:ascii="Times New Roman" w:hAnsi="Times New Roman" w:cs="Times New Roman"/>
          <w:color w:val="212121"/>
          <w:highlight w:val="white"/>
        </w:rPr>
        <w:t>(</w:t>
      </w:r>
      <w:r w:rsidRPr="00635401">
        <w:rPr>
          <w:rFonts w:ascii="Times New Roman" w:hAnsi="Times New Roman" w:cs="Times New Roman"/>
          <w:i/>
          <w:color w:val="212121"/>
          <w:highlight w:val="white"/>
        </w:rPr>
        <w:t>ANOS1</w:t>
      </w:r>
      <w:r>
        <w:rPr>
          <w:rFonts w:ascii="Times New Roman" w:hAnsi="Times New Roman" w:cs="Times New Roman"/>
          <w:color w:val="212121"/>
          <w:highlight w:val="white"/>
        </w:rPr>
        <w:t xml:space="preserve">) </w:t>
      </w:r>
      <w:r w:rsidRPr="00C3622D">
        <w:rPr>
          <w:rFonts w:ascii="Times New Roman" w:hAnsi="Times New Roman" w:cs="Times New Roman"/>
          <w:color w:val="212121"/>
          <w:highlight w:val="white"/>
        </w:rPr>
        <w:t>regions of a 15-gene targeted NGS panel.</w:t>
      </w:r>
    </w:p>
    <w:p w14:paraId="5623807A" w14:textId="288CE4B8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</w:p>
    <w:p w14:paraId="402F3931" w14:textId="77777777" w:rsidR="00635401" w:rsidRPr="00641DED" w:rsidRDefault="00635401" w:rsidP="008B0D0F">
      <w:pPr>
        <w:spacing w:line="360" w:lineRule="auto"/>
        <w:rPr>
          <w:rFonts w:ascii="Times New Roman" w:hAnsi="Times New Roman" w:cs="Times New Roman" w:hint="eastAsia"/>
          <w:color w:val="212121"/>
          <w:highlight w:val="white"/>
        </w:rPr>
      </w:pPr>
    </w:p>
    <w:p w14:paraId="2B04A2FC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 w:rsidRPr="00991FDB">
        <w:rPr>
          <w:rFonts w:ascii="Times New Roman" w:hAnsi="Times New Roman" w:cs="Times New Roman"/>
          <w:color w:val="212121"/>
          <w:highlight w:val="white"/>
        </w:rPr>
        <w:t>Figure S</w:t>
      </w:r>
      <w:r>
        <w:rPr>
          <w:rFonts w:ascii="Times New Roman" w:hAnsi="Times New Roman" w:cs="Times New Roman" w:hint="eastAsia"/>
          <w:color w:val="212121"/>
          <w:highlight w:val="white"/>
        </w:rPr>
        <w:t>3</w:t>
      </w:r>
      <w:r w:rsidRPr="00991FDB">
        <w:rPr>
          <w:rFonts w:ascii="Times New Roman" w:hAnsi="Times New Roman" w:cs="Times New Roman"/>
          <w:color w:val="212121"/>
          <w:highlight w:val="white"/>
        </w:rPr>
        <w:t xml:space="preserve"> Screening of Y chromosome microdeletion (</w:t>
      </w:r>
      <w:proofErr w:type="spellStart"/>
      <w:r w:rsidRPr="00991FDB">
        <w:rPr>
          <w:rFonts w:ascii="Times New Roman" w:hAnsi="Times New Roman" w:cs="Times New Roman"/>
          <w:color w:val="212121"/>
          <w:highlight w:val="white"/>
        </w:rPr>
        <w:t>Promega</w:t>
      </w:r>
      <w:proofErr w:type="spellEnd"/>
      <w:r w:rsidRPr="00991FDB">
        <w:rPr>
          <w:rFonts w:ascii="Times New Roman" w:hAnsi="Times New Roman" w:cs="Times New Roman"/>
          <w:color w:val="212121"/>
          <w:highlight w:val="white"/>
        </w:rPr>
        <w:t>) was used for testing samples for the presence of AZF-STS based on polymerase chain reaction. (red-labeled ones are represented azoospermia; black-labeled on</w:t>
      </w:r>
      <w:r>
        <w:rPr>
          <w:rFonts w:ascii="Times New Roman" w:hAnsi="Times New Roman" w:cs="Times New Roman"/>
          <w:color w:val="212121"/>
          <w:highlight w:val="white"/>
        </w:rPr>
        <w:t xml:space="preserve">es are represented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oligozoospermia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>.</w:t>
      </w:r>
    </w:p>
    <w:p w14:paraId="6BED6F24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</w:p>
    <w:p w14:paraId="0ECDB0DE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noProof/>
          <w:color w:val="212121"/>
        </w:rPr>
        <w:drawing>
          <wp:inline distT="0" distB="0" distL="0" distR="0" wp14:anchorId="0A9A154C" wp14:editId="64552D9D">
            <wp:extent cx="5283199" cy="2971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3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131" cy="29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723B" w14:textId="517A0255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  <w:highlight w:val="white"/>
        </w:rPr>
        <w:t>Figure S1</w:t>
      </w:r>
    </w:p>
    <w:p w14:paraId="54FF10EE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/>
          <w:noProof/>
          <w:color w:val="212121"/>
        </w:rPr>
        <w:drawing>
          <wp:inline distT="0" distB="0" distL="0" distR="0" wp14:anchorId="47F4DBCC" wp14:editId="17A10E48">
            <wp:extent cx="5274310" cy="2870835"/>
            <wp:effectExtent l="0" t="0" r="254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4 Figure S2A3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6FF3" w14:textId="77777777" w:rsidR="00580754" w:rsidRDefault="00580754" w:rsidP="008B0D0F">
      <w:pPr>
        <w:spacing w:line="360" w:lineRule="auto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  <w:highlight w:val="white"/>
        </w:rPr>
        <w:t>Figure S2A</w:t>
      </w:r>
    </w:p>
    <w:p w14:paraId="2E888FED" w14:textId="77777777" w:rsidR="00580754" w:rsidRDefault="00580754" w:rsidP="00580754">
      <w:pPr>
        <w:rPr>
          <w:rFonts w:ascii="Times New Roman" w:hAnsi="Times New Roman" w:cs="Times New Roman"/>
          <w:color w:val="212121"/>
        </w:rPr>
      </w:pPr>
      <w:r>
        <w:rPr>
          <w:rFonts w:ascii="Times New Roman" w:hAnsi="Times New Roman" w:cs="Times New Roman"/>
          <w:noProof/>
          <w:color w:val="212121"/>
        </w:rPr>
        <w:drawing>
          <wp:inline distT="0" distB="0" distL="0" distR="0" wp14:anchorId="18ADAC96" wp14:editId="59C2B475">
            <wp:extent cx="5274310" cy="359283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4 Figure S2B3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37FC" w14:textId="77777777" w:rsidR="00580754" w:rsidRDefault="00580754" w:rsidP="00580754">
      <w:pPr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</w:rPr>
        <w:t>Figure</w:t>
      </w:r>
      <w:r>
        <w:rPr>
          <w:rFonts w:ascii="Times New Roman" w:hAnsi="Times New Roman" w:cs="Times New Roman"/>
          <w:color w:val="212121"/>
        </w:rPr>
        <w:t xml:space="preserve"> S</w:t>
      </w:r>
      <w:r>
        <w:rPr>
          <w:rFonts w:ascii="Times New Roman" w:hAnsi="Times New Roman" w:cs="Times New Roman" w:hint="eastAsia"/>
          <w:color w:val="212121"/>
        </w:rPr>
        <w:t>2</w:t>
      </w:r>
      <w:r>
        <w:rPr>
          <w:rFonts w:ascii="Times New Roman" w:hAnsi="Times New Roman" w:cs="Times New Roman"/>
          <w:color w:val="212121"/>
        </w:rPr>
        <w:t>B</w:t>
      </w:r>
    </w:p>
    <w:p w14:paraId="319EA3ED" w14:textId="77777777" w:rsidR="00580754" w:rsidRDefault="00580754" w:rsidP="00580754">
      <w:pPr>
        <w:rPr>
          <w:rFonts w:ascii="Times New Roman" w:hAnsi="Times New Roman" w:cs="Times New Roman"/>
          <w:color w:val="212121"/>
        </w:rPr>
      </w:pPr>
      <w:r>
        <w:rPr>
          <w:rFonts w:ascii="Times New Roman" w:hAnsi="Times New Roman" w:cs="Times New Roman"/>
          <w:noProof/>
          <w:color w:val="212121"/>
        </w:rPr>
        <w:drawing>
          <wp:inline distT="0" distB="0" distL="0" distR="0" wp14:anchorId="1D91CEAA" wp14:editId="7DB20148">
            <wp:extent cx="5274310" cy="2905760"/>
            <wp:effectExtent l="0" t="0" r="254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4 Figure S2C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8BB9" w14:textId="77777777" w:rsidR="00580754" w:rsidRPr="0031005C" w:rsidRDefault="00580754" w:rsidP="00580754">
      <w:pPr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</w:rPr>
        <w:t>Figure</w:t>
      </w:r>
      <w:r>
        <w:rPr>
          <w:rFonts w:ascii="Times New Roman" w:hAnsi="Times New Roman" w:cs="Times New Roman"/>
          <w:color w:val="212121"/>
        </w:rPr>
        <w:t xml:space="preserve"> S</w:t>
      </w:r>
      <w:r>
        <w:rPr>
          <w:rFonts w:ascii="Times New Roman" w:hAnsi="Times New Roman" w:cs="Times New Roman" w:hint="eastAsia"/>
          <w:color w:val="212121"/>
        </w:rPr>
        <w:t>2</w:t>
      </w:r>
      <w:r>
        <w:rPr>
          <w:rFonts w:ascii="Times New Roman" w:hAnsi="Times New Roman" w:cs="Times New Roman"/>
          <w:color w:val="212121"/>
        </w:rPr>
        <w:t>C</w:t>
      </w:r>
    </w:p>
    <w:p w14:paraId="5913FCC4" w14:textId="77777777" w:rsidR="00580754" w:rsidRDefault="00580754" w:rsidP="00580754">
      <w:pPr>
        <w:rPr>
          <w:rFonts w:ascii="Times New Roman" w:hAnsi="Times New Roman" w:cs="Times New Roman"/>
          <w:color w:val="212121"/>
          <w:highlight w:val="white"/>
        </w:rPr>
      </w:pPr>
    </w:p>
    <w:p w14:paraId="6ED4CCC2" w14:textId="5CC65818" w:rsidR="00580754" w:rsidRDefault="00580754" w:rsidP="00580754">
      <w:pPr>
        <w:jc w:val="center"/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noProof/>
          <w:color w:val="212121"/>
        </w:rPr>
        <w:drawing>
          <wp:inline distT="0" distB="0" distL="0" distR="0" wp14:anchorId="30E829D5" wp14:editId="42C4960C">
            <wp:extent cx="6062133" cy="34099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22" cy="34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1B58" w14:textId="6EB1D82D" w:rsidR="00580754" w:rsidRDefault="00580754" w:rsidP="00580754">
      <w:pPr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  <w:highlight w:val="white"/>
        </w:rPr>
        <w:t>Figure S3</w:t>
      </w:r>
    </w:p>
    <w:p w14:paraId="0631FC6C" w14:textId="5E866CF3" w:rsidR="00E93E68" w:rsidRDefault="00E93E68" w:rsidP="00580754">
      <w:pPr>
        <w:rPr>
          <w:rFonts w:ascii="Times New Roman" w:hAnsi="Times New Roman" w:cs="Times New Roman"/>
          <w:color w:val="212121"/>
          <w:highlight w:val="white"/>
        </w:rPr>
      </w:pPr>
      <w:r w:rsidRPr="00E93E68">
        <w:rPr>
          <w:rFonts w:ascii="Times New Roman" w:hAnsi="Times New Roman" w:cs="Times New Roman"/>
          <w:color w:val="212121"/>
          <w:highlight w:val="white"/>
        </w:rPr>
        <w:drawing>
          <wp:inline distT="0" distB="0" distL="0" distR="0" wp14:anchorId="660E8150" wp14:editId="26DB4240">
            <wp:extent cx="3429000" cy="4511675"/>
            <wp:effectExtent l="0" t="0" r="0" b="3175"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3" t="611"/>
                    <a:stretch/>
                  </pic:blipFill>
                  <pic:spPr>
                    <a:xfrm>
                      <a:off x="0" y="0"/>
                      <a:ext cx="3445127" cy="45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8D432F" w14:textId="35B833DD" w:rsidR="00383234" w:rsidRDefault="00E93E68" w:rsidP="00580754">
      <w:pPr>
        <w:rPr>
          <w:rFonts w:ascii="Times New Roman" w:hAnsi="Times New Roman" w:cs="Times New Roman"/>
          <w:color w:val="212121"/>
          <w:highlight w:val="white"/>
        </w:rPr>
      </w:pPr>
      <w:r>
        <w:rPr>
          <w:rFonts w:ascii="Times New Roman" w:hAnsi="Times New Roman" w:cs="Times New Roman" w:hint="eastAsia"/>
          <w:color w:val="212121"/>
          <w:highlight w:val="white"/>
        </w:rPr>
        <w:t>Figure S</w:t>
      </w:r>
      <w:r>
        <w:rPr>
          <w:rFonts w:ascii="Times New Roman" w:hAnsi="Times New Roman" w:cs="Times New Roman" w:hint="eastAsia"/>
          <w:color w:val="212121"/>
          <w:highlight w:val="white"/>
        </w:rPr>
        <w:t>4</w:t>
      </w:r>
    </w:p>
    <w:sectPr w:rsidR="00383234" w:rsidSect="00A1724B"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2AF54" w14:textId="77777777" w:rsidR="002D5FC5" w:rsidRDefault="002D5FC5" w:rsidP="002D5FC5">
      <w:r>
        <w:separator/>
      </w:r>
    </w:p>
  </w:endnote>
  <w:endnote w:type="continuationSeparator" w:id="0">
    <w:p w14:paraId="7BE06EBF" w14:textId="77777777" w:rsidR="002D5FC5" w:rsidRDefault="002D5FC5" w:rsidP="002D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ADFF3" w14:textId="77777777" w:rsidR="002D5FC5" w:rsidRDefault="002D5FC5" w:rsidP="002D5FC5">
      <w:r>
        <w:separator/>
      </w:r>
    </w:p>
  </w:footnote>
  <w:footnote w:type="continuationSeparator" w:id="0">
    <w:p w14:paraId="4D94B06C" w14:textId="77777777" w:rsidR="002D5FC5" w:rsidRDefault="002D5FC5" w:rsidP="002D5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FE05B" w14:textId="77777777" w:rsidR="001D46AD" w:rsidRDefault="001D46AD" w:rsidP="001D46AD">
    <w:pPr>
      <w:pStyle w:val="a3"/>
      <w:jc w:val="right"/>
    </w:pPr>
    <w:r>
      <w:t>Chan et al., 2023</w:t>
    </w:r>
  </w:p>
  <w:p w14:paraId="75EEBF00" w14:textId="3550C129" w:rsidR="001D46AD" w:rsidRPr="004437CE" w:rsidRDefault="001D46AD" w:rsidP="001D46AD">
    <w:pPr>
      <w:pStyle w:val="a3"/>
      <w:wordWrap w:val="0"/>
      <w:jc w:val="right"/>
    </w:pPr>
    <w:r>
      <w:rPr>
        <w:rFonts w:ascii="Times New Roman" w:hAnsi="Times New Roman" w:cs="Times New Roman"/>
        <w:color w:val="000000" w:themeColor="text1"/>
      </w:rPr>
      <w:t>Microtubule</w:t>
    </w:r>
    <w:r w:rsidRPr="001F4C8E">
      <w:rPr>
        <w:rFonts w:ascii="Times New Roman" w:hAnsi="Times New Roman" w:cs="Times New Roman"/>
        <w:color w:val="000000" w:themeColor="text1"/>
      </w:rPr>
      <w:t xml:space="preserve">-associated </w:t>
    </w:r>
    <w:r>
      <w:rPr>
        <w:rFonts w:ascii="Times New Roman" w:hAnsi="Times New Roman" w:cs="Times New Roman"/>
        <w:color w:val="000000" w:themeColor="text1"/>
      </w:rPr>
      <w:t>gene</w:t>
    </w:r>
    <w:r w:rsidRPr="001F4C8E">
      <w:rPr>
        <w:rFonts w:ascii="Times New Roman" w:hAnsi="Times New Roman" w:cs="Times New Roman"/>
        <w:color w:val="000000" w:themeColor="text1"/>
      </w:rPr>
      <w:t xml:space="preserve"> clusters for male infertility</w:t>
    </w:r>
  </w:p>
  <w:p w14:paraId="7E21ABE2" w14:textId="77777777" w:rsidR="001D46AD" w:rsidRPr="001D46AD" w:rsidRDefault="001D46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FE"/>
    <w:rsid w:val="00066C7B"/>
    <w:rsid w:val="0009027A"/>
    <w:rsid w:val="000E7DF1"/>
    <w:rsid w:val="00103824"/>
    <w:rsid w:val="00135B2F"/>
    <w:rsid w:val="001376C0"/>
    <w:rsid w:val="001A6D42"/>
    <w:rsid w:val="001D46AD"/>
    <w:rsid w:val="001D6950"/>
    <w:rsid w:val="00264D53"/>
    <w:rsid w:val="002A5D52"/>
    <w:rsid w:val="002D5FC5"/>
    <w:rsid w:val="002D6CC4"/>
    <w:rsid w:val="00383234"/>
    <w:rsid w:val="003E2B08"/>
    <w:rsid w:val="0040672E"/>
    <w:rsid w:val="00444462"/>
    <w:rsid w:val="00451CC4"/>
    <w:rsid w:val="00480784"/>
    <w:rsid w:val="00485480"/>
    <w:rsid w:val="00487302"/>
    <w:rsid w:val="004E2D46"/>
    <w:rsid w:val="00511EB2"/>
    <w:rsid w:val="00580754"/>
    <w:rsid w:val="005A6CE1"/>
    <w:rsid w:val="00624C6E"/>
    <w:rsid w:val="00633084"/>
    <w:rsid w:val="00635401"/>
    <w:rsid w:val="00655773"/>
    <w:rsid w:val="00657F39"/>
    <w:rsid w:val="006B141F"/>
    <w:rsid w:val="006C07AA"/>
    <w:rsid w:val="006E56CD"/>
    <w:rsid w:val="006E68B0"/>
    <w:rsid w:val="00711D1F"/>
    <w:rsid w:val="0076781D"/>
    <w:rsid w:val="007A12E0"/>
    <w:rsid w:val="007C1360"/>
    <w:rsid w:val="007C444A"/>
    <w:rsid w:val="0083112D"/>
    <w:rsid w:val="00866CF9"/>
    <w:rsid w:val="008B0D0F"/>
    <w:rsid w:val="00A1724B"/>
    <w:rsid w:val="00A23DD4"/>
    <w:rsid w:val="00A432FE"/>
    <w:rsid w:val="00A80C40"/>
    <w:rsid w:val="00AB0B66"/>
    <w:rsid w:val="00B47F54"/>
    <w:rsid w:val="00B53B5E"/>
    <w:rsid w:val="00B945A9"/>
    <w:rsid w:val="00BA7AED"/>
    <w:rsid w:val="00BC4B1C"/>
    <w:rsid w:val="00BF0BAC"/>
    <w:rsid w:val="00C215DE"/>
    <w:rsid w:val="00CC4E40"/>
    <w:rsid w:val="00DA5C19"/>
    <w:rsid w:val="00DB3A35"/>
    <w:rsid w:val="00E93E68"/>
    <w:rsid w:val="00F4476F"/>
    <w:rsid w:val="00F714BA"/>
    <w:rsid w:val="00F859AE"/>
    <w:rsid w:val="00F90AF8"/>
    <w:rsid w:val="00FC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2B18F38"/>
  <w14:defaultImageDpi w14:val="32767"/>
  <w15:chartTrackingRefBased/>
  <w15:docId w15:val="{27FD0706-5B70-3543-B814-522CC58A8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D5FC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D5FC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807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曾浩宸</dc:creator>
  <cp:keywords/>
  <dc:description/>
  <cp:lastModifiedBy>黃攸娟</cp:lastModifiedBy>
  <cp:revision>2</cp:revision>
  <cp:lastPrinted>2023-08-29T16:29:00Z</cp:lastPrinted>
  <dcterms:created xsi:type="dcterms:W3CDTF">2023-08-30T16:16:00Z</dcterms:created>
  <dcterms:modified xsi:type="dcterms:W3CDTF">2023-08-30T16:16:00Z</dcterms:modified>
</cp:coreProperties>
</file>