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ED" w:rsidRDefault="004551ED" w:rsidP="00477779">
      <w:pPr>
        <w:pStyle w:val="MDPI62BackMatter"/>
        <w:rPr>
          <w:b/>
        </w:rPr>
      </w:pPr>
    </w:p>
    <w:p w:rsidR="00477779" w:rsidRDefault="00477779" w:rsidP="00477779">
      <w:pPr>
        <w:pStyle w:val="MDPI62BackMatter"/>
      </w:pPr>
      <w:r>
        <w:rPr>
          <w:b/>
        </w:rPr>
        <w:t>Funding:</w:t>
      </w:r>
      <w:r>
        <w:t xml:space="preserve"> This research was funded by </w:t>
      </w:r>
      <w:proofErr w:type="spellStart"/>
      <w:r w:rsidR="00E77AFD" w:rsidRPr="00E77AFD">
        <w:t>Agencia</w:t>
      </w:r>
      <w:proofErr w:type="spellEnd"/>
      <w:r w:rsidR="00E77AFD" w:rsidRPr="00E77AFD">
        <w:t xml:space="preserve"> Nacional de </w:t>
      </w:r>
      <w:proofErr w:type="spellStart"/>
      <w:r w:rsidR="00E77AFD" w:rsidRPr="00E77AFD">
        <w:t>Investigación</w:t>
      </w:r>
      <w:proofErr w:type="spellEnd"/>
      <w:r w:rsidR="00E77AFD" w:rsidRPr="00E77AFD">
        <w:t xml:space="preserve"> y </w:t>
      </w:r>
      <w:proofErr w:type="spellStart"/>
      <w:r w:rsidR="00E77AFD" w:rsidRPr="00E77AFD">
        <w:t>Desarrollo</w:t>
      </w:r>
      <w:proofErr w:type="spellEnd"/>
      <w:r w:rsidR="00E77AFD">
        <w:t xml:space="preserve"> de </w:t>
      </w:r>
      <w:r w:rsidR="002C5DCE">
        <w:t>C</w:t>
      </w:r>
      <w:r w:rsidR="002C5DCE" w:rsidRPr="002C5DCE">
        <w:t>hile</w:t>
      </w:r>
      <w:r w:rsidR="00B109CA">
        <w:t>, grant</w:t>
      </w:r>
      <w:r>
        <w:t xml:space="preserve"> </w:t>
      </w:r>
      <w:r w:rsidR="00B109CA">
        <w:t>ANID-CHILE/FONDECYT number</w:t>
      </w:r>
      <w:r w:rsidR="002C5DCE" w:rsidRPr="002C5DCE">
        <w:t xml:space="preserve"> 1220324</w:t>
      </w:r>
      <w:r w:rsidR="002C5DCE">
        <w:t>.</w:t>
      </w:r>
    </w:p>
    <w:p w:rsidR="001B5F87" w:rsidRPr="00C241D8" w:rsidRDefault="001B5F87" w:rsidP="001B5F87">
      <w:pPr>
        <w:pStyle w:val="MDPI62BackMatter"/>
        <w:rPr>
          <w:color w:val="auto"/>
        </w:rPr>
      </w:pPr>
      <w:bookmarkStart w:id="0" w:name="_Hlk89945590"/>
      <w:r w:rsidRPr="00C241D8">
        <w:rPr>
          <w:b/>
          <w:color w:val="auto"/>
        </w:rPr>
        <w:t xml:space="preserve">Institutional Review Board Statement: </w:t>
      </w:r>
      <w:r w:rsidRPr="00C241D8">
        <w:rPr>
          <w:color w:val="auto"/>
        </w:rPr>
        <w:t xml:space="preserve">The study was conducted in accordance with the Declaration of Helsinki, and approved by the </w:t>
      </w:r>
      <w:r w:rsidR="00C241D8" w:rsidRPr="00C241D8">
        <w:rPr>
          <w:color w:val="auto"/>
        </w:rPr>
        <w:t xml:space="preserve">Scientific Ethics Committee </w:t>
      </w:r>
      <w:r w:rsidRPr="00C241D8">
        <w:rPr>
          <w:color w:val="auto"/>
        </w:rPr>
        <w:t xml:space="preserve">of </w:t>
      </w:r>
      <w:r w:rsidR="004F7D3A" w:rsidRPr="00C241D8">
        <w:rPr>
          <w:color w:val="auto"/>
        </w:rPr>
        <w:t>University</w:t>
      </w:r>
      <w:r w:rsidR="001E0EDD" w:rsidRPr="00C241D8">
        <w:rPr>
          <w:color w:val="auto"/>
        </w:rPr>
        <w:t xml:space="preserve"> </w:t>
      </w:r>
      <w:r w:rsidR="004F7D3A" w:rsidRPr="00C241D8">
        <w:rPr>
          <w:color w:val="auto"/>
        </w:rPr>
        <w:t xml:space="preserve">of La </w:t>
      </w:r>
      <w:proofErr w:type="spellStart"/>
      <w:r w:rsidR="004F7D3A" w:rsidRPr="00C241D8">
        <w:rPr>
          <w:color w:val="auto"/>
        </w:rPr>
        <w:t>Frontera</w:t>
      </w:r>
      <w:proofErr w:type="spellEnd"/>
      <w:r w:rsidRPr="00C241D8">
        <w:rPr>
          <w:color w:val="auto"/>
        </w:rPr>
        <w:t xml:space="preserve"> (</w:t>
      </w:r>
      <w:r w:rsidR="00C241D8" w:rsidRPr="00C241D8">
        <w:rPr>
          <w:color w:val="auto"/>
        </w:rPr>
        <w:t>December 11, 2020, as recorded in Minutes Number 061_19, Folio No043_19)</w:t>
      </w:r>
      <w:r w:rsidRPr="00C241D8">
        <w:rPr>
          <w:color w:val="auto"/>
        </w:rPr>
        <w:t>.</w:t>
      </w:r>
    </w:p>
    <w:p w:rsidR="0083376D" w:rsidRDefault="0083376D" w:rsidP="00C241D8">
      <w:pPr>
        <w:pStyle w:val="MDPI62BackMatter"/>
        <w:spacing w:after="0"/>
        <w:rPr>
          <w:color w:val="auto"/>
        </w:rPr>
      </w:pPr>
      <w:bookmarkStart w:id="1" w:name="_Hlk60054323"/>
      <w:bookmarkEnd w:id="0"/>
      <w:r w:rsidRPr="00C241D8">
        <w:rPr>
          <w:b/>
          <w:color w:val="auto"/>
        </w:rPr>
        <w:t xml:space="preserve">Informed Consent Statement: </w:t>
      </w:r>
      <w:r w:rsidRPr="00C241D8">
        <w:rPr>
          <w:color w:val="auto"/>
        </w:rPr>
        <w:t>Informed consent was obtained fro</w:t>
      </w:r>
      <w:bookmarkStart w:id="2" w:name="_GoBack"/>
      <w:bookmarkEnd w:id="2"/>
      <w:r w:rsidRPr="00C241D8">
        <w:rPr>
          <w:color w:val="auto"/>
        </w:rPr>
        <w:t>m all subjects involved in</w:t>
      </w:r>
      <w:r w:rsidR="00C241D8" w:rsidRPr="00C241D8">
        <w:rPr>
          <w:color w:val="auto"/>
        </w:rPr>
        <w:t xml:space="preserve"> the study.</w:t>
      </w:r>
    </w:p>
    <w:p w:rsidR="00B109CA" w:rsidRPr="00C241D8" w:rsidRDefault="00B109CA" w:rsidP="00C241D8">
      <w:pPr>
        <w:pStyle w:val="MDPI62BackMatter"/>
        <w:spacing w:after="0"/>
        <w:rPr>
          <w:color w:val="auto"/>
        </w:rPr>
      </w:pPr>
    </w:p>
    <w:bookmarkEnd w:id="1"/>
    <w:p w:rsidR="002D71FD" w:rsidRPr="00B109CA" w:rsidRDefault="002D71FD" w:rsidP="002D71FD">
      <w:pPr>
        <w:pStyle w:val="MDPI62BackMatter"/>
        <w:rPr>
          <w:color w:val="auto"/>
        </w:rPr>
      </w:pPr>
      <w:r w:rsidRPr="00B109CA">
        <w:rPr>
          <w:b/>
          <w:color w:val="auto"/>
        </w:rPr>
        <w:t>Data Availability Statement:</w:t>
      </w:r>
      <w:r w:rsidR="00B109CA" w:rsidRPr="00B109CA">
        <w:rPr>
          <w:color w:val="auto"/>
        </w:rPr>
        <w:t xml:space="preserve"> Further details on the individual and group interview data can be found in https://converginghorizons.ufro.cl/</w:t>
      </w:r>
      <w:r w:rsidRPr="00B109CA">
        <w:rPr>
          <w:color w:val="auto"/>
        </w:rPr>
        <w:t>.</w:t>
      </w:r>
    </w:p>
    <w:p w:rsidR="00477779" w:rsidRPr="00F2086B" w:rsidRDefault="00477779" w:rsidP="00477779">
      <w:pPr>
        <w:pStyle w:val="MDPI62BackMatter"/>
        <w:rPr>
          <w:color w:val="auto"/>
        </w:rPr>
      </w:pPr>
      <w:r w:rsidRPr="00F2086B">
        <w:rPr>
          <w:b/>
          <w:color w:val="auto"/>
        </w:rPr>
        <w:t>Acknowledgments:</w:t>
      </w:r>
      <w:r w:rsidRPr="00F2086B">
        <w:rPr>
          <w:color w:val="auto"/>
        </w:rPr>
        <w:t xml:space="preserve"> </w:t>
      </w:r>
      <w:r w:rsidR="00BA3150" w:rsidRPr="00F2086B">
        <w:rPr>
          <w:color w:val="auto"/>
        </w:rPr>
        <w:t>Thanks are due to the research</w:t>
      </w:r>
      <w:r w:rsidR="00B109CA" w:rsidRPr="00F2086B">
        <w:rPr>
          <w:color w:val="auto"/>
        </w:rPr>
        <w:t xml:space="preserve"> project, financed by the </w:t>
      </w:r>
      <w:proofErr w:type="spellStart"/>
      <w:r w:rsidR="00BA3150" w:rsidRPr="00F2086B">
        <w:rPr>
          <w:color w:val="auto"/>
        </w:rPr>
        <w:t>Agencia</w:t>
      </w:r>
      <w:proofErr w:type="spellEnd"/>
      <w:r w:rsidR="00BA3150" w:rsidRPr="00F2086B">
        <w:rPr>
          <w:color w:val="auto"/>
        </w:rPr>
        <w:t xml:space="preserve"> Nacional de </w:t>
      </w:r>
      <w:proofErr w:type="spellStart"/>
      <w:r w:rsidR="00BA3150" w:rsidRPr="00F2086B">
        <w:rPr>
          <w:color w:val="auto"/>
        </w:rPr>
        <w:t>Investigación</w:t>
      </w:r>
      <w:proofErr w:type="spellEnd"/>
      <w:r w:rsidR="00BA3150" w:rsidRPr="00F2086B">
        <w:rPr>
          <w:color w:val="auto"/>
        </w:rPr>
        <w:t xml:space="preserve"> y </w:t>
      </w:r>
      <w:proofErr w:type="spellStart"/>
      <w:r w:rsidR="00BA3150" w:rsidRPr="00F2086B">
        <w:rPr>
          <w:color w:val="auto"/>
        </w:rPr>
        <w:t>Desarrollo</w:t>
      </w:r>
      <w:proofErr w:type="spellEnd"/>
      <w:r w:rsidR="00BA3150" w:rsidRPr="00F2086B">
        <w:rPr>
          <w:color w:val="auto"/>
        </w:rPr>
        <w:t xml:space="preserve"> de Chile</w:t>
      </w:r>
      <w:r w:rsidR="00B109CA" w:rsidRPr="00F2086B">
        <w:rPr>
          <w:color w:val="auto"/>
        </w:rPr>
        <w:t xml:space="preserve">, </w:t>
      </w:r>
      <w:r w:rsidR="00F2086B" w:rsidRPr="00F2086B">
        <w:rPr>
          <w:color w:val="auto"/>
        </w:rPr>
        <w:t xml:space="preserve">grant ANID-CHILE/PIA/ANILLOS number SOC180045, </w:t>
      </w:r>
      <w:r w:rsidR="00B109CA" w:rsidRPr="00F2086B">
        <w:rPr>
          <w:color w:val="auto"/>
        </w:rPr>
        <w:t>which provided an important par</w:t>
      </w:r>
      <w:r w:rsidR="00BA3150" w:rsidRPr="00F2086B">
        <w:rPr>
          <w:color w:val="auto"/>
        </w:rPr>
        <w:t>t of the data for this research</w:t>
      </w:r>
      <w:r w:rsidRPr="00F2086B">
        <w:rPr>
          <w:color w:val="auto"/>
        </w:rPr>
        <w:t>.</w:t>
      </w:r>
      <w:r w:rsidR="00F2086B">
        <w:rPr>
          <w:color w:val="auto"/>
        </w:rPr>
        <w:t xml:space="preserve"> </w:t>
      </w:r>
      <w:r w:rsidR="00F2086B" w:rsidRPr="00F2086B">
        <w:rPr>
          <w:color w:val="auto"/>
        </w:rPr>
        <w:t>Thanks are also due to the research teams of both projects.</w:t>
      </w:r>
    </w:p>
    <w:p w:rsidR="00477779" w:rsidRPr="00F2086B" w:rsidRDefault="00477779" w:rsidP="00477779">
      <w:pPr>
        <w:pStyle w:val="MDPI62BackMatter"/>
        <w:rPr>
          <w:color w:val="auto"/>
        </w:rPr>
      </w:pPr>
      <w:r w:rsidRPr="00F2086B">
        <w:rPr>
          <w:b/>
          <w:color w:val="auto"/>
        </w:rPr>
        <w:t>Conflicts of Interest:</w:t>
      </w:r>
      <w:r w:rsidRPr="00F2086B">
        <w:rPr>
          <w:color w:val="auto"/>
        </w:rPr>
        <w:t xml:space="preserve"> The </w:t>
      </w:r>
      <w:r w:rsidR="00FC5D6A" w:rsidRPr="00F2086B">
        <w:rPr>
          <w:color w:val="auto"/>
        </w:rPr>
        <w:t xml:space="preserve">authors declare no conflicts of </w:t>
      </w:r>
      <w:r w:rsidR="00F2086B">
        <w:rPr>
          <w:color w:val="auto"/>
        </w:rPr>
        <w:t xml:space="preserve">interest. </w:t>
      </w:r>
      <w:r w:rsidR="00796626" w:rsidRPr="00F2086B">
        <w:rPr>
          <w:color w:val="auto"/>
        </w:rPr>
        <w:t>The funders had no role in the design of the study; in the collection, analyses, or interpretation of data; in the writing of the manuscript; or in the decision to publish the results</w:t>
      </w:r>
      <w:r w:rsidR="00F2086B">
        <w:rPr>
          <w:color w:val="auto"/>
        </w:rPr>
        <w:t>.</w:t>
      </w:r>
    </w:p>
    <w:p w:rsidR="006B2801" w:rsidRPr="0030611F" w:rsidRDefault="006B2801" w:rsidP="0030611F">
      <w:pPr>
        <w:pStyle w:val="MDPI21heading1"/>
        <w:ind w:left="0"/>
        <w:rPr>
          <w:lang w:val="es-CL"/>
        </w:rPr>
      </w:pPr>
      <w:proofErr w:type="spellStart"/>
      <w:r w:rsidRPr="0030611F">
        <w:rPr>
          <w:lang w:val="es-CL"/>
        </w:rPr>
        <w:t>References</w:t>
      </w:r>
      <w:proofErr w:type="spellEnd"/>
    </w:p>
    <w:p w:rsidR="00591F53" w:rsidRPr="0030611F" w:rsidRDefault="00591F53" w:rsidP="00F860D9">
      <w:pPr>
        <w:pStyle w:val="MDPI71References"/>
        <w:numPr>
          <w:ilvl w:val="0"/>
          <w:numId w:val="0"/>
        </w:numPr>
        <w:ind w:left="425" w:hanging="425"/>
        <w:rPr>
          <w:lang w:val="es-CL"/>
        </w:rPr>
      </w:pP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Abela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J. A. (2012). La descodificación de la agenda: Un modelo analítico para el conocimiento manifiesto y latente de la agenda pública. </w:t>
      </w:r>
      <w:r w:rsidRPr="00755344">
        <w:rPr>
          <w:rFonts w:eastAsiaTheme="minorEastAsia"/>
          <w:i/>
          <w:color w:val="auto"/>
          <w:lang w:val="es-CL" w:eastAsia="zh-CN"/>
        </w:rPr>
        <w:t>IC</w:t>
      </w:r>
      <w:r w:rsidRPr="0030611F">
        <w:rPr>
          <w:rFonts w:eastAsiaTheme="minorEastAsia"/>
          <w:color w:val="auto"/>
          <w:lang w:val="es-CL" w:eastAsia="zh-CN"/>
        </w:rPr>
        <w:t>, 8(3), 520-547. http://dx.doi.org/10.3926/ic.380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Ancán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J. y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Calfío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M. (1998). </w:t>
      </w:r>
      <w:r w:rsidRPr="000C4BC4">
        <w:rPr>
          <w:rFonts w:eastAsiaTheme="minorEastAsia"/>
          <w:i/>
          <w:color w:val="auto"/>
          <w:lang w:val="es-CL" w:eastAsia="zh-CN"/>
        </w:rPr>
        <w:t>El Retomo al País Mapuche. Reflexiones Preliminares para una Utopía por Construir</w:t>
      </w:r>
      <w:r w:rsidR="000C4BC4">
        <w:rPr>
          <w:rFonts w:eastAsiaTheme="minorEastAsia"/>
          <w:color w:val="auto"/>
          <w:lang w:val="es-CL" w:eastAsia="zh-CN"/>
        </w:rPr>
        <w:t xml:space="preserve">. </w:t>
      </w:r>
      <w:r w:rsidRPr="00F860D9">
        <w:rPr>
          <w:rFonts w:eastAsiaTheme="minorEastAsia"/>
          <w:color w:val="auto"/>
          <w:lang w:val="es-CL" w:eastAsia="zh-CN"/>
        </w:rPr>
        <w:t>III Congreso Chileno de Antropología, Temuco</w:t>
      </w:r>
      <w:r w:rsidR="000C4BC4">
        <w:rPr>
          <w:rFonts w:eastAsiaTheme="minorEastAsia"/>
          <w:color w:val="auto"/>
          <w:lang w:val="es-CL" w:eastAsia="zh-CN"/>
        </w:rPr>
        <w:t>, Chile</w:t>
      </w:r>
      <w:r w:rsidRPr="00F860D9">
        <w:rPr>
          <w:rFonts w:eastAsiaTheme="minorEastAsia"/>
          <w:color w:val="auto"/>
          <w:lang w:val="es-CL" w:eastAsia="zh-CN"/>
        </w:rPr>
        <w:t>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Ardèvol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-Abreu, A.; Gil de Zúñiga, H.;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McCombs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M. E. (2020). Orígenes y desarrollo de la teoría de la agenda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setting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en Comunicación. </w:t>
      </w:r>
      <w:r w:rsidRPr="0030611F">
        <w:rPr>
          <w:rFonts w:eastAsiaTheme="minorEastAsia"/>
          <w:color w:val="auto"/>
          <w:lang w:val="es-CL" w:eastAsia="zh-CN"/>
        </w:rPr>
        <w:t xml:space="preserve">Tendencias en España (2014-2019). </w:t>
      </w:r>
      <w:r w:rsidRPr="00755344">
        <w:rPr>
          <w:rFonts w:eastAsiaTheme="minorEastAsia"/>
          <w:i/>
          <w:color w:val="auto"/>
          <w:lang w:val="es-CL" w:eastAsia="zh-CN"/>
        </w:rPr>
        <w:t>Profesional de la información</w:t>
      </w:r>
      <w:r w:rsidRPr="0030611F">
        <w:rPr>
          <w:rFonts w:eastAsiaTheme="minorEastAsia"/>
          <w:color w:val="auto"/>
          <w:lang w:val="es-CL" w:eastAsia="zh-CN"/>
        </w:rPr>
        <w:t>, 29(4). e290414.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Aruguete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N. (2016): </w:t>
      </w:r>
      <w:r w:rsidRPr="00755344">
        <w:rPr>
          <w:rFonts w:eastAsiaTheme="minorEastAsia"/>
          <w:i/>
          <w:color w:val="auto"/>
          <w:lang w:val="es-CL" w:eastAsia="zh-CN"/>
        </w:rPr>
        <w:t>El poder de la agenda. Política, medios y público</w:t>
      </w:r>
      <w:r w:rsidRPr="00F860D9">
        <w:rPr>
          <w:rFonts w:eastAsiaTheme="minorEastAsia"/>
          <w:color w:val="auto"/>
          <w:lang w:val="es-CL" w:eastAsia="zh-CN"/>
        </w:rPr>
        <w:t xml:space="preserve">.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Biblos</w:t>
      </w:r>
      <w:proofErr w:type="spellEnd"/>
      <w:r w:rsidRPr="00F860D9">
        <w:rPr>
          <w:rFonts w:eastAsiaTheme="minorEastAsia"/>
          <w:color w:val="auto"/>
          <w:lang w:val="es-CL" w:eastAsia="zh-CN"/>
        </w:rPr>
        <w:t>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Aruguete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N. (2017). Agenda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building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. Revisión de la literatura sobre el proceso de construcción de la agenda mediática. </w:t>
      </w:r>
      <w:r w:rsidRPr="00755344">
        <w:rPr>
          <w:rFonts w:eastAsiaTheme="minorEastAsia"/>
          <w:i/>
          <w:color w:val="auto"/>
          <w:lang w:val="es-CL" w:eastAsia="zh-CN"/>
        </w:rPr>
        <w:t>Signo y Pensamiento</w:t>
      </w:r>
      <w:r w:rsidRPr="0030611F">
        <w:rPr>
          <w:rFonts w:eastAsiaTheme="minorEastAsia"/>
          <w:color w:val="auto"/>
          <w:lang w:val="es-CL" w:eastAsia="zh-CN"/>
        </w:rPr>
        <w:t xml:space="preserve">, 70(XXXVI), 36-52. </w:t>
      </w:r>
      <w:proofErr w:type="gramStart"/>
      <w:r w:rsidRPr="0030611F">
        <w:rPr>
          <w:rFonts w:eastAsiaTheme="minorEastAsia"/>
          <w:color w:val="auto"/>
          <w:lang w:val="es-CL" w:eastAsia="zh-CN"/>
        </w:rPr>
        <w:t>doi:10.11144/Javeriana.syp36-70.abrl</w:t>
      </w:r>
      <w:proofErr w:type="gramEnd"/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>Asamblea de Caciques del Sur y Dirigentes de Indios (1961): Acuerdos de la Asamblea de Caciques del Sur y Dirigentes de Indios celebrado en Osorno los días 31 de marzo, 1º y 2 de abril de 1961, Osorno, 2 de abril de 1961.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Candón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José (2012). </w:t>
      </w:r>
      <w:r w:rsidRPr="00BC3400">
        <w:rPr>
          <w:rFonts w:eastAsiaTheme="minorEastAsia"/>
          <w:color w:val="auto"/>
          <w:lang w:val="es-CL" w:eastAsia="zh-CN"/>
        </w:rPr>
        <w:t>La batalla de la agenda: de las redes sociales a la agenda mediática, política y electoral</w:t>
      </w:r>
      <w:r w:rsidR="000C4BC4" w:rsidRPr="00BC3400">
        <w:rPr>
          <w:rFonts w:eastAsiaTheme="minorEastAsia"/>
          <w:color w:val="auto"/>
          <w:lang w:val="es-CL" w:eastAsia="zh-CN"/>
        </w:rPr>
        <w:t>.</w:t>
      </w:r>
      <w:r w:rsidR="000C4BC4">
        <w:rPr>
          <w:rFonts w:eastAsiaTheme="minorEastAsia"/>
          <w:color w:val="auto"/>
          <w:lang w:val="es-CL" w:eastAsia="zh-CN"/>
        </w:rPr>
        <w:t xml:space="preserve"> </w:t>
      </w:r>
      <w:proofErr w:type="spellStart"/>
      <w:r w:rsidR="00BC3400" w:rsidRPr="00BC3400">
        <w:rPr>
          <w:rFonts w:eastAsiaTheme="minorEastAsia"/>
          <w:i/>
          <w:color w:val="auto"/>
          <w:lang w:val="es-CL" w:eastAsia="zh-CN"/>
        </w:rPr>
        <w:t>TecCom</w:t>
      </w:r>
      <w:proofErr w:type="spellEnd"/>
      <w:r w:rsidR="00BC3400" w:rsidRPr="00BC3400">
        <w:rPr>
          <w:rFonts w:eastAsiaTheme="minorEastAsia"/>
          <w:i/>
          <w:color w:val="auto"/>
          <w:lang w:val="es-CL" w:eastAsia="zh-CN"/>
        </w:rPr>
        <w:t xml:space="preserve"> </w:t>
      </w:r>
      <w:proofErr w:type="spellStart"/>
      <w:r w:rsidR="00BC3400" w:rsidRPr="00BC3400">
        <w:rPr>
          <w:rFonts w:eastAsiaTheme="minorEastAsia"/>
          <w:i/>
          <w:color w:val="auto"/>
          <w:lang w:val="es-CL" w:eastAsia="zh-CN"/>
        </w:rPr>
        <w:t>Studies</w:t>
      </w:r>
      <w:proofErr w:type="spellEnd"/>
      <w:r w:rsidR="00BC3400" w:rsidRPr="00BC3400">
        <w:rPr>
          <w:rFonts w:eastAsiaTheme="minorEastAsia"/>
          <w:i/>
          <w:color w:val="auto"/>
          <w:lang w:val="es-CL" w:eastAsia="zh-CN"/>
        </w:rPr>
        <w:t>: Estudios de Tecnología y Comunicación</w:t>
      </w:r>
      <w:r w:rsidR="00BC3400" w:rsidRPr="00BC3400">
        <w:rPr>
          <w:rFonts w:eastAsiaTheme="minorEastAsia"/>
          <w:color w:val="auto"/>
          <w:lang w:val="es-CL" w:eastAsia="zh-CN"/>
        </w:rPr>
        <w:t>, 4, 217-227.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Carrero, V., Soriano, R., &amp; Trinidad, A. (2006). </w:t>
      </w:r>
      <w:r w:rsidRPr="00755344">
        <w:rPr>
          <w:rFonts w:eastAsiaTheme="minorEastAsia"/>
          <w:i/>
          <w:color w:val="auto"/>
          <w:lang w:val="es-CL" w:eastAsia="zh-CN"/>
        </w:rPr>
        <w:t xml:space="preserve">Teoría fundamentada -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Grounded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 xml:space="preserve">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theory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 xml:space="preserve">. La construcción de la teoría a través del análisis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interpretacional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. </w:t>
      </w:r>
      <w:r w:rsidRPr="0030611F">
        <w:rPr>
          <w:rFonts w:eastAsiaTheme="minorEastAsia"/>
          <w:color w:val="auto"/>
          <w:lang w:val="es-CL" w:eastAsia="zh-CN"/>
        </w:rPr>
        <w:t>Edit. CIS (Centro de Investigaciones Sociológicas).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Centro de Estudios y Documentación Mapuche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Liwen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(1990</w:t>
      </w:r>
      <w:r w:rsidR="000C4BC4">
        <w:rPr>
          <w:rFonts w:eastAsiaTheme="minorEastAsia"/>
          <w:color w:val="auto"/>
          <w:lang w:val="es-CL" w:eastAsia="zh-CN"/>
        </w:rPr>
        <w:t xml:space="preserve">, </w:t>
      </w:r>
      <w:proofErr w:type="spellStart"/>
      <w:r w:rsidR="000C4BC4">
        <w:rPr>
          <w:rFonts w:eastAsiaTheme="minorEastAsia"/>
          <w:color w:val="auto"/>
          <w:lang w:val="es-CL" w:eastAsia="zh-CN"/>
        </w:rPr>
        <w:t>March</w:t>
      </w:r>
      <w:proofErr w:type="spellEnd"/>
      <w:r w:rsidR="000C4BC4">
        <w:rPr>
          <w:rFonts w:eastAsiaTheme="minorEastAsia"/>
          <w:color w:val="auto"/>
          <w:lang w:val="es-CL" w:eastAsia="zh-CN"/>
        </w:rPr>
        <w:t xml:space="preserve"> 27-29</w:t>
      </w:r>
      <w:r w:rsidRPr="00F860D9">
        <w:rPr>
          <w:rFonts w:eastAsiaTheme="minorEastAsia"/>
          <w:color w:val="auto"/>
          <w:lang w:val="es-CL" w:eastAsia="zh-CN"/>
        </w:rPr>
        <w:t xml:space="preserve">). </w:t>
      </w:r>
      <w:r w:rsidRPr="000C4BC4">
        <w:rPr>
          <w:rFonts w:eastAsiaTheme="minorEastAsia"/>
          <w:i/>
          <w:color w:val="auto"/>
          <w:lang w:val="es-CL" w:eastAsia="zh-CN"/>
        </w:rPr>
        <w:t>Cuestión mapuche, descentralización del Estado y autonomía regional</w:t>
      </w:r>
      <w:r w:rsidR="000C4BC4">
        <w:rPr>
          <w:rFonts w:eastAsiaTheme="minorEastAsia"/>
          <w:color w:val="auto"/>
          <w:lang w:val="es-CL" w:eastAsia="zh-CN"/>
        </w:rPr>
        <w:t xml:space="preserve">. </w:t>
      </w:r>
      <w:r w:rsidRPr="00F860D9">
        <w:rPr>
          <w:rFonts w:eastAsiaTheme="minorEastAsia"/>
          <w:color w:val="auto"/>
          <w:lang w:val="es-CL" w:eastAsia="zh-CN"/>
        </w:rPr>
        <w:t xml:space="preserve">Seminario Utopía indígena, colonialismo y evangelización, </w:t>
      </w:r>
      <w:r w:rsidR="000C4BC4">
        <w:rPr>
          <w:rFonts w:eastAsiaTheme="minorEastAsia"/>
          <w:color w:val="auto"/>
          <w:lang w:val="es-CL" w:eastAsia="zh-CN"/>
        </w:rPr>
        <w:t>Santiago de Chile</w:t>
      </w:r>
      <w:r w:rsidRPr="00F860D9">
        <w:rPr>
          <w:rFonts w:eastAsiaTheme="minorEastAsia"/>
          <w:color w:val="auto"/>
          <w:lang w:val="es-CL" w:eastAsia="zh-CN"/>
        </w:rPr>
        <w:t>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Charron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J. (1998). Los medios y las fuentes. Los límites al modelo </w:t>
      </w:r>
      <w:r w:rsidR="00755344" w:rsidRPr="00F860D9">
        <w:rPr>
          <w:rFonts w:eastAsiaTheme="minorEastAsia"/>
          <w:color w:val="auto"/>
          <w:lang w:val="es-CL" w:eastAsia="zh-CN"/>
        </w:rPr>
        <w:t>de la agenda</w:t>
      </w:r>
      <w:r w:rsidRPr="00F860D9">
        <w:rPr>
          <w:rFonts w:eastAsiaTheme="minorEastAsia"/>
          <w:color w:val="auto"/>
          <w:lang w:val="es-CL" w:eastAsia="zh-CN"/>
        </w:rPr>
        <w:t xml:space="preserve">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setting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. In G.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Gauthier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A.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Gosselin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y J.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Mouchon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(Eds.), </w:t>
      </w:r>
      <w:r w:rsidRPr="000C4BC4">
        <w:rPr>
          <w:rFonts w:eastAsiaTheme="minorEastAsia"/>
          <w:i/>
          <w:color w:val="auto"/>
          <w:lang w:val="es-CL" w:eastAsia="zh-CN"/>
        </w:rPr>
        <w:t>Comunicación y política</w:t>
      </w:r>
      <w:r w:rsidRPr="00F860D9">
        <w:rPr>
          <w:rFonts w:eastAsiaTheme="minorEastAsia"/>
          <w:color w:val="auto"/>
          <w:lang w:val="es-CL" w:eastAsia="zh-CN"/>
        </w:rPr>
        <w:t xml:space="preserve"> (pp. 72-93). </w:t>
      </w:r>
      <w:proofErr w:type="spellStart"/>
      <w:r w:rsidRPr="0030611F">
        <w:rPr>
          <w:rFonts w:eastAsiaTheme="minorEastAsia"/>
          <w:color w:val="auto"/>
          <w:lang w:val="es-CL" w:eastAsia="zh-CN"/>
        </w:rPr>
        <w:t>Gedisa</w:t>
      </w:r>
      <w:proofErr w:type="spellEnd"/>
      <w:r w:rsidRPr="0030611F">
        <w:rPr>
          <w:rFonts w:eastAsiaTheme="minorEastAsia"/>
          <w:color w:val="auto"/>
          <w:lang w:val="es-CL" w:eastAsia="zh-CN"/>
        </w:rPr>
        <w:t>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Comisión Organizadora del Primer Congreso del Movimiento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Netuaiñ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Mapu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(1972</w:t>
      </w:r>
      <w:r w:rsidR="00454D52">
        <w:rPr>
          <w:rFonts w:eastAsiaTheme="minorEastAsia"/>
          <w:color w:val="auto"/>
          <w:lang w:val="es-CL" w:eastAsia="zh-CN"/>
        </w:rPr>
        <w:t xml:space="preserve">, </w:t>
      </w:r>
      <w:proofErr w:type="spellStart"/>
      <w:r w:rsidR="00454D52">
        <w:rPr>
          <w:rFonts w:eastAsiaTheme="minorEastAsia"/>
          <w:color w:val="auto"/>
          <w:lang w:val="es-CL" w:eastAsia="zh-CN"/>
        </w:rPr>
        <w:t>February</w:t>
      </w:r>
      <w:proofErr w:type="spellEnd"/>
      <w:r w:rsidR="00454D52">
        <w:rPr>
          <w:rFonts w:eastAsiaTheme="minorEastAsia"/>
          <w:color w:val="auto"/>
          <w:lang w:val="es-CL" w:eastAsia="zh-CN"/>
        </w:rPr>
        <w:t>).</w:t>
      </w:r>
      <w:r w:rsidRPr="00F860D9">
        <w:rPr>
          <w:rFonts w:eastAsiaTheme="minorEastAsia"/>
          <w:color w:val="auto"/>
          <w:lang w:val="es-CL" w:eastAsia="zh-CN"/>
        </w:rPr>
        <w:t xml:space="preserve">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Malleco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y Cautín. 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>El Diario (1938</w:t>
      </w:r>
      <w:r w:rsidR="00454D52">
        <w:rPr>
          <w:rFonts w:eastAsiaTheme="minorEastAsia"/>
          <w:color w:val="auto"/>
          <w:lang w:val="es-CL" w:eastAsia="zh-CN"/>
        </w:rPr>
        <w:t xml:space="preserve">, </w:t>
      </w:r>
      <w:proofErr w:type="spellStart"/>
      <w:r w:rsidR="00454D52">
        <w:rPr>
          <w:rFonts w:eastAsiaTheme="minorEastAsia"/>
          <w:color w:val="auto"/>
          <w:lang w:val="es-CL" w:eastAsia="zh-CN"/>
        </w:rPr>
        <w:t>November</w:t>
      </w:r>
      <w:proofErr w:type="spellEnd"/>
      <w:r w:rsidR="00454D52">
        <w:rPr>
          <w:rFonts w:eastAsiaTheme="minorEastAsia"/>
          <w:color w:val="auto"/>
          <w:lang w:val="es-CL" w:eastAsia="zh-CN"/>
        </w:rPr>
        <w:t xml:space="preserve"> 13). </w:t>
      </w:r>
      <w:r w:rsidRPr="00F860D9">
        <w:rPr>
          <w:rFonts w:eastAsiaTheme="minorEastAsia"/>
          <w:color w:val="auto"/>
          <w:lang w:val="es-CL" w:eastAsia="zh-CN"/>
        </w:rPr>
        <w:t>Sociedades araucanas formaron</w:t>
      </w:r>
      <w:r w:rsidR="00454D52">
        <w:rPr>
          <w:rFonts w:eastAsiaTheme="minorEastAsia"/>
          <w:color w:val="auto"/>
          <w:lang w:val="es-CL" w:eastAsia="zh-CN"/>
        </w:rPr>
        <w:t xml:space="preserve"> una corporación en esta ciudad</w:t>
      </w:r>
      <w:r w:rsidRPr="00F860D9">
        <w:rPr>
          <w:rFonts w:eastAsiaTheme="minorEastAsia"/>
          <w:color w:val="auto"/>
          <w:lang w:val="es-CL" w:eastAsia="zh-CN"/>
        </w:rPr>
        <w:t xml:space="preserve">. </w:t>
      </w:r>
      <w:r w:rsidR="00454D52" w:rsidRPr="00454D52">
        <w:rPr>
          <w:rFonts w:eastAsiaTheme="minorEastAsia"/>
          <w:i/>
          <w:color w:val="auto"/>
          <w:lang w:val="es-CL" w:eastAsia="zh-CN"/>
        </w:rPr>
        <w:t>El Diario Austral</w:t>
      </w:r>
      <w:r w:rsidRPr="0030611F">
        <w:rPr>
          <w:rFonts w:eastAsiaTheme="minorEastAsia"/>
          <w:color w:val="auto"/>
          <w:lang w:val="es-CL" w:eastAsia="zh-CN"/>
        </w:rPr>
        <w:t>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Coordinadora Arauco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Malleco</w:t>
      </w:r>
      <w:proofErr w:type="spellEnd"/>
      <w:r w:rsidRPr="00F860D9">
        <w:rPr>
          <w:rFonts w:eastAsiaTheme="minorEastAsia"/>
          <w:color w:val="auto"/>
          <w:lang w:val="es-CL" w:eastAsia="zh-CN"/>
        </w:rPr>
        <w:t>, CAM (2022</w:t>
      </w:r>
      <w:r w:rsidR="00454D52">
        <w:rPr>
          <w:rFonts w:eastAsiaTheme="minorEastAsia"/>
          <w:color w:val="auto"/>
          <w:lang w:val="es-CL" w:eastAsia="zh-CN"/>
        </w:rPr>
        <w:t xml:space="preserve">, </w:t>
      </w:r>
      <w:proofErr w:type="spellStart"/>
      <w:r w:rsidR="00454D52">
        <w:rPr>
          <w:rFonts w:eastAsiaTheme="minorEastAsia"/>
          <w:color w:val="auto"/>
          <w:lang w:val="es-CL" w:eastAsia="zh-CN"/>
        </w:rPr>
        <w:t>April</w:t>
      </w:r>
      <w:proofErr w:type="spellEnd"/>
      <w:r w:rsidR="00454D52">
        <w:rPr>
          <w:rFonts w:eastAsiaTheme="minorEastAsia"/>
          <w:color w:val="auto"/>
          <w:lang w:val="es-CL" w:eastAsia="zh-CN"/>
        </w:rPr>
        <w:t xml:space="preserve"> 3</w:t>
      </w:r>
      <w:r w:rsidRPr="00F860D9">
        <w:rPr>
          <w:rFonts w:eastAsiaTheme="minorEastAsia"/>
          <w:color w:val="auto"/>
          <w:lang w:val="es-CL" w:eastAsia="zh-CN"/>
        </w:rPr>
        <w:t xml:space="preserve">). </w:t>
      </w:r>
      <w:r w:rsidR="00D3246F" w:rsidRPr="00D3246F">
        <w:rPr>
          <w:rFonts w:eastAsiaTheme="minorEastAsia"/>
          <w:i/>
          <w:color w:val="auto"/>
          <w:lang w:val="es-CL" w:eastAsia="zh-CN"/>
        </w:rPr>
        <w:t>No vamos a dialogar con quienes tienen como fin último el aniquilamiento de nuestra gente</w:t>
      </w:r>
      <w:r w:rsidR="00D3246F">
        <w:rPr>
          <w:rFonts w:eastAsiaTheme="minorEastAsia"/>
          <w:color w:val="auto"/>
          <w:lang w:val="es-CL" w:eastAsia="zh-CN"/>
        </w:rPr>
        <w:t xml:space="preserve">. </w:t>
      </w:r>
      <w:r w:rsidR="00454D52">
        <w:rPr>
          <w:rFonts w:eastAsiaTheme="minorEastAsia"/>
          <w:color w:val="auto"/>
          <w:lang w:val="es-CL" w:eastAsia="zh-CN"/>
        </w:rPr>
        <w:t>[Comunicado de prensa]</w:t>
      </w:r>
      <w:r w:rsidRPr="00F860D9">
        <w:rPr>
          <w:rFonts w:eastAsiaTheme="minorEastAsia"/>
          <w:color w:val="auto"/>
          <w:lang w:val="es-CL" w:eastAsia="zh-CN"/>
        </w:rPr>
        <w:t>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CF5B68">
        <w:rPr>
          <w:rFonts w:eastAsiaTheme="minorEastAsia"/>
          <w:color w:val="auto"/>
          <w:lang w:val="es-CL" w:eastAsia="zh-CN"/>
        </w:rPr>
        <w:t xml:space="preserve">Dearing, J. W. &amp;: Rogers, E. M. (1992). </w:t>
      </w:r>
      <w:r w:rsidRPr="00CF5B68">
        <w:rPr>
          <w:rFonts w:eastAsiaTheme="minorEastAsia"/>
          <w:i/>
          <w:color w:val="auto"/>
          <w:lang w:val="es-CL" w:eastAsia="zh-CN"/>
        </w:rPr>
        <w:t>Communication Concepts 6: AgendaSming</w:t>
      </w:r>
      <w:r w:rsidRPr="00CF5B68">
        <w:rPr>
          <w:rFonts w:eastAsiaTheme="minorEastAsia"/>
          <w:color w:val="auto"/>
          <w:lang w:val="es-CL" w:eastAsia="zh-CN"/>
        </w:rPr>
        <w:t>. Sage.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r w:rsidRPr="00CF5B68">
        <w:rPr>
          <w:rFonts w:eastAsiaTheme="minorEastAsia"/>
          <w:color w:val="auto"/>
          <w:lang w:val="es-CL" w:eastAsia="zh-CN"/>
        </w:rPr>
        <w:t xml:space="preserve">Del Valle, Carlos (2024). </w:t>
      </w:r>
      <w:r w:rsidRPr="00F860D9">
        <w:rPr>
          <w:rFonts w:eastAsiaTheme="minorEastAsia"/>
          <w:color w:val="auto"/>
          <w:lang w:eastAsia="zh-CN"/>
        </w:rPr>
        <w:t xml:space="preserve">Genealogy of the Indigenous as an Enemy: Criticism of Moral, Criminal, and Neoliberal Reason in Chile. In S. Roy (Ed.), </w:t>
      </w:r>
      <w:r w:rsidRPr="000C4BC4">
        <w:rPr>
          <w:rFonts w:eastAsiaTheme="minorEastAsia"/>
          <w:i/>
          <w:color w:val="auto"/>
          <w:lang w:eastAsia="zh-CN"/>
        </w:rPr>
        <w:t>Encyclopedia of Race, Ethnicity, and Communication</w:t>
      </w:r>
      <w:r w:rsidRPr="00F860D9">
        <w:rPr>
          <w:rFonts w:eastAsiaTheme="minorEastAsia"/>
          <w:color w:val="auto"/>
          <w:lang w:eastAsia="zh-CN"/>
        </w:rPr>
        <w:t xml:space="preserve"> (pp. 1-19). Oxford University Press.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eastAsia="zh-CN"/>
        </w:rPr>
        <w:t xml:space="preserve">Del Valle, Carlos (2023). From Hegemonic Colonial Cultural Rhetoric to Against-Hegemonic </w:t>
      </w:r>
      <w:proofErr w:type="spellStart"/>
      <w:r w:rsidRPr="00F860D9">
        <w:rPr>
          <w:rFonts w:eastAsiaTheme="minorEastAsia"/>
          <w:color w:val="auto"/>
          <w:lang w:eastAsia="zh-CN"/>
        </w:rPr>
        <w:t>Decolonial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 Cultural Rhetoric in the Representations of the Indigenous in America. In V. </w:t>
      </w:r>
      <w:proofErr w:type="spellStart"/>
      <w:r w:rsidRPr="00F860D9">
        <w:rPr>
          <w:rFonts w:eastAsiaTheme="minorEastAsia"/>
          <w:color w:val="auto"/>
          <w:lang w:eastAsia="zh-CN"/>
        </w:rPr>
        <w:t>Luarsabishvili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 (Ed.), </w:t>
      </w:r>
      <w:r w:rsidRPr="000C4BC4">
        <w:rPr>
          <w:rFonts w:eastAsiaTheme="minorEastAsia"/>
          <w:i/>
          <w:color w:val="auto"/>
          <w:lang w:eastAsia="zh-CN"/>
        </w:rPr>
        <w:t xml:space="preserve">Cultural Rhetoric. Rhetorical Perspectives, </w:t>
      </w:r>
      <w:proofErr w:type="spellStart"/>
      <w:r w:rsidRPr="000C4BC4">
        <w:rPr>
          <w:rFonts w:eastAsiaTheme="minorEastAsia"/>
          <w:i/>
          <w:color w:val="auto"/>
          <w:lang w:eastAsia="zh-CN"/>
        </w:rPr>
        <w:t>Transferential</w:t>
      </w:r>
      <w:proofErr w:type="spellEnd"/>
      <w:r w:rsidRPr="000C4BC4">
        <w:rPr>
          <w:rFonts w:eastAsiaTheme="minorEastAsia"/>
          <w:i/>
          <w:color w:val="auto"/>
          <w:lang w:eastAsia="zh-CN"/>
        </w:rPr>
        <w:t xml:space="preserve"> Insights</w:t>
      </w:r>
      <w:r w:rsidRPr="00F860D9">
        <w:rPr>
          <w:rFonts w:eastAsiaTheme="minorEastAsia"/>
          <w:color w:val="auto"/>
          <w:lang w:eastAsia="zh-CN"/>
        </w:rPr>
        <w:t xml:space="preserve">. </w:t>
      </w:r>
      <w:r w:rsidRPr="00CF5B68">
        <w:rPr>
          <w:rFonts w:eastAsiaTheme="minorEastAsia"/>
          <w:color w:val="auto"/>
          <w:lang w:val="es-CL" w:eastAsia="zh-CN"/>
        </w:rPr>
        <w:t xml:space="preserve">New </w:t>
      </w:r>
      <w:r w:rsidR="000C4BC4" w:rsidRPr="00CF5B68">
        <w:rPr>
          <w:rFonts w:eastAsiaTheme="minorEastAsia"/>
          <w:color w:val="auto"/>
          <w:lang w:val="es-CL" w:eastAsia="zh-CN"/>
        </w:rPr>
        <w:t>Vision University Press</w:t>
      </w:r>
      <w:r w:rsidRPr="00CF5B68">
        <w:rPr>
          <w:rFonts w:eastAsiaTheme="minorEastAsia"/>
          <w:color w:val="auto"/>
          <w:lang w:val="es-CL" w:eastAsia="zh-CN"/>
        </w:rPr>
        <w:t>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Del Valle, Carlos (2022a). </w:t>
      </w:r>
      <w:r w:rsidRPr="00755344">
        <w:rPr>
          <w:rFonts w:eastAsiaTheme="minorEastAsia"/>
          <w:i/>
          <w:color w:val="auto"/>
          <w:lang w:val="es-CL" w:eastAsia="zh-CN"/>
        </w:rPr>
        <w:t>Contra-Agenda. La disputa por la agenda política y mediática</w:t>
      </w:r>
      <w:r w:rsidRPr="00F860D9">
        <w:rPr>
          <w:rFonts w:eastAsiaTheme="minorEastAsia"/>
          <w:color w:val="auto"/>
          <w:lang w:val="es-CL" w:eastAsia="zh-CN"/>
        </w:rPr>
        <w:t xml:space="preserve">. </w:t>
      </w:r>
      <w:r w:rsidRPr="00CF5B68">
        <w:rPr>
          <w:rFonts w:eastAsiaTheme="minorEastAsia"/>
          <w:color w:val="auto"/>
          <w:lang w:val="es-CL" w:eastAsia="zh-CN"/>
        </w:rPr>
        <w:t>Ed. Tirant lo Blanch.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Del Valle, Carlos (2022b).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L'ennemi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 xml:space="preserve">.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Production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 xml:space="preserve">,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médiatisation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 xml:space="preserve"> et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globalisation</w:t>
      </w:r>
      <w:proofErr w:type="spellEnd"/>
      <w:r w:rsidR="00755344">
        <w:rPr>
          <w:rFonts w:eastAsiaTheme="minorEastAsia"/>
          <w:color w:val="auto"/>
          <w:lang w:val="es-CL" w:eastAsia="zh-CN"/>
        </w:rPr>
        <w:t xml:space="preserve">. </w:t>
      </w:r>
      <w:r w:rsidRPr="0030611F">
        <w:rPr>
          <w:rFonts w:eastAsiaTheme="minorEastAsia"/>
          <w:color w:val="auto"/>
          <w:lang w:val="es-CL" w:eastAsia="zh-CN"/>
        </w:rPr>
        <w:t xml:space="preserve">Ediciones L’ </w:t>
      </w:r>
      <w:proofErr w:type="spellStart"/>
      <w:r w:rsidRPr="0030611F">
        <w:rPr>
          <w:rFonts w:eastAsiaTheme="minorEastAsia"/>
          <w:color w:val="auto"/>
          <w:lang w:val="es-CL" w:eastAsia="zh-CN"/>
        </w:rPr>
        <w:t>Harmattan</w:t>
      </w:r>
      <w:proofErr w:type="spellEnd"/>
      <w:r w:rsidRPr="0030611F">
        <w:rPr>
          <w:rFonts w:eastAsiaTheme="minorEastAsia"/>
          <w:color w:val="auto"/>
          <w:lang w:val="es-CL" w:eastAsia="zh-CN"/>
        </w:rPr>
        <w:t>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CF5B68">
        <w:rPr>
          <w:rFonts w:eastAsiaTheme="minorEastAsia"/>
          <w:color w:val="auto"/>
          <w:lang w:eastAsia="zh-CN"/>
        </w:rPr>
        <w:t xml:space="preserve">Del Valle, Carlos (2022c). </w:t>
      </w:r>
      <w:r w:rsidRPr="00F860D9">
        <w:rPr>
          <w:rFonts w:eastAsiaTheme="minorEastAsia"/>
          <w:color w:val="auto"/>
          <w:lang w:eastAsia="zh-CN"/>
        </w:rPr>
        <w:t xml:space="preserve">Making Enemies: The Cultural Industry and the New </w:t>
      </w:r>
      <w:proofErr w:type="spellStart"/>
      <w:r w:rsidRPr="00F860D9">
        <w:rPr>
          <w:rFonts w:eastAsiaTheme="minorEastAsia"/>
          <w:color w:val="auto"/>
          <w:lang w:eastAsia="zh-CN"/>
        </w:rPr>
        <w:t>Enemisation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 Modes. In C. Del Valle y F. Sierra (Eds.), </w:t>
      </w:r>
      <w:proofErr w:type="spellStart"/>
      <w:r w:rsidRPr="00755344">
        <w:rPr>
          <w:rFonts w:eastAsiaTheme="minorEastAsia"/>
          <w:i/>
          <w:color w:val="auto"/>
          <w:lang w:eastAsia="zh-CN"/>
        </w:rPr>
        <w:t>Communicology</w:t>
      </w:r>
      <w:proofErr w:type="spellEnd"/>
      <w:r w:rsidRPr="00755344">
        <w:rPr>
          <w:rFonts w:eastAsiaTheme="minorEastAsia"/>
          <w:i/>
          <w:color w:val="auto"/>
          <w:lang w:eastAsia="zh-CN"/>
        </w:rPr>
        <w:t xml:space="preserve"> of the South</w:t>
      </w:r>
      <w:r w:rsidR="00755344">
        <w:rPr>
          <w:rFonts w:eastAsiaTheme="minorEastAsia"/>
          <w:i/>
          <w:color w:val="auto"/>
          <w:lang w:eastAsia="zh-CN"/>
        </w:rPr>
        <w:t>.</w:t>
      </w:r>
      <w:r w:rsidRPr="00755344">
        <w:rPr>
          <w:rFonts w:eastAsiaTheme="minorEastAsia"/>
          <w:i/>
          <w:color w:val="auto"/>
          <w:lang w:eastAsia="zh-CN"/>
        </w:rPr>
        <w:t xml:space="preserve"> Critical Perspectives from Latin America</w:t>
      </w:r>
      <w:r w:rsidRPr="00F860D9">
        <w:rPr>
          <w:rFonts w:eastAsiaTheme="minorEastAsia"/>
          <w:color w:val="auto"/>
          <w:lang w:eastAsia="zh-CN"/>
        </w:rPr>
        <w:t xml:space="preserve">. </w:t>
      </w:r>
      <w:r w:rsidRPr="00CF5B68">
        <w:rPr>
          <w:rFonts w:eastAsiaTheme="minorEastAsia"/>
          <w:color w:val="auto"/>
          <w:lang w:val="es-CL" w:eastAsia="zh-CN"/>
        </w:rPr>
        <w:t>Palgrave Macmillan.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Gitlin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T. (1986). Convertir a los movimientos de protesta en temas periodísticos. In D.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Graber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(Comp.), </w:t>
      </w:r>
      <w:r w:rsidRPr="00755344">
        <w:rPr>
          <w:rFonts w:eastAsiaTheme="minorEastAsia"/>
          <w:i/>
          <w:color w:val="auto"/>
          <w:lang w:val="es-CL" w:eastAsia="zh-CN"/>
        </w:rPr>
        <w:t>El poder de los medios en la política</w:t>
      </w:r>
      <w:r w:rsidRPr="00F860D9">
        <w:rPr>
          <w:rFonts w:eastAsiaTheme="minorEastAsia"/>
          <w:color w:val="auto"/>
          <w:lang w:val="es-CL" w:eastAsia="zh-CN"/>
        </w:rPr>
        <w:t xml:space="preserve">. </w:t>
      </w:r>
      <w:r w:rsidRPr="00CF5B68">
        <w:rPr>
          <w:rFonts w:eastAsiaTheme="minorEastAsia"/>
          <w:color w:val="auto"/>
          <w:lang w:eastAsia="zh-CN"/>
        </w:rPr>
        <w:t>Grupo Editor Latinoamericano.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r w:rsidRPr="00CF5B68">
        <w:rPr>
          <w:rFonts w:eastAsiaTheme="minorEastAsia"/>
          <w:color w:val="auto"/>
          <w:lang w:eastAsia="zh-CN"/>
        </w:rPr>
        <w:lastRenderedPageBreak/>
        <w:t xml:space="preserve">Guo, L., Vu, H. &amp; McCombs, M. (2012). </w:t>
      </w:r>
      <w:r w:rsidRPr="00F860D9">
        <w:rPr>
          <w:rFonts w:eastAsiaTheme="minorEastAsia"/>
          <w:color w:val="auto"/>
          <w:lang w:eastAsia="zh-CN"/>
        </w:rPr>
        <w:t xml:space="preserve">An Expanded Perspective on Agenda-Setting Effects. Exploring the third level of agenda setting. </w:t>
      </w:r>
      <w:proofErr w:type="spellStart"/>
      <w:r w:rsidRPr="00BE3E35">
        <w:rPr>
          <w:rFonts w:eastAsiaTheme="minorEastAsia"/>
          <w:i/>
          <w:color w:val="auto"/>
          <w:lang w:eastAsia="zh-CN"/>
        </w:rPr>
        <w:t>Revista</w:t>
      </w:r>
      <w:proofErr w:type="spellEnd"/>
      <w:r w:rsidRPr="00BE3E35">
        <w:rPr>
          <w:rFonts w:eastAsiaTheme="minorEastAsia"/>
          <w:i/>
          <w:color w:val="auto"/>
          <w:lang w:eastAsia="zh-CN"/>
        </w:rPr>
        <w:t xml:space="preserve"> de </w:t>
      </w:r>
      <w:proofErr w:type="spellStart"/>
      <w:r w:rsidRPr="00BE3E35">
        <w:rPr>
          <w:rFonts w:eastAsiaTheme="minorEastAsia"/>
          <w:i/>
          <w:color w:val="auto"/>
          <w:lang w:eastAsia="zh-CN"/>
        </w:rPr>
        <w:t>Comunicación</w:t>
      </w:r>
      <w:proofErr w:type="spellEnd"/>
      <w:r w:rsidRPr="00F860D9">
        <w:rPr>
          <w:rFonts w:eastAsiaTheme="minorEastAsia"/>
          <w:color w:val="auto"/>
          <w:lang w:eastAsia="zh-CN"/>
        </w:rPr>
        <w:t>, 11, 51-68.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r w:rsidRPr="00F860D9">
        <w:rPr>
          <w:rFonts w:eastAsiaTheme="minorEastAsia"/>
          <w:color w:val="auto"/>
          <w:lang w:eastAsia="zh-CN"/>
        </w:rPr>
        <w:t xml:space="preserve">Gutiérrez, F. (2014): </w:t>
      </w:r>
      <w:r w:rsidRPr="00755344">
        <w:rPr>
          <w:rFonts w:eastAsiaTheme="minorEastAsia"/>
          <w:i/>
          <w:color w:val="auto"/>
          <w:lang w:eastAsia="zh-CN"/>
        </w:rPr>
        <w:t xml:space="preserve">We </w:t>
      </w:r>
      <w:proofErr w:type="spellStart"/>
      <w:r w:rsidRPr="00755344">
        <w:rPr>
          <w:rFonts w:eastAsiaTheme="minorEastAsia"/>
          <w:i/>
          <w:color w:val="auto"/>
          <w:lang w:eastAsia="zh-CN"/>
        </w:rPr>
        <w:t>Aukiñ</w:t>
      </w:r>
      <w:proofErr w:type="spellEnd"/>
      <w:r w:rsidRPr="00755344">
        <w:rPr>
          <w:rFonts w:eastAsiaTheme="minorEastAsia"/>
          <w:i/>
          <w:color w:val="auto"/>
          <w:lang w:eastAsia="zh-CN"/>
        </w:rPr>
        <w:t xml:space="preserve"> </w:t>
      </w:r>
      <w:proofErr w:type="spellStart"/>
      <w:r w:rsidRPr="00755344">
        <w:rPr>
          <w:rFonts w:eastAsiaTheme="minorEastAsia"/>
          <w:i/>
          <w:color w:val="auto"/>
          <w:lang w:eastAsia="zh-CN"/>
        </w:rPr>
        <w:t>Zugu</w:t>
      </w:r>
      <w:proofErr w:type="spellEnd"/>
      <w:r w:rsidRPr="00755344">
        <w:rPr>
          <w:rFonts w:eastAsiaTheme="minorEastAsia"/>
          <w:i/>
          <w:color w:val="auto"/>
          <w:lang w:eastAsia="zh-CN"/>
        </w:rPr>
        <w:t xml:space="preserve">. </w:t>
      </w:r>
      <w:r w:rsidRPr="00755344">
        <w:rPr>
          <w:rFonts w:eastAsiaTheme="minorEastAsia"/>
          <w:i/>
          <w:color w:val="auto"/>
          <w:lang w:val="es-CL" w:eastAsia="zh-CN"/>
        </w:rPr>
        <w:t>Historia de los medios de comunicación mapuche</w:t>
      </w:r>
      <w:r w:rsidRPr="00F860D9">
        <w:rPr>
          <w:rFonts w:eastAsiaTheme="minorEastAsia"/>
          <w:color w:val="auto"/>
          <w:lang w:val="es-CL" w:eastAsia="zh-CN"/>
        </w:rPr>
        <w:t xml:space="preserve">. </w:t>
      </w:r>
      <w:r w:rsidRPr="00CF5B68">
        <w:rPr>
          <w:rFonts w:eastAsiaTheme="minorEastAsia"/>
          <w:color w:val="auto"/>
          <w:lang w:eastAsia="zh-CN"/>
        </w:rPr>
        <w:t>Editorial Quimantú.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r w:rsidRPr="00CF5B68">
        <w:rPr>
          <w:rFonts w:eastAsiaTheme="minorEastAsia"/>
          <w:color w:val="auto"/>
          <w:lang w:eastAsia="zh-CN"/>
        </w:rPr>
        <w:t xml:space="preserve">Lang, G. y Lang, K. (1981). </w:t>
      </w:r>
      <w:r w:rsidRPr="00F860D9">
        <w:rPr>
          <w:rFonts w:eastAsiaTheme="minorEastAsia"/>
          <w:color w:val="auto"/>
          <w:lang w:eastAsia="zh-CN"/>
        </w:rPr>
        <w:t xml:space="preserve">Watergate: An Exploration of the Agenda-Building Process. In G. Cleveland (Ed.), </w:t>
      </w:r>
      <w:r w:rsidRPr="00755344">
        <w:rPr>
          <w:rFonts w:eastAsiaTheme="minorEastAsia"/>
          <w:i/>
          <w:color w:val="auto"/>
          <w:lang w:eastAsia="zh-CN"/>
        </w:rPr>
        <w:t>Mass Communication Review Yearbook</w:t>
      </w:r>
      <w:r w:rsidRPr="00F860D9">
        <w:rPr>
          <w:rFonts w:eastAsiaTheme="minorEastAsia"/>
          <w:color w:val="auto"/>
          <w:lang w:eastAsia="zh-CN"/>
        </w:rPr>
        <w:t xml:space="preserve"> (</w:t>
      </w:r>
      <w:r w:rsidR="00755344">
        <w:rPr>
          <w:rFonts w:eastAsiaTheme="minorEastAsia"/>
          <w:color w:val="auto"/>
          <w:lang w:eastAsia="zh-CN"/>
        </w:rPr>
        <w:t xml:space="preserve">pp. </w:t>
      </w:r>
      <w:r w:rsidRPr="00F860D9">
        <w:rPr>
          <w:rFonts w:eastAsiaTheme="minorEastAsia"/>
          <w:color w:val="auto"/>
          <w:lang w:eastAsia="zh-CN"/>
        </w:rPr>
        <w:t>447-468). Sage.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eastAsia="zh-CN"/>
        </w:rPr>
        <w:t xml:space="preserve">McCombs, M. (2012). Civic osmosis: The social Impact of Media. </w:t>
      </w:r>
      <w:r w:rsidRPr="00BE3E35">
        <w:rPr>
          <w:rFonts w:eastAsiaTheme="minorEastAsia"/>
          <w:i/>
          <w:color w:val="auto"/>
          <w:lang w:val="es-CL" w:eastAsia="zh-CN"/>
        </w:rPr>
        <w:t>Comunicación y Sociedad</w:t>
      </w:r>
      <w:r w:rsidRPr="0030611F">
        <w:rPr>
          <w:rFonts w:eastAsiaTheme="minorEastAsia"/>
          <w:color w:val="auto"/>
          <w:lang w:val="es-CL" w:eastAsia="zh-CN"/>
        </w:rPr>
        <w:t xml:space="preserve">, </w:t>
      </w:r>
      <w:proofErr w:type="gramStart"/>
      <w:r w:rsidRPr="0030611F">
        <w:rPr>
          <w:rFonts w:eastAsiaTheme="minorEastAsia"/>
          <w:color w:val="auto"/>
          <w:lang w:val="es-CL" w:eastAsia="zh-CN"/>
        </w:rPr>
        <w:t>XXV(</w:t>
      </w:r>
      <w:proofErr w:type="gramEnd"/>
      <w:r w:rsidRPr="0030611F">
        <w:rPr>
          <w:rFonts w:eastAsiaTheme="minorEastAsia"/>
          <w:color w:val="auto"/>
          <w:lang w:val="es-CL" w:eastAsia="zh-CN"/>
        </w:rPr>
        <w:t>1), 7-14.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CF5B68">
        <w:rPr>
          <w:rFonts w:eastAsiaTheme="minorEastAsia"/>
          <w:color w:val="auto"/>
          <w:lang w:val="es-CL" w:eastAsia="zh-CN"/>
        </w:rPr>
        <w:t xml:space="preserve">McCombs, M., &amp; Shaw, D. L. (1972). </w:t>
      </w:r>
      <w:r w:rsidRPr="00F860D9">
        <w:rPr>
          <w:rFonts w:eastAsiaTheme="minorEastAsia"/>
          <w:color w:val="auto"/>
          <w:lang w:eastAsia="zh-CN"/>
        </w:rPr>
        <w:t xml:space="preserve">Agenda-setting function of mass media. </w:t>
      </w:r>
      <w:r w:rsidRPr="00CF5B68">
        <w:rPr>
          <w:rFonts w:eastAsiaTheme="minorEastAsia"/>
          <w:i/>
          <w:color w:val="auto"/>
          <w:lang w:val="es-CL" w:eastAsia="zh-CN"/>
        </w:rPr>
        <w:t>Public Opinion Quarterly</w:t>
      </w:r>
      <w:r w:rsidRPr="00CF5B68">
        <w:rPr>
          <w:rFonts w:eastAsiaTheme="minorEastAsia"/>
          <w:color w:val="auto"/>
          <w:lang w:val="es-CL" w:eastAsia="zh-CN"/>
        </w:rPr>
        <w:t>, 36(2), 176-187.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Mosco,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Vincent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(2009). </w:t>
      </w:r>
      <w:r w:rsidRPr="00755344">
        <w:rPr>
          <w:rFonts w:eastAsiaTheme="minorEastAsia"/>
          <w:i/>
          <w:color w:val="auto"/>
          <w:lang w:val="es-CL" w:eastAsia="zh-CN"/>
        </w:rPr>
        <w:t>La economía política de la comunicación. Reformulación y renovación</w:t>
      </w:r>
      <w:r w:rsidR="00755344">
        <w:rPr>
          <w:rFonts w:eastAsiaTheme="minorEastAsia"/>
          <w:color w:val="auto"/>
          <w:lang w:val="es-CL" w:eastAsia="zh-CN"/>
        </w:rPr>
        <w:t xml:space="preserve">. </w:t>
      </w:r>
      <w:r w:rsidRPr="00F860D9">
        <w:rPr>
          <w:rFonts w:eastAsiaTheme="minorEastAsia"/>
          <w:color w:val="auto"/>
          <w:lang w:val="es-CL" w:eastAsia="zh-CN"/>
        </w:rPr>
        <w:t>Editorial Bosch.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Muleiro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H. (2006). </w:t>
      </w:r>
      <w:r w:rsidRPr="00755344">
        <w:rPr>
          <w:rFonts w:eastAsiaTheme="minorEastAsia"/>
          <w:i/>
          <w:color w:val="auto"/>
          <w:lang w:val="es-CL" w:eastAsia="zh-CN"/>
        </w:rPr>
        <w:t>Al margen de la agenda. Noticias, discriminación y exclusión</w:t>
      </w:r>
      <w:r w:rsidRPr="00F860D9">
        <w:rPr>
          <w:rFonts w:eastAsiaTheme="minorEastAsia"/>
          <w:color w:val="auto"/>
          <w:lang w:val="es-CL" w:eastAsia="zh-CN"/>
        </w:rPr>
        <w:t>. Fondo de Cultura Económica.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eastAsia="zh-CN"/>
        </w:rPr>
        <w:t>Obregón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, R. &amp; </w:t>
      </w:r>
      <w:proofErr w:type="spellStart"/>
      <w:r w:rsidRPr="00F860D9">
        <w:rPr>
          <w:rFonts w:eastAsiaTheme="minorEastAsia"/>
          <w:color w:val="auto"/>
          <w:lang w:eastAsia="zh-CN"/>
        </w:rPr>
        <w:t>Tufte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, Th. (2017). Communication, Social Movements, and Collective Action: Toward a New Research Agenda in Communication for Development and Social Change. </w:t>
      </w:r>
      <w:r w:rsidRPr="00CF5B68">
        <w:rPr>
          <w:rFonts w:eastAsiaTheme="minorEastAsia"/>
          <w:i/>
          <w:color w:val="auto"/>
          <w:lang w:val="es-CL" w:eastAsia="zh-CN"/>
        </w:rPr>
        <w:t>Journal of Communication</w:t>
      </w:r>
      <w:r w:rsidRPr="00CF5B68">
        <w:rPr>
          <w:rFonts w:eastAsiaTheme="minorEastAsia"/>
          <w:color w:val="auto"/>
          <w:lang w:val="es-CL" w:eastAsia="zh-CN"/>
        </w:rPr>
        <w:t>, 67, 635-645.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Orozco, G. (1998). De las mediaciones a los medios. Contribuciones de la obra de Martín-Barbero al estudio de los medios y sus procesos de recepción. In M. Laverde y R. Reguillo (Dir.), </w:t>
      </w:r>
      <w:r w:rsidRPr="00755344">
        <w:rPr>
          <w:rFonts w:eastAsiaTheme="minorEastAsia"/>
          <w:i/>
          <w:color w:val="auto"/>
          <w:lang w:val="es-CL" w:eastAsia="zh-CN"/>
        </w:rPr>
        <w:t>Mapas Nocturnos. Diálogos con la obra de Jesús Martín Barbero</w:t>
      </w:r>
      <w:r w:rsidRPr="00F860D9">
        <w:rPr>
          <w:rFonts w:eastAsiaTheme="minorEastAsia"/>
          <w:color w:val="auto"/>
          <w:lang w:val="es-CL" w:eastAsia="zh-CN"/>
        </w:rPr>
        <w:t xml:space="preserve"> (pp. 91-101). </w:t>
      </w:r>
      <w:r w:rsidRPr="0030611F">
        <w:rPr>
          <w:rFonts w:eastAsiaTheme="minorEastAsia"/>
          <w:color w:val="auto"/>
          <w:lang w:val="es-CL" w:eastAsia="zh-CN"/>
        </w:rPr>
        <w:t>Bogotá: Siglo del Hombre Editores, Universidad Central - DIUC.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Orozco, G. y González, R. (2012). </w:t>
      </w:r>
      <w:r w:rsidRPr="00755344">
        <w:rPr>
          <w:rFonts w:eastAsiaTheme="minorEastAsia"/>
          <w:i/>
          <w:color w:val="auto"/>
          <w:lang w:val="es-CL" w:eastAsia="zh-CN"/>
        </w:rPr>
        <w:t>Una coartada metodológica. Abordajes cualitativos en la investigación en comunicación, medios y audiencias</w:t>
      </w:r>
      <w:r w:rsidR="00755344">
        <w:rPr>
          <w:rFonts w:eastAsiaTheme="minorEastAsia"/>
          <w:color w:val="auto"/>
          <w:lang w:val="es-CL" w:eastAsia="zh-CN"/>
        </w:rPr>
        <w:t xml:space="preserve">. </w:t>
      </w:r>
      <w:r w:rsidRPr="0030611F">
        <w:rPr>
          <w:rFonts w:eastAsiaTheme="minorEastAsia"/>
          <w:color w:val="auto"/>
          <w:lang w:val="es-CL" w:eastAsia="zh-CN"/>
        </w:rPr>
        <w:t xml:space="preserve">Productora de Contenidos Culturales </w:t>
      </w:r>
      <w:proofErr w:type="spellStart"/>
      <w:r w:rsidRPr="0030611F">
        <w:rPr>
          <w:rFonts w:eastAsiaTheme="minorEastAsia"/>
          <w:color w:val="auto"/>
          <w:lang w:val="es-CL" w:eastAsia="zh-CN"/>
        </w:rPr>
        <w:t>Sagahón</w:t>
      </w:r>
      <w:proofErr w:type="spellEnd"/>
      <w:r w:rsidRPr="0030611F">
        <w:rPr>
          <w:rFonts w:eastAsiaTheme="minorEastAsia"/>
          <w:color w:val="auto"/>
          <w:lang w:val="es-CL" w:eastAsia="zh-CN"/>
        </w:rPr>
        <w:t xml:space="preserve"> </w:t>
      </w:r>
      <w:proofErr w:type="spellStart"/>
      <w:r w:rsidRPr="0030611F">
        <w:rPr>
          <w:rFonts w:eastAsiaTheme="minorEastAsia"/>
          <w:color w:val="auto"/>
          <w:lang w:val="es-CL" w:eastAsia="zh-CN"/>
        </w:rPr>
        <w:t>Repoll</w:t>
      </w:r>
      <w:proofErr w:type="spellEnd"/>
      <w:r w:rsidRPr="0030611F">
        <w:rPr>
          <w:rFonts w:eastAsiaTheme="minorEastAsia"/>
          <w:color w:val="auto"/>
          <w:lang w:val="es-CL" w:eastAsia="zh-CN"/>
        </w:rPr>
        <w:t>.</w:t>
      </w:r>
    </w:p>
    <w:p w:rsidR="00F860D9" w:rsidRPr="0030611F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Pairicán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F. y Álvarez, R. (2011). La Nueva Guerra de Arauco: La Coordinadora Arauco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Malleco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en el Chile de la Concertación de Partidos por la Democracia (1997-2009). </w:t>
      </w:r>
      <w:r w:rsidRPr="00BE3E35">
        <w:rPr>
          <w:rFonts w:eastAsiaTheme="minorEastAsia"/>
          <w:i/>
          <w:color w:val="auto"/>
          <w:lang w:val="es-CL" w:eastAsia="zh-CN"/>
        </w:rPr>
        <w:t>Revista www.izquierdas.cl</w:t>
      </w:r>
      <w:r w:rsidRPr="0030611F">
        <w:rPr>
          <w:rFonts w:eastAsiaTheme="minorEastAsia"/>
          <w:color w:val="auto"/>
          <w:lang w:val="es-CL" w:eastAsia="zh-CN"/>
        </w:rPr>
        <w:t>, 10, 66-84.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rPr>
          <w:rFonts w:eastAsiaTheme="minorEastAsia"/>
          <w:color w:val="auto"/>
          <w:lang w:eastAsia="zh-CN"/>
        </w:rPr>
      </w:pPr>
      <w:r w:rsidRPr="00F860D9">
        <w:rPr>
          <w:rFonts w:eastAsiaTheme="minorEastAsia"/>
          <w:color w:val="auto"/>
          <w:lang w:val="es-CL" w:eastAsia="zh-CN"/>
        </w:rPr>
        <w:t xml:space="preserve">Proclama de la Coordinadora de Resistencia Mapuche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Pelentaro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 (1986). </w:t>
      </w:r>
      <w:r w:rsidRPr="00CF5B68">
        <w:rPr>
          <w:rFonts w:eastAsiaTheme="minorEastAsia"/>
          <w:color w:val="auto"/>
          <w:lang w:eastAsia="zh-CN"/>
        </w:rPr>
        <w:t>Butahuillimapu, junio de 1986.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eastAsia="zh-CN"/>
        </w:rPr>
        <w:t xml:space="preserve">Roberts, D. (1972). The Nature of Communication Effects. In W. Schramm &amp; D. Roberts (Eds.), </w:t>
      </w:r>
      <w:r w:rsidRPr="00755344">
        <w:rPr>
          <w:rFonts w:eastAsiaTheme="minorEastAsia"/>
          <w:i/>
          <w:color w:val="auto"/>
          <w:lang w:eastAsia="zh-CN"/>
        </w:rPr>
        <w:t>The Process and Effects of Mass-Communications</w:t>
      </w:r>
      <w:r w:rsidRPr="00F860D9">
        <w:rPr>
          <w:rFonts w:eastAsiaTheme="minorEastAsia"/>
          <w:color w:val="auto"/>
          <w:lang w:eastAsia="zh-CN"/>
        </w:rPr>
        <w:t xml:space="preserve"> (p</w:t>
      </w:r>
      <w:r w:rsidR="00755344">
        <w:rPr>
          <w:rFonts w:eastAsiaTheme="minorEastAsia"/>
          <w:color w:val="auto"/>
          <w:lang w:eastAsia="zh-CN"/>
        </w:rPr>
        <w:t>p</w:t>
      </w:r>
      <w:r w:rsidRPr="00F860D9">
        <w:rPr>
          <w:rFonts w:eastAsiaTheme="minorEastAsia"/>
          <w:color w:val="auto"/>
          <w:lang w:eastAsia="zh-CN"/>
        </w:rPr>
        <w:t xml:space="preserve">. 997). </w:t>
      </w:r>
      <w:r w:rsidRPr="00CF5B68">
        <w:rPr>
          <w:rFonts w:eastAsiaTheme="minorEastAsia"/>
          <w:color w:val="auto"/>
          <w:lang w:val="es-CL" w:eastAsia="zh-CN"/>
        </w:rPr>
        <w:t>University of Illinois Press.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30611F">
        <w:rPr>
          <w:rFonts w:eastAsiaTheme="minorEastAsia"/>
          <w:color w:val="auto"/>
          <w:lang w:val="es-CL" w:eastAsia="zh-CN"/>
        </w:rPr>
        <w:t xml:space="preserve">Rojas, N. y Miranda, O. (2015). </w:t>
      </w:r>
      <w:r w:rsidRPr="00F860D9">
        <w:rPr>
          <w:rFonts w:eastAsiaTheme="minorEastAsia"/>
          <w:color w:val="auto"/>
          <w:lang w:val="es-CL" w:eastAsia="zh-CN"/>
        </w:rPr>
        <w:t xml:space="preserve">Dinámica sociopolítica del conflicto y la violencia en territorio mapuche. Particularidades históricas de un nuevo ciclo en las relaciones contenciosas. </w:t>
      </w:r>
      <w:r w:rsidRPr="00CF5B68">
        <w:rPr>
          <w:rFonts w:eastAsiaTheme="minorEastAsia"/>
          <w:i/>
          <w:color w:val="auto"/>
          <w:lang w:val="es-CL" w:eastAsia="zh-CN"/>
        </w:rPr>
        <w:t>Revista de Sociología</w:t>
      </w:r>
      <w:r w:rsidRPr="00CF5B68">
        <w:rPr>
          <w:rFonts w:eastAsiaTheme="minorEastAsia"/>
          <w:color w:val="auto"/>
          <w:lang w:val="es-CL" w:eastAsia="zh-CN"/>
        </w:rPr>
        <w:t>, 30, 33-69.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rPr>
          <w:rFonts w:eastAsiaTheme="minorEastAsia"/>
          <w:color w:val="auto"/>
          <w:lang w:val="es-CL"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Sádaba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T. (2008).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Framing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>: el encuadre de las noticias. El binomio terrorismo-medios</w:t>
      </w:r>
      <w:r w:rsidR="00755344">
        <w:rPr>
          <w:rFonts w:eastAsiaTheme="minorEastAsia"/>
          <w:color w:val="auto"/>
          <w:lang w:val="es-CL" w:eastAsia="zh-CN"/>
        </w:rPr>
        <w:t xml:space="preserve">. </w:t>
      </w:r>
      <w:r w:rsidRPr="00F860D9">
        <w:rPr>
          <w:rFonts w:eastAsiaTheme="minorEastAsia"/>
          <w:color w:val="auto"/>
          <w:lang w:val="es-CL" w:eastAsia="zh-CN"/>
        </w:rPr>
        <w:t>La Crujía.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proofErr w:type="spellStart"/>
      <w:r w:rsidRPr="00F860D9">
        <w:rPr>
          <w:rFonts w:eastAsiaTheme="minorEastAsia"/>
          <w:color w:val="auto"/>
          <w:lang w:eastAsia="zh-CN"/>
        </w:rPr>
        <w:t>Sheafer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, T. and </w:t>
      </w:r>
      <w:proofErr w:type="spellStart"/>
      <w:r w:rsidRPr="00F860D9">
        <w:rPr>
          <w:rFonts w:eastAsiaTheme="minorEastAsia"/>
          <w:color w:val="auto"/>
          <w:lang w:eastAsia="zh-CN"/>
        </w:rPr>
        <w:t>Weimann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, G. (2005). Agenda Building, Agenda Setting, Priming, Individual Voting Intentions, and the Aggregate Results: An Analysis of Four Israeli Elections. </w:t>
      </w:r>
      <w:r w:rsidRPr="00755344">
        <w:rPr>
          <w:rFonts w:eastAsiaTheme="minorEastAsia"/>
          <w:i/>
          <w:color w:val="auto"/>
          <w:lang w:eastAsia="zh-CN"/>
        </w:rPr>
        <w:t>Journal of Communication</w:t>
      </w:r>
      <w:r w:rsidRPr="00F860D9">
        <w:rPr>
          <w:rFonts w:eastAsiaTheme="minorEastAsia"/>
          <w:color w:val="auto"/>
          <w:lang w:eastAsia="zh-CN"/>
        </w:rPr>
        <w:t>, 55(2), 347-365. https://doi.org/10.1111/j.1460-2466.2005.tb02676.x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30611F">
        <w:rPr>
          <w:rFonts w:eastAsiaTheme="minorEastAsia"/>
          <w:color w:val="auto"/>
          <w:lang w:eastAsia="zh-CN"/>
        </w:rPr>
        <w:t xml:space="preserve">Sierra, F. (Ed.) </w:t>
      </w:r>
      <w:r w:rsidRPr="00F860D9">
        <w:rPr>
          <w:rFonts w:eastAsiaTheme="minorEastAsia"/>
          <w:color w:val="auto"/>
          <w:lang w:val="es-CL" w:eastAsia="zh-CN"/>
        </w:rPr>
        <w:t xml:space="preserve">(2021): </w:t>
      </w:r>
      <w:proofErr w:type="spellStart"/>
      <w:r w:rsidRPr="00755344">
        <w:rPr>
          <w:rFonts w:eastAsiaTheme="minorEastAsia"/>
          <w:i/>
          <w:color w:val="auto"/>
          <w:lang w:val="es-CL" w:eastAsia="zh-CN"/>
        </w:rPr>
        <w:t>Ciberactivismo</w:t>
      </w:r>
      <w:proofErr w:type="spellEnd"/>
      <w:r w:rsidRPr="00755344">
        <w:rPr>
          <w:rFonts w:eastAsiaTheme="minorEastAsia"/>
          <w:i/>
          <w:color w:val="auto"/>
          <w:lang w:val="es-CL" w:eastAsia="zh-CN"/>
        </w:rPr>
        <w:t xml:space="preserve"> y nuevos movimientos urbanos. La producción de la nueva ciudadanía digital</w:t>
      </w:r>
      <w:r w:rsidR="00755344">
        <w:rPr>
          <w:rFonts w:eastAsiaTheme="minorEastAsia"/>
          <w:color w:val="auto"/>
          <w:lang w:val="es-CL" w:eastAsia="zh-CN"/>
        </w:rPr>
        <w:t xml:space="preserve">. </w:t>
      </w:r>
      <w:r w:rsidRPr="00F860D9">
        <w:rPr>
          <w:rFonts w:eastAsiaTheme="minorEastAsia"/>
          <w:color w:val="auto"/>
          <w:lang w:val="es-CL" w:eastAsia="zh-CN"/>
        </w:rPr>
        <w:t>ACCI Ediciones.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r w:rsidRPr="00CF5B68">
        <w:rPr>
          <w:rFonts w:eastAsiaTheme="minorEastAsia"/>
          <w:color w:val="auto"/>
          <w:lang w:val="es-CL" w:eastAsia="zh-CN"/>
        </w:rPr>
        <w:t xml:space="preserve">Weaver, D., Graber, D., McCombs, M., &amp; Eyal, C. (1981). </w:t>
      </w:r>
      <w:r w:rsidRPr="00755344">
        <w:rPr>
          <w:rFonts w:eastAsiaTheme="minorEastAsia"/>
          <w:i/>
          <w:color w:val="auto"/>
          <w:lang w:eastAsia="zh-CN"/>
        </w:rPr>
        <w:t>Media Agenda Setting in a Presidential Election: Issues, Images and Interest</w:t>
      </w:r>
      <w:r w:rsidR="00755344">
        <w:rPr>
          <w:rFonts w:eastAsiaTheme="minorEastAsia"/>
          <w:color w:val="auto"/>
          <w:lang w:eastAsia="zh-CN"/>
        </w:rPr>
        <w:t xml:space="preserve">. </w:t>
      </w:r>
      <w:proofErr w:type="spellStart"/>
      <w:r w:rsidRPr="00F860D9">
        <w:rPr>
          <w:rFonts w:eastAsiaTheme="minorEastAsia"/>
          <w:color w:val="auto"/>
          <w:lang w:eastAsia="zh-CN"/>
        </w:rPr>
        <w:t>Praeger</w:t>
      </w:r>
      <w:proofErr w:type="spellEnd"/>
      <w:r w:rsidRPr="00F860D9">
        <w:rPr>
          <w:rFonts w:eastAsiaTheme="minorEastAsia"/>
          <w:color w:val="auto"/>
          <w:lang w:eastAsia="zh-CN"/>
        </w:rPr>
        <w:t>.</w:t>
      </w:r>
    </w:p>
    <w:p w:rsidR="00F860D9" w:rsidRPr="00F860D9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proofErr w:type="spellStart"/>
      <w:r w:rsidRPr="00F860D9">
        <w:rPr>
          <w:rFonts w:eastAsiaTheme="minorEastAsia"/>
          <w:color w:val="auto"/>
          <w:lang w:eastAsia="zh-CN"/>
        </w:rPr>
        <w:t>Youmans</w:t>
      </w:r>
      <w:proofErr w:type="spellEnd"/>
      <w:r w:rsidRPr="00F860D9">
        <w:rPr>
          <w:rFonts w:eastAsiaTheme="minorEastAsia"/>
          <w:color w:val="auto"/>
          <w:lang w:eastAsia="zh-CN"/>
        </w:rPr>
        <w:t xml:space="preserve">, W. &amp; York, J. (2012). Social Media and the Activist Toolkit: User Agreements, Corporate Interests, and the Information Infrastructure of Modern Social Movements. </w:t>
      </w:r>
      <w:r w:rsidRPr="00BE3E35">
        <w:rPr>
          <w:rFonts w:eastAsiaTheme="minorEastAsia"/>
          <w:i/>
          <w:color w:val="auto"/>
          <w:lang w:eastAsia="zh-CN"/>
        </w:rPr>
        <w:t>Journal of Communication</w:t>
      </w:r>
      <w:r w:rsidRPr="00F860D9">
        <w:rPr>
          <w:rFonts w:eastAsiaTheme="minorEastAsia"/>
          <w:color w:val="auto"/>
          <w:lang w:eastAsia="zh-CN"/>
        </w:rPr>
        <w:t>, 6(2), 315–329. https://doi.org/10.1111/j.1460-2466.2012.01636.x</w:t>
      </w:r>
    </w:p>
    <w:p w:rsidR="00F860D9" w:rsidRPr="00CF5B68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val="es-CL" w:eastAsia="zh-CN"/>
        </w:rPr>
      </w:pPr>
      <w:r w:rsidRPr="00F860D9">
        <w:rPr>
          <w:rFonts w:eastAsiaTheme="minorEastAsia"/>
          <w:color w:val="auto"/>
          <w:lang w:eastAsia="zh-CN"/>
        </w:rPr>
        <w:t xml:space="preserve">Zhu, J.-H. (1992). Issue Competition </w:t>
      </w:r>
      <w:proofErr w:type="gramStart"/>
      <w:r w:rsidRPr="00F860D9">
        <w:rPr>
          <w:rFonts w:eastAsiaTheme="minorEastAsia"/>
          <w:color w:val="auto"/>
          <w:lang w:eastAsia="zh-CN"/>
        </w:rPr>
        <w:t>And</w:t>
      </w:r>
      <w:proofErr w:type="gramEnd"/>
      <w:r w:rsidRPr="00F860D9">
        <w:rPr>
          <w:rFonts w:eastAsiaTheme="minorEastAsia"/>
          <w:color w:val="auto"/>
          <w:lang w:eastAsia="zh-CN"/>
        </w:rPr>
        <w:t xml:space="preserve"> Attention Distraction: A Zero-Sum Theory Of Agenda-Setting. </w:t>
      </w:r>
      <w:r w:rsidRPr="00CF5B68">
        <w:rPr>
          <w:rFonts w:eastAsiaTheme="minorEastAsia"/>
          <w:i/>
          <w:color w:val="auto"/>
          <w:lang w:val="es-CL" w:eastAsia="zh-CN"/>
        </w:rPr>
        <w:t>Journalism Quarterly</w:t>
      </w:r>
      <w:r w:rsidRPr="00CF5B68">
        <w:rPr>
          <w:rFonts w:eastAsiaTheme="minorEastAsia"/>
          <w:color w:val="auto"/>
          <w:lang w:val="es-CL" w:eastAsia="zh-CN"/>
        </w:rPr>
        <w:t>, 69(4), 825-836.</w:t>
      </w:r>
    </w:p>
    <w:p w:rsidR="00F860D9" w:rsidRPr="00647924" w:rsidRDefault="00F860D9" w:rsidP="0030611F">
      <w:pPr>
        <w:pStyle w:val="MDPI71References"/>
        <w:numPr>
          <w:ilvl w:val="0"/>
          <w:numId w:val="0"/>
        </w:numPr>
        <w:ind w:left="425" w:hanging="425"/>
        <w:rPr>
          <w:rFonts w:eastAsiaTheme="minorEastAsia"/>
          <w:color w:val="auto"/>
          <w:lang w:eastAsia="zh-CN"/>
        </w:rPr>
      </w:pPr>
      <w:proofErr w:type="spellStart"/>
      <w:r w:rsidRPr="00F860D9">
        <w:rPr>
          <w:rFonts w:eastAsiaTheme="minorEastAsia"/>
          <w:color w:val="auto"/>
          <w:lang w:val="es-CL" w:eastAsia="zh-CN"/>
        </w:rPr>
        <w:t>Zunino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, E. (2018). Agenda </w:t>
      </w:r>
      <w:proofErr w:type="spellStart"/>
      <w:r w:rsidRPr="00F860D9">
        <w:rPr>
          <w:rFonts w:eastAsiaTheme="minorEastAsia"/>
          <w:color w:val="auto"/>
          <w:lang w:val="es-CL" w:eastAsia="zh-CN"/>
        </w:rPr>
        <w:t>setting</w:t>
      </w:r>
      <w:proofErr w:type="spellEnd"/>
      <w:r w:rsidRPr="00F860D9">
        <w:rPr>
          <w:rFonts w:eastAsiaTheme="minorEastAsia"/>
          <w:color w:val="auto"/>
          <w:lang w:val="es-CL" w:eastAsia="zh-CN"/>
        </w:rPr>
        <w:t xml:space="preserve">: cincuenta años de investigación en comunicación. </w:t>
      </w:r>
      <w:proofErr w:type="spellStart"/>
      <w:r w:rsidRPr="00BE3E35">
        <w:rPr>
          <w:rFonts w:eastAsiaTheme="minorEastAsia"/>
          <w:i/>
          <w:color w:val="auto"/>
          <w:lang w:eastAsia="zh-CN"/>
        </w:rPr>
        <w:t>Intersecciones</w:t>
      </w:r>
      <w:proofErr w:type="spellEnd"/>
      <w:r w:rsidRPr="00BE3E35">
        <w:rPr>
          <w:rFonts w:eastAsiaTheme="minorEastAsia"/>
          <w:i/>
          <w:color w:val="auto"/>
          <w:lang w:eastAsia="zh-CN"/>
        </w:rPr>
        <w:t xml:space="preserve"> </w:t>
      </w:r>
      <w:proofErr w:type="spellStart"/>
      <w:r w:rsidRPr="00BE3E35">
        <w:rPr>
          <w:rFonts w:eastAsiaTheme="minorEastAsia"/>
          <w:i/>
          <w:color w:val="auto"/>
          <w:lang w:eastAsia="zh-CN"/>
        </w:rPr>
        <w:t>en</w:t>
      </w:r>
      <w:proofErr w:type="spellEnd"/>
      <w:r w:rsidRPr="00BE3E35">
        <w:rPr>
          <w:rFonts w:eastAsiaTheme="minorEastAsia"/>
          <w:i/>
          <w:color w:val="auto"/>
          <w:lang w:eastAsia="zh-CN"/>
        </w:rPr>
        <w:t xml:space="preserve"> </w:t>
      </w:r>
      <w:proofErr w:type="spellStart"/>
      <w:r w:rsidRPr="00BE3E35">
        <w:rPr>
          <w:rFonts w:eastAsiaTheme="minorEastAsia"/>
          <w:i/>
          <w:color w:val="auto"/>
          <w:lang w:eastAsia="zh-CN"/>
        </w:rPr>
        <w:t>Comunicación</w:t>
      </w:r>
      <w:proofErr w:type="spellEnd"/>
      <w:r w:rsidRPr="00F860D9">
        <w:rPr>
          <w:rFonts w:eastAsiaTheme="minorEastAsia"/>
          <w:color w:val="auto"/>
          <w:lang w:eastAsia="zh-CN"/>
        </w:rPr>
        <w:t>, (12), 187-210.</w:t>
      </w:r>
    </w:p>
    <w:p w:rsidR="006B2801" w:rsidRPr="002D71FD" w:rsidRDefault="002D71FD" w:rsidP="002D71FD">
      <w:pPr>
        <w:pStyle w:val="MDPI63Notes"/>
      </w:pPr>
      <w:r w:rsidRPr="002D71FD">
        <w:rPr>
          <w:b/>
        </w:rPr>
        <w:t>Disclaimer/Publisher’s Note:</w:t>
      </w:r>
      <w:r w:rsidRPr="002D71FD">
        <w:t xml:space="preserve"> The statements, opinions and data contained in all publications are solely those of the individual author(s) and contributor(s) and not of MDPI and/or the editor(s). MDPI and/or the editor(s) disclaim responsibility for any injury to people or property resulting from any ideas, methods, instructions or products referred to in the content.</w:t>
      </w:r>
    </w:p>
    <w:sectPr w:rsidR="006B2801" w:rsidRPr="002D71FD" w:rsidSect="00910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68" w:rsidRDefault="00B53768">
      <w:pPr>
        <w:spacing w:line="240" w:lineRule="auto"/>
      </w:pPr>
      <w:r>
        <w:separator/>
      </w:r>
    </w:p>
  </w:endnote>
  <w:endnote w:type="continuationSeparator" w:id="0">
    <w:p w:rsidR="00B53768" w:rsidRDefault="00B53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4" w:rsidRDefault="00B674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4" w:rsidRPr="00C271A1" w:rsidRDefault="00B67444" w:rsidP="00EC037A">
    <w:pPr>
      <w:pStyle w:val="Piedepgina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4" w:rsidRDefault="00B67444" w:rsidP="00E56944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B67444" w:rsidRPr="00372FCD" w:rsidRDefault="00B67444" w:rsidP="00BC24A2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0310E0">
      <w:rPr>
        <w:i/>
        <w:sz w:val="16"/>
        <w:szCs w:val="16"/>
      </w:rPr>
      <w:t>Journal. Media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  <w:lang w:val="it-IT"/>
      </w:rPr>
      <w:t>2024</w:t>
    </w:r>
    <w:r w:rsidRPr="00812671">
      <w:rPr>
        <w:bCs/>
        <w:iCs/>
        <w:sz w:val="16"/>
        <w:szCs w:val="16"/>
        <w:lang w:val="it-IT"/>
      </w:rPr>
      <w:t>,</w:t>
    </w:r>
    <w:r>
      <w:rPr>
        <w:bCs/>
        <w:i/>
        <w:iCs/>
        <w:sz w:val="16"/>
        <w:szCs w:val="16"/>
        <w:lang w:val="it-IT"/>
      </w:rPr>
      <w:t xml:space="preserve"> 5</w:t>
    </w:r>
    <w:r w:rsidRPr="00812671">
      <w:rPr>
        <w:bCs/>
        <w:iCs/>
        <w:sz w:val="16"/>
        <w:szCs w:val="16"/>
        <w:lang w:val="it-IT"/>
      </w:rPr>
      <w:t xml:space="preserve">, </w:t>
    </w:r>
    <w:r>
      <w:rPr>
        <w:bCs/>
        <w:iCs/>
        <w:sz w:val="16"/>
        <w:szCs w:val="16"/>
      </w:rPr>
      <w:t>Firstpage–Lastpage.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0310E0">
      <w:rPr>
        <w:sz w:val="16"/>
        <w:szCs w:val="16"/>
      </w:rPr>
      <w:t>journalmedia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68" w:rsidRDefault="00B53768">
      <w:pPr>
        <w:spacing w:line="240" w:lineRule="auto"/>
      </w:pPr>
      <w:r>
        <w:separator/>
      </w:r>
    </w:p>
  </w:footnote>
  <w:footnote w:type="continuationSeparator" w:id="0">
    <w:p w:rsidR="00B53768" w:rsidRDefault="00B53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4" w:rsidRDefault="00B67444" w:rsidP="00EC037A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4" w:rsidRDefault="00B67444" w:rsidP="00BC24A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 w:rsidRPr="000310E0">
      <w:rPr>
        <w:i/>
        <w:sz w:val="16"/>
      </w:rPr>
      <w:t>Journal. Media</w:t>
    </w:r>
    <w:r>
      <w:rPr>
        <w:i/>
        <w:sz w:val="16"/>
      </w:rPr>
      <w:t xml:space="preserve"> </w:t>
    </w:r>
    <w:r>
      <w:rPr>
        <w:b/>
        <w:sz w:val="16"/>
      </w:rPr>
      <w:t>2024</w:t>
    </w:r>
    <w:r w:rsidRPr="00812671">
      <w:rPr>
        <w:sz w:val="16"/>
      </w:rPr>
      <w:t>,</w:t>
    </w:r>
    <w:r>
      <w:rPr>
        <w:i/>
        <w:sz w:val="16"/>
      </w:rPr>
      <w:t xml:space="preserve"> 5</w:t>
    </w:r>
    <w:r>
      <w:rPr>
        <w:sz w:val="16"/>
      </w:rPr>
      <w:t>,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551ED">
      <w:rPr>
        <w:sz w:val="16"/>
      </w:rPr>
      <w:t>2</w:t>
    </w:r>
    <w:r>
      <w:rPr>
        <w:sz w:val="16"/>
      </w:rPr>
      <w:fldChar w:fldCharType="end"/>
    </w:r>
  </w:p>
  <w:p w:rsidR="00B67444" w:rsidRPr="00AD057B" w:rsidRDefault="00B67444" w:rsidP="00E56944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B67444" w:rsidRPr="00BC24A2" w:rsidTr="002F5DCC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B67444" w:rsidRPr="00745BCB" w:rsidRDefault="00B67444" w:rsidP="00BC24A2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es-CL" w:eastAsia="es-CL"/>
            </w:rPr>
            <w:drawing>
              <wp:inline distT="0" distB="0" distL="0" distR="0" wp14:anchorId="09647D1F" wp14:editId="3DFCD16B">
                <wp:extent cx="1341634" cy="432000"/>
                <wp:effectExtent l="0" t="0" r="0" b="6350"/>
                <wp:docPr id="8280464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04640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63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B67444" w:rsidRPr="00745BCB" w:rsidRDefault="00B67444" w:rsidP="00BC24A2">
          <w:pPr>
            <w:pStyle w:val="Encabezad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B67444" w:rsidRPr="00745BCB" w:rsidRDefault="00B67444" w:rsidP="002F5DCC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es-CL" w:eastAsia="es-CL"/>
            </w:rPr>
            <w:drawing>
              <wp:inline distT="0" distB="0" distL="0" distR="0" wp14:anchorId="455626F2" wp14:editId="267B8161">
                <wp:extent cx="540000" cy="360000"/>
                <wp:effectExtent l="0" t="0" r="0" b="2540"/>
                <wp:docPr id="1874363616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36361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7444" w:rsidRPr="00D607C8" w:rsidRDefault="00B67444" w:rsidP="00E56944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1FA8"/>
    <w:multiLevelType w:val="hybridMultilevel"/>
    <w:tmpl w:val="A056846C"/>
    <w:lvl w:ilvl="0" w:tplc="29F29B3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548A9D40"/>
    <w:lvl w:ilvl="0" w:tplc="A5F05D8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C65EB17A"/>
    <w:lvl w:ilvl="0" w:tplc="2F0C3648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40E42"/>
    <w:multiLevelType w:val="hybridMultilevel"/>
    <w:tmpl w:val="3F528B86"/>
    <w:lvl w:ilvl="0" w:tplc="0520E2C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8"/>
  </w:num>
  <w:num w:numId="9">
    <w:abstractNumId w:val="2"/>
  </w:num>
  <w:num w:numId="10">
    <w:abstractNumId w:val="8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8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B2"/>
    <w:rsid w:val="00013AD9"/>
    <w:rsid w:val="00017B0E"/>
    <w:rsid w:val="000215CC"/>
    <w:rsid w:val="000310E0"/>
    <w:rsid w:val="00045B23"/>
    <w:rsid w:val="00054B32"/>
    <w:rsid w:val="0006294A"/>
    <w:rsid w:val="0007138D"/>
    <w:rsid w:val="00074839"/>
    <w:rsid w:val="00096338"/>
    <w:rsid w:val="000A3D1C"/>
    <w:rsid w:val="000A6F43"/>
    <w:rsid w:val="000B79E1"/>
    <w:rsid w:val="000C4BC4"/>
    <w:rsid w:val="000E5053"/>
    <w:rsid w:val="000F1A9F"/>
    <w:rsid w:val="0010020E"/>
    <w:rsid w:val="00107873"/>
    <w:rsid w:val="00135FA2"/>
    <w:rsid w:val="00136728"/>
    <w:rsid w:val="001427EB"/>
    <w:rsid w:val="00152C21"/>
    <w:rsid w:val="001533DE"/>
    <w:rsid w:val="0015551E"/>
    <w:rsid w:val="0016558F"/>
    <w:rsid w:val="00166806"/>
    <w:rsid w:val="0017123D"/>
    <w:rsid w:val="001A0F76"/>
    <w:rsid w:val="001A55DC"/>
    <w:rsid w:val="001A6717"/>
    <w:rsid w:val="001B5203"/>
    <w:rsid w:val="001B5F87"/>
    <w:rsid w:val="001C22E3"/>
    <w:rsid w:val="001C3832"/>
    <w:rsid w:val="001D07AF"/>
    <w:rsid w:val="001D67D6"/>
    <w:rsid w:val="001E0EC0"/>
    <w:rsid w:val="001E0EDD"/>
    <w:rsid w:val="001E2AEB"/>
    <w:rsid w:val="001F11BE"/>
    <w:rsid w:val="001F6B6B"/>
    <w:rsid w:val="00211BD5"/>
    <w:rsid w:val="00220D7E"/>
    <w:rsid w:val="00242BCD"/>
    <w:rsid w:val="0024712E"/>
    <w:rsid w:val="002653AD"/>
    <w:rsid w:val="00274D83"/>
    <w:rsid w:val="0027551C"/>
    <w:rsid w:val="00277D24"/>
    <w:rsid w:val="00285054"/>
    <w:rsid w:val="002A6435"/>
    <w:rsid w:val="002A7496"/>
    <w:rsid w:val="002B6774"/>
    <w:rsid w:val="002B6D37"/>
    <w:rsid w:val="002C5DCE"/>
    <w:rsid w:val="002D71FD"/>
    <w:rsid w:val="002F5129"/>
    <w:rsid w:val="002F5DCC"/>
    <w:rsid w:val="00303054"/>
    <w:rsid w:val="0030611F"/>
    <w:rsid w:val="003142B8"/>
    <w:rsid w:val="00324220"/>
    <w:rsid w:val="00326141"/>
    <w:rsid w:val="00327473"/>
    <w:rsid w:val="003716BB"/>
    <w:rsid w:val="00371AE3"/>
    <w:rsid w:val="00380FC0"/>
    <w:rsid w:val="00391F94"/>
    <w:rsid w:val="00394F47"/>
    <w:rsid w:val="003A5FB0"/>
    <w:rsid w:val="003B0105"/>
    <w:rsid w:val="003C3B81"/>
    <w:rsid w:val="003D4D4E"/>
    <w:rsid w:val="003E3E6B"/>
    <w:rsid w:val="003F1207"/>
    <w:rsid w:val="003F28F6"/>
    <w:rsid w:val="003F7F00"/>
    <w:rsid w:val="00401605"/>
    <w:rsid w:val="00401D30"/>
    <w:rsid w:val="0041556F"/>
    <w:rsid w:val="00416BC8"/>
    <w:rsid w:val="00454D52"/>
    <w:rsid w:val="004551ED"/>
    <w:rsid w:val="00460A21"/>
    <w:rsid w:val="00460CF2"/>
    <w:rsid w:val="00466EFE"/>
    <w:rsid w:val="004710DF"/>
    <w:rsid w:val="00472E2F"/>
    <w:rsid w:val="00477779"/>
    <w:rsid w:val="00484F17"/>
    <w:rsid w:val="00490873"/>
    <w:rsid w:val="00491DF7"/>
    <w:rsid w:val="00491FEE"/>
    <w:rsid w:val="004A3D9E"/>
    <w:rsid w:val="004A7EC3"/>
    <w:rsid w:val="004D02BA"/>
    <w:rsid w:val="004D75AD"/>
    <w:rsid w:val="004E7B2B"/>
    <w:rsid w:val="004F7D3A"/>
    <w:rsid w:val="005030FB"/>
    <w:rsid w:val="00506D55"/>
    <w:rsid w:val="00521061"/>
    <w:rsid w:val="005217B0"/>
    <w:rsid w:val="00543894"/>
    <w:rsid w:val="0055375E"/>
    <w:rsid w:val="00556211"/>
    <w:rsid w:val="00583F58"/>
    <w:rsid w:val="00591F53"/>
    <w:rsid w:val="005B4CD4"/>
    <w:rsid w:val="005B7C6F"/>
    <w:rsid w:val="005B7EAF"/>
    <w:rsid w:val="005C303B"/>
    <w:rsid w:val="005D126F"/>
    <w:rsid w:val="005F4909"/>
    <w:rsid w:val="005F6083"/>
    <w:rsid w:val="00611D21"/>
    <w:rsid w:val="006230CE"/>
    <w:rsid w:val="00645A3C"/>
    <w:rsid w:val="00647C8E"/>
    <w:rsid w:val="00671986"/>
    <w:rsid w:val="00692393"/>
    <w:rsid w:val="006970F8"/>
    <w:rsid w:val="00697A39"/>
    <w:rsid w:val="006A5A4F"/>
    <w:rsid w:val="006B2801"/>
    <w:rsid w:val="006C2A21"/>
    <w:rsid w:val="006C7F42"/>
    <w:rsid w:val="006D3DBA"/>
    <w:rsid w:val="006E4CE2"/>
    <w:rsid w:val="006F733E"/>
    <w:rsid w:val="00706C3C"/>
    <w:rsid w:val="007259C5"/>
    <w:rsid w:val="00745BCB"/>
    <w:rsid w:val="00755344"/>
    <w:rsid w:val="00764BA5"/>
    <w:rsid w:val="00780066"/>
    <w:rsid w:val="0079080B"/>
    <w:rsid w:val="00796626"/>
    <w:rsid w:val="007C5CB7"/>
    <w:rsid w:val="00816084"/>
    <w:rsid w:val="00825A0B"/>
    <w:rsid w:val="0082768E"/>
    <w:rsid w:val="0083376D"/>
    <w:rsid w:val="00842294"/>
    <w:rsid w:val="0086261A"/>
    <w:rsid w:val="0089233C"/>
    <w:rsid w:val="008A3E3F"/>
    <w:rsid w:val="008C0EA5"/>
    <w:rsid w:val="008E6F15"/>
    <w:rsid w:val="008F23CF"/>
    <w:rsid w:val="009068B0"/>
    <w:rsid w:val="00906AD8"/>
    <w:rsid w:val="009101ED"/>
    <w:rsid w:val="0091161E"/>
    <w:rsid w:val="00911AA7"/>
    <w:rsid w:val="00931A04"/>
    <w:rsid w:val="00952C0F"/>
    <w:rsid w:val="00993BE2"/>
    <w:rsid w:val="009D5485"/>
    <w:rsid w:val="009F20A6"/>
    <w:rsid w:val="009F70E6"/>
    <w:rsid w:val="00A342A9"/>
    <w:rsid w:val="00A34596"/>
    <w:rsid w:val="00A403A2"/>
    <w:rsid w:val="00A42342"/>
    <w:rsid w:val="00A471E1"/>
    <w:rsid w:val="00A54D73"/>
    <w:rsid w:val="00A73190"/>
    <w:rsid w:val="00A85FF3"/>
    <w:rsid w:val="00A9512B"/>
    <w:rsid w:val="00AA3A6E"/>
    <w:rsid w:val="00AA3C25"/>
    <w:rsid w:val="00AA7BE8"/>
    <w:rsid w:val="00AB6CD2"/>
    <w:rsid w:val="00AF2CD4"/>
    <w:rsid w:val="00B02034"/>
    <w:rsid w:val="00B0612F"/>
    <w:rsid w:val="00B109CA"/>
    <w:rsid w:val="00B176CC"/>
    <w:rsid w:val="00B17F11"/>
    <w:rsid w:val="00B27DBE"/>
    <w:rsid w:val="00B34F73"/>
    <w:rsid w:val="00B47B75"/>
    <w:rsid w:val="00B529FE"/>
    <w:rsid w:val="00B53768"/>
    <w:rsid w:val="00B60BBE"/>
    <w:rsid w:val="00B6408D"/>
    <w:rsid w:val="00B641B2"/>
    <w:rsid w:val="00B67444"/>
    <w:rsid w:val="00B74F98"/>
    <w:rsid w:val="00B77A4D"/>
    <w:rsid w:val="00B77F57"/>
    <w:rsid w:val="00B84C49"/>
    <w:rsid w:val="00BA3150"/>
    <w:rsid w:val="00BA3A78"/>
    <w:rsid w:val="00BB0547"/>
    <w:rsid w:val="00BC24A2"/>
    <w:rsid w:val="00BC3400"/>
    <w:rsid w:val="00BE3E35"/>
    <w:rsid w:val="00BF4292"/>
    <w:rsid w:val="00BF66F7"/>
    <w:rsid w:val="00C0335C"/>
    <w:rsid w:val="00C241D8"/>
    <w:rsid w:val="00C27CC2"/>
    <w:rsid w:val="00C36FE3"/>
    <w:rsid w:val="00C568BE"/>
    <w:rsid w:val="00C650D2"/>
    <w:rsid w:val="00C824F2"/>
    <w:rsid w:val="00C85BFC"/>
    <w:rsid w:val="00CA1307"/>
    <w:rsid w:val="00CD0C7E"/>
    <w:rsid w:val="00CF5B68"/>
    <w:rsid w:val="00D03A4D"/>
    <w:rsid w:val="00D1061C"/>
    <w:rsid w:val="00D1124F"/>
    <w:rsid w:val="00D16B55"/>
    <w:rsid w:val="00D17705"/>
    <w:rsid w:val="00D255E0"/>
    <w:rsid w:val="00D3246F"/>
    <w:rsid w:val="00D326AE"/>
    <w:rsid w:val="00D3301C"/>
    <w:rsid w:val="00D4492E"/>
    <w:rsid w:val="00D45097"/>
    <w:rsid w:val="00D54375"/>
    <w:rsid w:val="00D607C8"/>
    <w:rsid w:val="00D64388"/>
    <w:rsid w:val="00D659FC"/>
    <w:rsid w:val="00D65EFC"/>
    <w:rsid w:val="00DB2AE5"/>
    <w:rsid w:val="00DC74ED"/>
    <w:rsid w:val="00DD0CD3"/>
    <w:rsid w:val="00DD1722"/>
    <w:rsid w:val="00DD7CB1"/>
    <w:rsid w:val="00DE4E0A"/>
    <w:rsid w:val="00DF3AD4"/>
    <w:rsid w:val="00E1542F"/>
    <w:rsid w:val="00E1693C"/>
    <w:rsid w:val="00E23FA4"/>
    <w:rsid w:val="00E3030B"/>
    <w:rsid w:val="00E40EFD"/>
    <w:rsid w:val="00E42877"/>
    <w:rsid w:val="00E54974"/>
    <w:rsid w:val="00E56944"/>
    <w:rsid w:val="00E605DB"/>
    <w:rsid w:val="00E62ECD"/>
    <w:rsid w:val="00E77AFD"/>
    <w:rsid w:val="00E82FA5"/>
    <w:rsid w:val="00E83B61"/>
    <w:rsid w:val="00EA40DB"/>
    <w:rsid w:val="00EC037A"/>
    <w:rsid w:val="00EE2F64"/>
    <w:rsid w:val="00EE54A3"/>
    <w:rsid w:val="00EF3259"/>
    <w:rsid w:val="00EF7EC5"/>
    <w:rsid w:val="00F12D38"/>
    <w:rsid w:val="00F16236"/>
    <w:rsid w:val="00F2086B"/>
    <w:rsid w:val="00F40C1D"/>
    <w:rsid w:val="00F44FB0"/>
    <w:rsid w:val="00F56505"/>
    <w:rsid w:val="00F735B7"/>
    <w:rsid w:val="00F860D9"/>
    <w:rsid w:val="00F95808"/>
    <w:rsid w:val="00FA219B"/>
    <w:rsid w:val="00FB01CE"/>
    <w:rsid w:val="00FB1D19"/>
    <w:rsid w:val="00FB4CFE"/>
    <w:rsid w:val="00FC5D6A"/>
    <w:rsid w:val="00FD328D"/>
    <w:rsid w:val="00FE46FE"/>
    <w:rsid w:val="00FE5DEA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81EF76"/>
  <w15:chartTrackingRefBased/>
  <w15:docId w15:val="{363524EC-76D0-4FAE-ACA7-38D5F77D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5AD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4D75AD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4D75AD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4D75A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4D75A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4D75A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4D75A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4D75A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4D75AD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Piedepgina">
    <w:name w:val="footer"/>
    <w:basedOn w:val="Normal"/>
    <w:link w:val="PiedepginaCar"/>
    <w:uiPriority w:val="99"/>
    <w:rsid w:val="004D75A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4D75AD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4D7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4D75AD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4D75AD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D75AD"/>
    <w:pPr>
      <w:ind w:firstLine="0"/>
    </w:pPr>
  </w:style>
  <w:style w:type="paragraph" w:customStyle="1" w:styleId="MDPI31text">
    <w:name w:val="MDPI_3.1_text"/>
    <w:qFormat/>
    <w:rsid w:val="005B7C6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4D75A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4D75AD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4D75A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4D75AD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74D83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74D83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4D75A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4D75AD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4D75A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60BB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4D75A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4D75A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4D75AD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4D75A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4D75A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4D75A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4D75A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4D75A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E3030B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globo">
    <w:name w:val="Balloon Text"/>
    <w:basedOn w:val="Normal"/>
    <w:link w:val="TextodegloboCar"/>
    <w:uiPriority w:val="99"/>
    <w:rsid w:val="004D75AD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4D75AD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9101ED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4D75AD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4D75A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C0E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D75AD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6970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4D75AD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4D75A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4D75AD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F44FB0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4D75AD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4D75A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4D75A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06AD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4D75A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4D75AD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4D75AD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4D75AD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4D75A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4D75AD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4D75AD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anormal"/>
    <w:uiPriority w:val="99"/>
    <w:rsid w:val="004D75AD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D75AD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4D75A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4D75AD"/>
  </w:style>
  <w:style w:type="paragraph" w:styleId="Bibliografa">
    <w:name w:val="Bibliography"/>
    <w:basedOn w:val="Normal"/>
    <w:next w:val="Normal"/>
    <w:uiPriority w:val="37"/>
    <w:semiHidden/>
    <w:unhideWhenUsed/>
    <w:rsid w:val="004D75AD"/>
  </w:style>
  <w:style w:type="paragraph" w:styleId="Textoindependiente">
    <w:name w:val="Body Text"/>
    <w:link w:val="TextoindependienteCar"/>
    <w:rsid w:val="004D75AD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oindependienteCar">
    <w:name w:val="Texto independiente Car"/>
    <w:link w:val="Textoindependiente"/>
    <w:rsid w:val="004D75AD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4D75AD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4D75AD"/>
  </w:style>
  <w:style w:type="character" w:customStyle="1" w:styleId="TextocomentarioCar">
    <w:name w:val="Texto comentario Car"/>
    <w:link w:val="Textocomentario"/>
    <w:rsid w:val="004D75AD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D75AD"/>
    <w:rPr>
      <w:b/>
      <w:bCs/>
    </w:rPr>
  </w:style>
  <w:style w:type="character" w:customStyle="1" w:styleId="AsuntodelcomentarioCar">
    <w:name w:val="Asunto del comentario Car"/>
    <w:link w:val="Asuntodelcomentario"/>
    <w:rsid w:val="004D75AD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4D75AD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4D75AD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4D75AD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4D75AD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4D75AD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4D75AD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4D75AD"/>
    <w:rPr>
      <w:szCs w:val="24"/>
    </w:rPr>
  </w:style>
  <w:style w:type="paragraph" w:customStyle="1" w:styleId="MsoFootnoteText0">
    <w:name w:val="MsoFootnoteText"/>
    <w:basedOn w:val="NormalWeb"/>
    <w:qFormat/>
    <w:rsid w:val="004D75AD"/>
    <w:rPr>
      <w:rFonts w:ascii="Times New Roman" w:hAnsi="Times New Roman"/>
    </w:rPr>
  </w:style>
  <w:style w:type="character" w:styleId="Nmerodepgina">
    <w:name w:val="page number"/>
    <w:rsid w:val="004D75AD"/>
  </w:style>
  <w:style w:type="character" w:styleId="Textodelmarcadordeposicin">
    <w:name w:val="Placeholder Text"/>
    <w:uiPriority w:val="99"/>
    <w:semiHidden/>
    <w:rsid w:val="004D75AD"/>
    <w:rPr>
      <w:color w:val="808080"/>
    </w:rPr>
  </w:style>
  <w:style w:type="paragraph" w:customStyle="1" w:styleId="MDPI71FootNotes">
    <w:name w:val="MDPI_7.1_FootNotes"/>
    <w:qFormat/>
    <w:rsid w:val="000215CC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table" w:styleId="Tablanormal2">
    <w:name w:val="Plain Table 2"/>
    <w:basedOn w:val="Tablanormal"/>
    <w:uiPriority w:val="42"/>
    <w:rsid w:val="009068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va\Downloads\journalmedia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40FF-9BA5-4710-B5D2-6FEB2C5F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journalmedia-template</Template>
  <TotalTime>2</TotalTime>
  <Pages>2</Pages>
  <Words>1312</Words>
  <Characters>7217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Carlos del Valle Rojas</dc:creator>
  <cp:keywords/>
  <dc:description/>
  <cp:lastModifiedBy>Carlos del Valle Rojas</cp:lastModifiedBy>
  <cp:revision>4</cp:revision>
  <dcterms:created xsi:type="dcterms:W3CDTF">2024-11-29T15:44:00Z</dcterms:created>
  <dcterms:modified xsi:type="dcterms:W3CDTF">2024-11-29T16:11:00Z</dcterms:modified>
</cp:coreProperties>
</file>