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CE351A" w14:textId="7BB9E365" w:rsidR="00A81514" w:rsidRPr="00691E67" w:rsidRDefault="00234D38">
      <w:pPr>
        <w:rPr>
          <w:rFonts w:ascii="Palatino Linotype" w:hAnsi="Palatino Linotype" w:cs="Arial"/>
          <w:b/>
          <w:sz w:val="20"/>
          <w:szCs w:val="20"/>
        </w:rPr>
      </w:pPr>
      <w:r w:rsidRPr="00691E67">
        <w:rPr>
          <w:rFonts w:ascii="Palatino Linotype" w:hAnsi="Palatino Linotype" w:cs="Arial"/>
          <w:b/>
          <w:sz w:val="20"/>
          <w:szCs w:val="20"/>
        </w:rPr>
        <w:t xml:space="preserve">Table S1.  </w:t>
      </w:r>
      <w:r w:rsidRPr="00691E67">
        <w:rPr>
          <w:rFonts w:ascii="Palatino Linotype" w:hAnsi="Palatino Linotype" w:cs="Arial"/>
          <w:sz w:val="20"/>
          <w:szCs w:val="20"/>
        </w:rPr>
        <w:t>GBM:  List of physio-chemical properties and predicted toxicology and ADME for top 20 ligands.  Toxicology and ADME predictions are probabilities in the range [0,</w:t>
      </w:r>
      <w:proofErr w:type="gramStart"/>
      <w:r w:rsidRPr="00691E67">
        <w:rPr>
          <w:rFonts w:ascii="Palatino Linotype" w:hAnsi="Palatino Linotype" w:cs="Arial"/>
          <w:sz w:val="20"/>
          <w:szCs w:val="20"/>
        </w:rPr>
        <w:t>1]*</w:t>
      </w:r>
      <w:proofErr w:type="gramEnd"/>
      <w:r w:rsidRPr="00691E67">
        <w:rPr>
          <w:rFonts w:ascii="Palatino Linotype" w:hAnsi="Palatino Linotype" w:cs="Arial"/>
          <w:sz w:val="20"/>
          <w:szCs w:val="20"/>
        </w:rPr>
        <w:t>.</w:t>
      </w:r>
    </w:p>
    <w:p w14:paraId="6B8832AA" w14:textId="77777777" w:rsidR="00A81514" w:rsidRPr="00691E67" w:rsidRDefault="00A81514">
      <w:pPr>
        <w:rPr>
          <w:rFonts w:ascii="Palatino Linotype" w:hAnsi="Palatino Linotype"/>
        </w:rPr>
      </w:pPr>
      <w:r w:rsidRPr="00691E67">
        <w:rPr>
          <w:rFonts w:ascii="Palatino Linotype" w:hAnsi="Palatino Linotype"/>
        </w:rPr>
        <w:object w:dxaOrig="16503" w:dyaOrig="3789" w14:anchorId="661065E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98.5pt;height:206.25pt" o:ole="">
            <v:imagedata r:id="rId8" o:title=""/>
          </v:shape>
          <o:OLEObject Type="Embed" ProgID="Excel.Sheet.12" ShapeID="_x0000_i1025" DrawAspect="Content" ObjectID="_1608125795" r:id="rId9"/>
        </w:object>
      </w:r>
    </w:p>
    <w:p w14:paraId="60E96D55" w14:textId="0F147A7F" w:rsidR="00234D38" w:rsidRPr="00691E67" w:rsidRDefault="00BA6555" w:rsidP="00234D38">
      <w:pPr>
        <w:pStyle w:val="NormalWeb"/>
        <w:rPr>
          <w:rFonts w:ascii="Palatino Linotype" w:hAnsi="Palatino Linotype" w:cs="Arial"/>
          <w:sz w:val="20"/>
          <w:szCs w:val="20"/>
        </w:rPr>
      </w:pPr>
      <w:r w:rsidRPr="00691E67">
        <w:rPr>
          <w:rFonts w:ascii="Palatino Linotype" w:eastAsiaTheme="minorEastAsia" w:hAnsi="Palatino Linotype" w:cs="Arial"/>
          <w:sz w:val="20"/>
          <w:szCs w:val="20"/>
        </w:rPr>
        <w:t>*</w:t>
      </w:r>
      <w:r w:rsidR="00A81514" w:rsidRPr="00691E67">
        <w:rPr>
          <w:rFonts w:ascii="Palatino Linotype" w:eastAsiaTheme="minorEastAsia" w:hAnsi="Palatino Linotype" w:cs="Arial"/>
          <w:sz w:val="20"/>
          <w:szCs w:val="20"/>
        </w:rPr>
        <w:t xml:space="preserve">Listed are NSC-626388, NSC-652525, NSC-634724, NSC-641172, NSC-9858, NSC-660032, NSC-39310, NSC-606174, NSC-690391, NSC-326757, NSC-613799, NSC-369395, NSC-603071, NSC-603073, NSC-673596, NSC-94600, NSC-10460, NSC-96641, NSC-652524, </w:t>
      </w:r>
      <w:r w:rsidR="00182211" w:rsidRPr="00691E67">
        <w:rPr>
          <w:rFonts w:ascii="Palatino Linotype" w:eastAsiaTheme="minorEastAsia" w:hAnsi="Palatino Linotype" w:cs="Arial"/>
          <w:sz w:val="20"/>
          <w:szCs w:val="20"/>
        </w:rPr>
        <w:t xml:space="preserve">and </w:t>
      </w:r>
      <w:r w:rsidR="00A81514" w:rsidRPr="00691E67">
        <w:rPr>
          <w:rFonts w:ascii="Palatino Linotype" w:eastAsiaTheme="minorEastAsia" w:hAnsi="Palatino Linotype" w:cs="Arial"/>
          <w:sz w:val="20"/>
          <w:szCs w:val="20"/>
        </w:rPr>
        <w:t>NSC-688500.</w:t>
      </w:r>
      <w:r w:rsidR="00234D38" w:rsidRPr="00691E67">
        <w:rPr>
          <w:rFonts w:ascii="Palatino Linotype" w:eastAsiaTheme="minorEastAsia" w:hAnsi="Palatino Linotype" w:cs="Arial"/>
          <w:sz w:val="20"/>
          <w:szCs w:val="20"/>
        </w:rPr>
        <w:t xml:space="preserve">  </w:t>
      </w:r>
      <w:r w:rsidR="00234D38" w:rsidRPr="00691E67">
        <w:rPr>
          <w:rFonts w:ascii="Palatino Linotype" w:hAnsi="Palatino Linotype" w:cs="Arial"/>
          <w:sz w:val="20"/>
          <w:szCs w:val="20"/>
        </w:rPr>
        <w:t>Receptor binding energies, promiscuity, genotoxicity, skin sensitivity, and aquatic toxicity from SMARTS hits not listed.</w:t>
      </w:r>
    </w:p>
    <w:p w14:paraId="6612FE43" w14:textId="77777777" w:rsidR="00A81514" w:rsidRPr="00691E67" w:rsidRDefault="00A81514">
      <w:pPr>
        <w:rPr>
          <w:rFonts w:ascii="Palatino Linotype" w:hAnsi="Palatino Linotype"/>
          <w:sz w:val="20"/>
          <w:szCs w:val="20"/>
        </w:rPr>
      </w:pPr>
    </w:p>
    <w:p w14:paraId="0D3B81ED" w14:textId="01B14CF3" w:rsidR="006A2FCF" w:rsidRPr="00691E67" w:rsidRDefault="006A2FCF">
      <w:pPr>
        <w:rPr>
          <w:rFonts w:ascii="Palatino Linotype" w:hAnsi="Palatino Linotype"/>
          <w:sz w:val="20"/>
          <w:szCs w:val="20"/>
        </w:rPr>
      </w:pPr>
      <w:r w:rsidRPr="00691E67">
        <w:rPr>
          <w:rFonts w:ascii="Palatino Linotype" w:hAnsi="Palatino Linotype"/>
          <w:sz w:val="20"/>
          <w:szCs w:val="20"/>
        </w:rPr>
        <w:br w:type="page"/>
      </w:r>
    </w:p>
    <w:p w14:paraId="17BB77C7" w14:textId="6FCFE701" w:rsidR="006A2FCF" w:rsidRPr="00691E67" w:rsidRDefault="006A2FCF" w:rsidP="006A2FCF">
      <w:pPr>
        <w:rPr>
          <w:rFonts w:ascii="Palatino Linotype" w:hAnsi="Palatino Linotype" w:cs="Arial"/>
          <w:sz w:val="20"/>
          <w:szCs w:val="20"/>
        </w:rPr>
      </w:pPr>
      <w:r w:rsidRPr="00691E67">
        <w:rPr>
          <w:rFonts w:ascii="Palatino Linotype" w:hAnsi="Palatino Linotype" w:cs="Arial"/>
          <w:b/>
          <w:sz w:val="20"/>
          <w:szCs w:val="20"/>
        </w:rPr>
        <w:lastRenderedPageBreak/>
        <w:t xml:space="preserve">Table S2.  </w:t>
      </w:r>
      <w:r w:rsidRPr="00691E67">
        <w:rPr>
          <w:rFonts w:ascii="Palatino Linotype" w:hAnsi="Palatino Linotype" w:cs="Arial"/>
          <w:sz w:val="20"/>
          <w:szCs w:val="20"/>
        </w:rPr>
        <w:t>Melanoma:  List of physio-chemical properties and predicted toxicology and ADME for top 20 ligands.  Toxicology and ADME predictions are probabilities in the range [0,</w:t>
      </w:r>
      <w:proofErr w:type="gramStart"/>
      <w:r w:rsidRPr="00691E67">
        <w:rPr>
          <w:rFonts w:ascii="Palatino Linotype" w:hAnsi="Palatino Linotype" w:cs="Arial"/>
          <w:sz w:val="20"/>
          <w:szCs w:val="20"/>
        </w:rPr>
        <w:t>1]*</w:t>
      </w:r>
      <w:proofErr w:type="gramEnd"/>
      <w:r w:rsidRPr="00691E67">
        <w:rPr>
          <w:rFonts w:ascii="Palatino Linotype" w:hAnsi="Palatino Linotype" w:cs="Arial"/>
          <w:sz w:val="20"/>
          <w:szCs w:val="20"/>
        </w:rPr>
        <w:t>.</w:t>
      </w:r>
    </w:p>
    <w:p w14:paraId="0DEEBE26" w14:textId="3970EA48" w:rsidR="006A2FCF" w:rsidRPr="00691E67" w:rsidRDefault="00F30B08" w:rsidP="006A2FCF">
      <w:pPr>
        <w:rPr>
          <w:rFonts w:ascii="Palatino Linotype" w:hAnsi="Palatino Linotype"/>
        </w:rPr>
      </w:pPr>
      <w:r w:rsidRPr="00691E67">
        <w:rPr>
          <w:rFonts w:ascii="Palatino Linotype" w:hAnsi="Palatino Linotype"/>
        </w:rPr>
        <w:object w:dxaOrig="16503" w:dyaOrig="3789" w14:anchorId="7A527397">
          <v:shape id="_x0000_i1026" type="#_x0000_t75" style="width:883.5pt;height:203.25pt" o:ole="">
            <v:imagedata r:id="rId10" o:title=""/>
          </v:shape>
          <o:OLEObject Type="Embed" ProgID="Excel.Sheet.12" ShapeID="_x0000_i1026" DrawAspect="Content" ObjectID="_1608125796" r:id="rId11"/>
        </w:object>
      </w:r>
    </w:p>
    <w:p w14:paraId="1B017BC4" w14:textId="167226BB" w:rsidR="006A2FCF" w:rsidRPr="00691E67" w:rsidRDefault="006A2FCF" w:rsidP="006A2FCF">
      <w:pPr>
        <w:pStyle w:val="NormalWeb"/>
        <w:rPr>
          <w:rFonts w:ascii="Palatino Linotype" w:hAnsi="Palatino Linotype" w:cs="Arial"/>
          <w:sz w:val="20"/>
          <w:szCs w:val="20"/>
        </w:rPr>
      </w:pPr>
      <w:r w:rsidRPr="00691E67">
        <w:rPr>
          <w:rFonts w:ascii="Palatino Linotype" w:eastAsiaTheme="minorEastAsia" w:hAnsi="Palatino Linotype" w:cs="Arial"/>
          <w:sz w:val="20"/>
          <w:szCs w:val="20"/>
        </w:rPr>
        <w:t>*Listed are</w:t>
      </w:r>
      <w:r w:rsidR="00182211" w:rsidRPr="00691E67">
        <w:rPr>
          <w:rFonts w:ascii="Palatino Linotype" w:eastAsiaTheme="minorEastAsia" w:hAnsi="Palatino Linotype" w:cs="Arial"/>
          <w:sz w:val="20"/>
          <w:szCs w:val="20"/>
        </w:rPr>
        <w:t xml:space="preserve"> NSC-713198, NSC-667933,</w:t>
      </w:r>
      <w:r w:rsidR="00182211" w:rsidRPr="00691E67">
        <w:rPr>
          <w:rFonts w:ascii="Palatino Linotype" w:eastAsiaTheme="minorEastAsia" w:hAnsi="Palatino Linotype" w:cs="Arial"/>
          <w:sz w:val="20"/>
          <w:szCs w:val="20"/>
        </w:rPr>
        <w:tab/>
        <w:t>NSC-679749, NSC-707982, NSC-745321, NSC-714363, NSC-643416, NSC-380856, NSC-649750, NSC-27034, NSC-656160, NSC-690040, NSC-672425, NSC-750908, NSC-643735, NSC-677959, NSC-194618, NSC-656159, NSC-658142, and NSC-656204</w:t>
      </w:r>
      <w:r w:rsidRPr="00691E67">
        <w:rPr>
          <w:rFonts w:ascii="Palatino Linotype" w:eastAsiaTheme="minorEastAsia" w:hAnsi="Palatino Linotype" w:cs="Arial"/>
          <w:sz w:val="20"/>
          <w:szCs w:val="20"/>
        </w:rPr>
        <w:t xml:space="preserve">.  </w:t>
      </w:r>
      <w:r w:rsidRPr="00691E67">
        <w:rPr>
          <w:rFonts w:ascii="Palatino Linotype" w:hAnsi="Palatino Linotype" w:cs="Arial"/>
          <w:sz w:val="20"/>
          <w:szCs w:val="20"/>
        </w:rPr>
        <w:t>Receptor binding energies, promiscuity, genotoxicity, skin sensitivity, and aquatic toxicity from SMARTS hits not listed.</w:t>
      </w:r>
    </w:p>
    <w:p w14:paraId="22F5DE61" w14:textId="77777777" w:rsidR="006A2FCF" w:rsidRPr="00691E67" w:rsidRDefault="006A2FCF" w:rsidP="006A2FCF">
      <w:pPr>
        <w:rPr>
          <w:rFonts w:ascii="Palatino Linotype" w:hAnsi="Palatino Linotype"/>
          <w:sz w:val="20"/>
          <w:szCs w:val="20"/>
        </w:rPr>
      </w:pPr>
    </w:p>
    <w:p w14:paraId="4D60F05A" w14:textId="5E0CEA4E" w:rsidR="006A2FCF" w:rsidRPr="00691E67" w:rsidRDefault="006A2FCF" w:rsidP="006A2FCF">
      <w:pPr>
        <w:rPr>
          <w:rFonts w:ascii="Palatino Linotype" w:hAnsi="Palatino Linotype"/>
          <w:sz w:val="20"/>
          <w:szCs w:val="20"/>
        </w:rPr>
      </w:pPr>
      <w:r w:rsidRPr="00691E67">
        <w:rPr>
          <w:rFonts w:ascii="Palatino Linotype" w:hAnsi="Palatino Linotype"/>
          <w:sz w:val="20"/>
          <w:szCs w:val="20"/>
        </w:rPr>
        <w:br w:type="page"/>
      </w:r>
    </w:p>
    <w:p w14:paraId="12789CD2" w14:textId="65395BB1" w:rsidR="00EE02F6" w:rsidRPr="00691E67" w:rsidRDefault="00EE02F6" w:rsidP="00EE02F6">
      <w:pPr>
        <w:rPr>
          <w:rFonts w:ascii="Palatino Linotype" w:hAnsi="Palatino Linotype" w:cs="Arial"/>
          <w:sz w:val="20"/>
          <w:szCs w:val="20"/>
        </w:rPr>
      </w:pPr>
      <w:r w:rsidRPr="00691E67">
        <w:rPr>
          <w:rFonts w:ascii="Palatino Linotype" w:hAnsi="Palatino Linotype" w:cs="Arial"/>
          <w:b/>
          <w:sz w:val="20"/>
          <w:szCs w:val="20"/>
        </w:rPr>
        <w:lastRenderedPageBreak/>
        <w:t xml:space="preserve">Table S3.  </w:t>
      </w:r>
      <w:r w:rsidRPr="00691E67">
        <w:rPr>
          <w:rFonts w:ascii="Palatino Linotype" w:hAnsi="Palatino Linotype" w:cs="Arial"/>
          <w:sz w:val="20"/>
          <w:szCs w:val="20"/>
        </w:rPr>
        <w:t>Ovarian:  List of physio-chemical properties and predicted toxicology and ADME for top 20 ligands.  Toxicology and ADME predictions are probabilities in the range [0,</w:t>
      </w:r>
      <w:proofErr w:type="gramStart"/>
      <w:r w:rsidRPr="00691E67">
        <w:rPr>
          <w:rFonts w:ascii="Palatino Linotype" w:hAnsi="Palatino Linotype" w:cs="Arial"/>
          <w:sz w:val="20"/>
          <w:szCs w:val="20"/>
        </w:rPr>
        <w:t>1]*</w:t>
      </w:r>
      <w:proofErr w:type="gramEnd"/>
      <w:r w:rsidRPr="00691E67">
        <w:rPr>
          <w:rFonts w:ascii="Palatino Linotype" w:hAnsi="Palatino Linotype" w:cs="Arial"/>
          <w:sz w:val="20"/>
          <w:szCs w:val="20"/>
        </w:rPr>
        <w:t>.</w:t>
      </w:r>
    </w:p>
    <w:p w14:paraId="73A59BC6" w14:textId="22F9BF34" w:rsidR="00EE02F6" w:rsidRPr="00691E67" w:rsidRDefault="00EE02F6">
      <w:pPr>
        <w:rPr>
          <w:rFonts w:ascii="Palatino Linotype" w:hAnsi="Palatino Linotype"/>
          <w:sz w:val="20"/>
          <w:szCs w:val="20"/>
        </w:rPr>
      </w:pPr>
      <w:r w:rsidRPr="00691E67">
        <w:rPr>
          <w:rFonts w:ascii="Palatino Linotype" w:hAnsi="Palatino Linotype"/>
        </w:rPr>
        <w:object w:dxaOrig="16503" w:dyaOrig="3789" w14:anchorId="483766DC">
          <v:shape id="_x0000_i1027" type="#_x0000_t75" style="width:881.25pt;height:202.5pt" o:ole="">
            <v:imagedata r:id="rId12" o:title=""/>
          </v:shape>
          <o:OLEObject Type="Embed" ProgID="Excel.Sheet.12" ShapeID="_x0000_i1027" DrawAspect="Content" ObjectID="_1608125797" r:id="rId13"/>
        </w:object>
      </w:r>
    </w:p>
    <w:p w14:paraId="0EE5E692" w14:textId="77777777" w:rsidR="00EE02F6" w:rsidRPr="00691E67" w:rsidRDefault="00EE02F6" w:rsidP="00EE02F6">
      <w:pPr>
        <w:pStyle w:val="NormalWeb"/>
        <w:rPr>
          <w:rFonts w:ascii="Palatino Linotype" w:hAnsi="Palatino Linotype" w:cs="Arial"/>
          <w:sz w:val="20"/>
          <w:szCs w:val="20"/>
        </w:rPr>
      </w:pPr>
      <w:r w:rsidRPr="00691E67">
        <w:rPr>
          <w:rFonts w:ascii="Palatino Linotype" w:hAnsi="Palatino Linotype" w:cs="Arial"/>
          <w:sz w:val="20"/>
          <w:szCs w:val="20"/>
        </w:rPr>
        <w:t>*Listed are NSC-690273, NSC-720028, NSC-720447, NSC-720702, NSC-753018, NSC-722392, NSC-634398, NSC-690678, NSC-675223, NSC-656204, NSC-621457, NSC-726393, NSC-692229, NSC-257450, NSC-116536, NSC-70811, NSC-117192, NSC-753598, NSC-72881, and NSC-5332.  Receptor binding energies, promiscuity, genotoxicity, skin sensitivity, and aquatic toxicity from SMARTS hits not listed.</w:t>
      </w:r>
    </w:p>
    <w:p w14:paraId="7DA1446F" w14:textId="77777777" w:rsidR="00A00AEB" w:rsidRPr="00691E67" w:rsidRDefault="00A00AEB">
      <w:pPr>
        <w:rPr>
          <w:rFonts w:ascii="Palatino Linotype" w:hAnsi="Palatino Linotype"/>
          <w:sz w:val="20"/>
          <w:szCs w:val="20"/>
        </w:rPr>
      </w:pPr>
    </w:p>
    <w:p w14:paraId="485EDAD3" w14:textId="77777777" w:rsidR="00A00AEB" w:rsidRPr="00691E67" w:rsidRDefault="00A00AEB">
      <w:pPr>
        <w:rPr>
          <w:rFonts w:ascii="Palatino Linotype" w:hAnsi="Palatino Linotype"/>
          <w:sz w:val="20"/>
          <w:szCs w:val="20"/>
        </w:rPr>
      </w:pPr>
    </w:p>
    <w:p w14:paraId="1653F4FD" w14:textId="77777777" w:rsidR="00A00AEB" w:rsidRPr="00691E67" w:rsidRDefault="00A00AEB">
      <w:pPr>
        <w:rPr>
          <w:rFonts w:ascii="Palatino Linotype" w:hAnsi="Palatino Linotype"/>
          <w:sz w:val="20"/>
          <w:szCs w:val="20"/>
        </w:rPr>
      </w:pPr>
    </w:p>
    <w:p w14:paraId="0F0382D4" w14:textId="77777777" w:rsidR="00A00AEB" w:rsidRPr="00691E67" w:rsidRDefault="00A00AEB">
      <w:pPr>
        <w:rPr>
          <w:rFonts w:ascii="Palatino Linotype" w:hAnsi="Palatino Linotype"/>
          <w:sz w:val="20"/>
          <w:szCs w:val="20"/>
        </w:rPr>
      </w:pPr>
    </w:p>
    <w:p w14:paraId="759B3D5F" w14:textId="77777777" w:rsidR="00A00AEB" w:rsidRPr="00691E67" w:rsidRDefault="00A00AEB">
      <w:pPr>
        <w:rPr>
          <w:rFonts w:ascii="Palatino Linotype" w:hAnsi="Palatino Linotype"/>
          <w:sz w:val="20"/>
          <w:szCs w:val="20"/>
        </w:rPr>
      </w:pPr>
    </w:p>
    <w:p w14:paraId="7120DA6B" w14:textId="77777777" w:rsidR="00A00AEB" w:rsidRPr="00691E67" w:rsidRDefault="00A00AEB">
      <w:pPr>
        <w:rPr>
          <w:rFonts w:ascii="Palatino Linotype" w:hAnsi="Palatino Linotype"/>
          <w:sz w:val="20"/>
          <w:szCs w:val="20"/>
        </w:rPr>
      </w:pPr>
    </w:p>
    <w:p w14:paraId="7DF6F656" w14:textId="77777777" w:rsidR="00A00AEB" w:rsidRPr="00691E67" w:rsidRDefault="00A00AEB">
      <w:pPr>
        <w:rPr>
          <w:rFonts w:ascii="Palatino Linotype" w:hAnsi="Palatino Linotype"/>
          <w:sz w:val="20"/>
          <w:szCs w:val="20"/>
        </w:rPr>
      </w:pPr>
    </w:p>
    <w:p w14:paraId="117A1032" w14:textId="77777777" w:rsidR="00A00AEB" w:rsidRPr="00691E67" w:rsidRDefault="00A00AEB">
      <w:pPr>
        <w:rPr>
          <w:rFonts w:ascii="Palatino Linotype" w:hAnsi="Palatino Linotype"/>
          <w:sz w:val="20"/>
          <w:szCs w:val="20"/>
        </w:rPr>
      </w:pPr>
    </w:p>
    <w:p w14:paraId="2E7F3F64" w14:textId="77777777" w:rsidR="00A00AEB" w:rsidRPr="00691E67" w:rsidRDefault="00A00AEB" w:rsidP="00A00AEB">
      <w:pPr>
        <w:rPr>
          <w:rFonts w:ascii="Palatino Linotype" w:hAnsi="Palatino Linotype" w:cs="Arial"/>
          <w:b/>
          <w:sz w:val="20"/>
          <w:szCs w:val="20"/>
        </w:rPr>
      </w:pPr>
    </w:p>
    <w:p w14:paraId="3A7EA15E" w14:textId="2CB3C531" w:rsidR="00A00AEB" w:rsidRPr="00691E67" w:rsidRDefault="00A00AEB" w:rsidP="00A00AEB">
      <w:pPr>
        <w:rPr>
          <w:rFonts w:ascii="Palatino Linotype" w:hAnsi="Palatino Linotype" w:cs="Arial"/>
          <w:b/>
          <w:sz w:val="20"/>
          <w:szCs w:val="20"/>
        </w:rPr>
      </w:pPr>
      <w:r w:rsidRPr="00691E67">
        <w:rPr>
          <w:rFonts w:ascii="Palatino Linotype" w:hAnsi="Palatino Linotype" w:cs="Arial"/>
          <w:b/>
          <w:sz w:val="20"/>
          <w:szCs w:val="20"/>
        </w:rPr>
        <w:t xml:space="preserve">Table S4.  </w:t>
      </w:r>
      <w:r w:rsidRPr="00691E67">
        <w:rPr>
          <w:rFonts w:ascii="Palatino Linotype" w:hAnsi="Palatino Linotype" w:cs="Arial"/>
          <w:sz w:val="20"/>
          <w:szCs w:val="20"/>
        </w:rPr>
        <w:t>Renal pa</w:t>
      </w:r>
      <w:r w:rsidR="003F7725" w:rsidRPr="00691E67">
        <w:rPr>
          <w:rFonts w:ascii="Palatino Linotype" w:hAnsi="Palatino Linotype" w:cs="Arial"/>
          <w:sz w:val="20"/>
          <w:szCs w:val="20"/>
        </w:rPr>
        <w:t>p</w:t>
      </w:r>
      <w:r w:rsidR="00353B78" w:rsidRPr="00691E67">
        <w:rPr>
          <w:rFonts w:ascii="Palatino Linotype" w:hAnsi="Palatino Linotype" w:cs="Arial"/>
          <w:sz w:val="20"/>
          <w:szCs w:val="20"/>
        </w:rPr>
        <w:t>illary</w:t>
      </w:r>
      <w:r w:rsidRPr="00691E67">
        <w:rPr>
          <w:rFonts w:ascii="Palatino Linotype" w:hAnsi="Palatino Linotype" w:cs="Arial"/>
          <w:sz w:val="20"/>
          <w:szCs w:val="20"/>
        </w:rPr>
        <w:t>:  List of physio-chemical properties and predicted toxicology and ADME for top 20 ligands.  Toxicology and ADME predictions are probabilities in the range [0,</w:t>
      </w:r>
      <w:proofErr w:type="gramStart"/>
      <w:r w:rsidRPr="00691E67">
        <w:rPr>
          <w:rFonts w:ascii="Palatino Linotype" w:hAnsi="Palatino Linotype" w:cs="Arial"/>
          <w:sz w:val="20"/>
          <w:szCs w:val="20"/>
        </w:rPr>
        <w:t>1]*</w:t>
      </w:r>
      <w:proofErr w:type="gramEnd"/>
      <w:r w:rsidRPr="00691E67">
        <w:rPr>
          <w:rFonts w:ascii="Palatino Linotype" w:hAnsi="Palatino Linotype" w:cs="Arial"/>
          <w:sz w:val="20"/>
          <w:szCs w:val="20"/>
        </w:rPr>
        <w:t>.</w:t>
      </w:r>
    </w:p>
    <w:p w14:paraId="0FAC1768" w14:textId="77777777" w:rsidR="00353B78" w:rsidRPr="00691E67" w:rsidRDefault="00A00AEB">
      <w:pPr>
        <w:rPr>
          <w:rFonts w:ascii="Palatino Linotype" w:hAnsi="Palatino Linotype"/>
        </w:rPr>
      </w:pPr>
      <w:r w:rsidRPr="00691E67">
        <w:rPr>
          <w:rFonts w:ascii="Palatino Linotype" w:hAnsi="Palatino Linotype"/>
        </w:rPr>
        <w:object w:dxaOrig="16503" w:dyaOrig="3789" w14:anchorId="56303509">
          <v:shape id="_x0000_i1028" type="#_x0000_t75" style="width:900pt;height:207pt" o:ole="">
            <v:imagedata r:id="rId14" o:title=""/>
          </v:shape>
          <o:OLEObject Type="Embed" ProgID="Excel.Sheet.12" ShapeID="_x0000_i1028" DrawAspect="Content" ObjectID="_1608125798" r:id="rId15"/>
        </w:object>
      </w:r>
    </w:p>
    <w:p w14:paraId="1C1452F2" w14:textId="77777777" w:rsidR="00BD01AD" w:rsidRPr="00691E67" w:rsidRDefault="003F7725" w:rsidP="003C761D">
      <w:pPr>
        <w:pStyle w:val="NormalWeb"/>
        <w:rPr>
          <w:rFonts w:ascii="Palatino Linotype" w:hAnsi="Palatino Linotype" w:cs="Arial"/>
          <w:sz w:val="20"/>
          <w:szCs w:val="20"/>
        </w:rPr>
        <w:sectPr w:rsidR="00BD01AD" w:rsidRPr="00691E67" w:rsidSect="00A81514">
          <w:pgSz w:w="20160" w:h="12240" w:orient="landscape" w:code="5"/>
          <w:pgMar w:top="1440" w:right="1440" w:bottom="1440" w:left="1440" w:header="720" w:footer="720" w:gutter="0"/>
          <w:cols w:space="720"/>
          <w:docGrid w:linePitch="360"/>
        </w:sectPr>
      </w:pPr>
      <w:r w:rsidRPr="00691E67">
        <w:rPr>
          <w:rFonts w:ascii="Palatino Linotype" w:hAnsi="Palatino Linotype" w:cs="Arial"/>
          <w:sz w:val="20"/>
          <w:szCs w:val="20"/>
        </w:rPr>
        <w:t>*</w:t>
      </w:r>
      <w:r w:rsidR="00353B78" w:rsidRPr="00691E67">
        <w:rPr>
          <w:rFonts w:ascii="Palatino Linotype" w:hAnsi="Palatino Linotype" w:cs="Arial"/>
          <w:sz w:val="20"/>
          <w:szCs w:val="20"/>
        </w:rPr>
        <w:t>Listed are NSC-606174, NSC-668836, NSC-696921, NSC-682298, NSC-766292, NSC-249910, NSC-766871, NSC-702015, NSC-682571, NSC-726184, NSC-683608, NSC-756420, NSC-751644, NSC-757177, NSC-407807, NSC-726364, NSC-756350, NSC-772545, NSC-626735, and NSC-729037.</w:t>
      </w:r>
      <w:r w:rsidR="003C761D" w:rsidRPr="00691E67">
        <w:rPr>
          <w:rFonts w:ascii="Palatino Linotype" w:hAnsi="Palatino Linotype" w:cs="Arial"/>
          <w:sz w:val="20"/>
          <w:szCs w:val="20"/>
        </w:rPr>
        <w:t xml:space="preserve">  Receptor binding energies, promiscuity, genotoxicity, skin sensitivity, and aquatic toxicity from SMARTS hits not listed.</w:t>
      </w:r>
    </w:p>
    <w:p w14:paraId="1CE12598" w14:textId="00926000" w:rsidR="00202396" w:rsidRPr="00691E67" w:rsidRDefault="00202396" w:rsidP="00202396">
      <w:pPr>
        <w:divId w:val="2013608183"/>
        <w:rPr>
          <w:rFonts w:ascii="Palatino Linotype" w:hAnsi="Palatino Linotype" w:cs="Arial"/>
          <w:sz w:val="20"/>
          <w:szCs w:val="20"/>
        </w:rPr>
      </w:pPr>
      <w:r w:rsidRPr="00691E67">
        <w:rPr>
          <w:rFonts w:ascii="Palatino Linotype" w:eastAsiaTheme="minorEastAsia" w:hAnsi="Palatino Linotype" w:cs="Arial"/>
          <w:b/>
          <w:sz w:val="20"/>
          <w:szCs w:val="20"/>
        </w:rPr>
        <w:lastRenderedPageBreak/>
        <w:t xml:space="preserve">Figure S1.  </w:t>
      </w:r>
      <w:r w:rsidRPr="00691E67">
        <w:rPr>
          <w:rFonts w:ascii="Palatino Linotype" w:hAnsi="Palatino Linotype" w:cs="Arial"/>
          <w:sz w:val="20"/>
          <w:szCs w:val="20"/>
        </w:rPr>
        <w:t xml:space="preserve">2D structures of top 20 drug-like ligands for </w:t>
      </w:r>
      <w:proofErr w:type="gramStart"/>
      <w:r w:rsidRPr="00691E67">
        <w:rPr>
          <w:rFonts w:ascii="Palatino Linotype" w:hAnsi="Palatino Linotype" w:cs="Arial"/>
          <w:sz w:val="20"/>
          <w:szCs w:val="20"/>
        </w:rPr>
        <w:t>GBM.</w:t>
      </w:r>
      <w:r w:rsidR="00AF0036" w:rsidRPr="00691E67">
        <w:rPr>
          <w:rFonts w:ascii="Palatino Linotype" w:hAnsi="Palatino Linotype" w:cs="Arial"/>
          <w:sz w:val="20"/>
          <w:szCs w:val="20"/>
        </w:rPr>
        <w:t>*</w:t>
      </w:r>
      <w:proofErr w:type="gramEnd"/>
    </w:p>
    <w:p w14:paraId="78A62F23" w14:textId="2232761F" w:rsidR="00AF0036" w:rsidRPr="00691E67" w:rsidRDefault="00AF0036" w:rsidP="00202396">
      <w:pPr>
        <w:divId w:val="2013608183"/>
        <w:rPr>
          <w:rFonts w:ascii="Palatino Linotype" w:hAnsi="Palatino Linotype" w:cs="Arial"/>
          <w:b/>
          <w:sz w:val="20"/>
          <w:szCs w:val="20"/>
        </w:rPr>
      </w:pPr>
      <w:r w:rsidRPr="00691E67">
        <w:rPr>
          <w:rFonts w:ascii="Palatino Linotype" w:hAnsi="Palatino Linotype" w:cs="Arial"/>
          <w:b/>
          <w:noProof/>
          <w:sz w:val="20"/>
          <w:szCs w:val="20"/>
        </w:rPr>
        <w:drawing>
          <wp:inline distT="0" distB="0" distL="0" distR="0" wp14:anchorId="04EA3D43" wp14:editId="023A36F0">
            <wp:extent cx="5943600" cy="47377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S1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3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BF060" w14:textId="467A1FF6" w:rsidR="00D646F8" w:rsidRPr="00691E67" w:rsidRDefault="004C1F33">
      <w:pPr>
        <w:pStyle w:val="NormalWeb"/>
        <w:divId w:val="2001228256"/>
        <w:rPr>
          <w:rFonts w:ascii="Palatino Linotype" w:eastAsiaTheme="minorEastAsia" w:hAnsi="Palatino Linotype" w:cs="Arial"/>
          <w:sz w:val="16"/>
          <w:szCs w:val="16"/>
        </w:rPr>
      </w:pPr>
      <w:r w:rsidRPr="00691E67">
        <w:rPr>
          <w:rFonts w:ascii="Palatino Linotype" w:eastAsiaTheme="minorEastAsia" w:hAnsi="Palatino Linotype" w:cs="Arial"/>
          <w:sz w:val="16"/>
          <w:szCs w:val="16"/>
        </w:rPr>
        <w:t>*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Listed are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NSC-626388,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NSC-652525,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NSC-634724,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NSC-641172,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NSC-9858,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NSC-660032,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NSC-39310,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NSC-606174,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NSC-690391,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NS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C-326757,</w:t>
      </w:r>
      <w:r w:rsidR="001F459B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NSC-613799,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NSC-369395,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NSC-603071,</w:t>
      </w:r>
      <w:r w:rsidR="001F459B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>N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SC-603073,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NSC-673596,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NSC-94600,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NSC-10460,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NSC-96641,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NSC-652524,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="00182211" w:rsidRPr="00691E67">
        <w:rPr>
          <w:rFonts w:ascii="Palatino Linotype" w:eastAsiaTheme="minorEastAsia" w:hAnsi="Palatino Linotype" w:cs="Arial"/>
          <w:sz w:val="16"/>
          <w:szCs w:val="16"/>
        </w:rPr>
        <w:t xml:space="preserve">and </w:t>
      </w:r>
      <w:r w:rsidR="00AC2303" w:rsidRPr="00691E67">
        <w:rPr>
          <w:rFonts w:ascii="Palatino Linotype" w:eastAsiaTheme="minorEastAsia" w:hAnsi="Palatino Linotype" w:cs="Arial"/>
          <w:sz w:val="16"/>
          <w:szCs w:val="16"/>
        </w:rPr>
        <w:t>NSC-688500</w:t>
      </w:r>
      <w:r w:rsidR="00A44553" w:rsidRPr="00691E67">
        <w:rPr>
          <w:rFonts w:ascii="Palatino Linotype" w:eastAsiaTheme="minorEastAsia" w:hAnsi="Palatino Linotype" w:cs="Arial"/>
          <w:sz w:val="16"/>
          <w:szCs w:val="16"/>
        </w:rPr>
        <w:t>.</w:t>
      </w:r>
    </w:p>
    <w:p w14:paraId="418DA12B" w14:textId="206DB682" w:rsidR="000F4A6B" w:rsidRPr="00691E67" w:rsidRDefault="000F4A6B" w:rsidP="000F4A6B">
      <w:pPr>
        <w:divId w:val="2001228256"/>
        <w:rPr>
          <w:rFonts w:ascii="Palatino Linotype" w:hAnsi="Palatino Linotype" w:cs="Arial"/>
          <w:b/>
          <w:sz w:val="20"/>
          <w:szCs w:val="20"/>
        </w:rPr>
      </w:pPr>
      <w:r w:rsidRPr="00691E67">
        <w:rPr>
          <w:rFonts w:ascii="Palatino Linotype" w:eastAsiaTheme="minorEastAsia" w:hAnsi="Palatino Linotype" w:cs="Arial"/>
          <w:b/>
          <w:sz w:val="20"/>
          <w:szCs w:val="20"/>
        </w:rPr>
        <w:t xml:space="preserve">Figure S2.  </w:t>
      </w:r>
      <w:r w:rsidRPr="00691E67">
        <w:rPr>
          <w:rFonts w:ascii="Palatino Linotype" w:hAnsi="Palatino Linotype" w:cs="Arial"/>
          <w:sz w:val="20"/>
          <w:szCs w:val="20"/>
        </w:rPr>
        <w:t xml:space="preserve">2D structures of top 20 drug-like ligands for </w:t>
      </w:r>
      <w:proofErr w:type="gramStart"/>
      <w:r w:rsidRPr="00691E67">
        <w:rPr>
          <w:rFonts w:ascii="Palatino Linotype" w:hAnsi="Palatino Linotype" w:cs="Arial"/>
          <w:sz w:val="20"/>
          <w:szCs w:val="20"/>
        </w:rPr>
        <w:t>melanoma</w:t>
      </w:r>
      <w:r w:rsidR="00AF0036" w:rsidRPr="00691E67">
        <w:rPr>
          <w:rFonts w:ascii="Palatino Linotype" w:hAnsi="Palatino Linotype" w:cs="Arial"/>
          <w:sz w:val="20"/>
          <w:szCs w:val="20"/>
        </w:rPr>
        <w:t>.*</w:t>
      </w:r>
      <w:proofErr w:type="gramEnd"/>
    </w:p>
    <w:p w14:paraId="5B6FDD59" w14:textId="1DAE1C63" w:rsidR="00AF0036" w:rsidRPr="00691E67" w:rsidRDefault="00AF0036" w:rsidP="000F4A6B">
      <w:pPr>
        <w:divId w:val="2001228256"/>
        <w:rPr>
          <w:rFonts w:ascii="Palatino Linotype" w:hAnsi="Palatino Linotype" w:cs="Arial"/>
          <w:b/>
          <w:sz w:val="20"/>
          <w:szCs w:val="20"/>
        </w:rPr>
      </w:pPr>
      <w:r w:rsidRPr="00691E67">
        <w:rPr>
          <w:rFonts w:ascii="Palatino Linotype" w:hAnsi="Palatino Linotype" w:cs="Arial"/>
          <w:b/>
          <w:noProof/>
          <w:sz w:val="20"/>
          <w:szCs w:val="20"/>
        </w:rPr>
        <w:drawing>
          <wp:inline distT="0" distB="0" distL="0" distR="0" wp14:anchorId="3B83C986" wp14:editId="31870526">
            <wp:extent cx="5943600" cy="47377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S2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3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78423" w14:textId="76FCDE2F" w:rsidR="000F4A6B" w:rsidRPr="00691E67" w:rsidRDefault="004C1F33">
      <w:pPr>
        <w:pStyle w:val="NormalWeb"/>
        <w:rPr>
          <w:rFonts w:ascii="Palatino Linotype" w:eastAsiaTheme="minorEastAsia" w:hAnsi="Palatino Linotype" w:cs="Arial"/>
          <w:sz w:val="16"/>
          <w:szCs w:val="16"/>
        </w:rPr>
      </w:pPr>
      <w:r w:rsidRPr="00691E67">
        <w:rPr>
          <w:rFonts w:ascii="Palatino Linotype" w:eastAsiaTheme="minorEastAsia" w:hAnsi="Palatino Linotype" w:cs="Arial"/>
          <w:sz w:val="16"/>
          <w:szCs w:val="16"/>
        </w:rPr>
        <w:t>*Listed are NSC-713198, NSC-667933,</w:t>
      </w:r>
      <w:r w:rsidR="00BA144D">
        <w:rPr>
          <w:rFonts w:ascii="Palatino Linotype" w:eastAsiaTheme="minorEastAsia" w:hAnsi="Palatino Linotype" w:cs="Arial"/>
          <w:sz w:val="16"/>
          <w:szCs w:val="16"/>
        </w:rPr>
        <w:t xml:space="preserve"> </w:t>
      </w:r>
      <w:r w:rsidRPr="00691E67">
        <w:rPr>
          <w:rFonts w:ascii="Palatino Linotype" w:eastAsiaTheme="minorEastAsia" w:hAnsi="Palatino Linotype" w:cs="Arial"/>
          <w:sz w:val="16"/>
          <w:szCs w:val="16"/>
        </w:rPr>
        <w:t xml:space="preserve">NSC-679749, NSC-707982, NSC-745321, NSC-714363, NSC-643416, NSC-380856, NSC-649750, NSC-27034, NSC-656160, NSC-690040, NSC-672425, NSC-750908, NSC-643735, NSC-677959, NSC-194618, NSC-656159, NSC-658142, and NSC-656204.  </w:t>
      </w:r>
    </w:p>
    <w:p w14:paraId="411FBCAD" w14:textId="7996007A" w:rsidR="00AF0036" w:rsidRPr="00691E67" w:rsidRDefault="00AF0036">
      <w:pPr>
        <w:pStyle w:val="NormalWeb"/>
        <w:rPr>
          <w:rFonts w:ascii="Palatino Linotype" w:eastAsiaTheme="minorEastAsia" w:hAnsi="Palatino Linotype"/>
          <w:sz w:val="16"/>
          <w:szCs w:val="16"/>
        </w:rPr>
      </w:pPr>
    </w:p>
    <w:p w14:paraId="0A9D3B0A" w14:textId="77777777" w:rsidR="00AF0036" w:rsidRPr="00691E67" w:rsidRDefault="00AF0036">
      <w:pPr>
        <w:pStyle w:val="NormalWeb"/>
        <w:rPr>
          <w:rFonts w:ascii="Palatino Linotype" w:eastAsiaTheme="minorEastAsia" w:hAnsi="Palatino Linotype"/>
          <w:sz w:val="16"/>
          <w:szCs w:val="16"/>
        </w:rPr>
      </w:pPr>
    </w:p>
    <w:p w14:paraId="23730828" w14:textId="6C19D92C" w:rsidR="00771F2D" w:rsidRPr="00BA144D" w:rsidRDefault="00771F2D" w:rsidP="00771F2D">
      <w:pPr>
        <w:divId w:val="70852459"/>
        <w:rPr>
          <w:rFonts w:ascii="Palatino Linotype" w:hAnsi="Palatino Linotype" w:cs="Arial"/>
          <w:sz w:val="20"/>
          <w:szCs w:val="20"/>
        </w:rPr>
      </w:pPr>
      <w:r w:rsidRPr="00691E67">
        <w:rPr>
          <w:rFonts w:ascii="Palatino Linotype" w:eastAsiaTheme="minorEastAsia" w:hAnsi="Palatino Linotype" w:cs="Arial"/>
          <w:b/>
          <w:sz w:val="20"/>
          <w:szCs w:val="20"/>
        </w:rPr>
        <w:lastRenderedPageBreak/>
        <w:t xml:space="preserve">Figure S3.  </w:t>
      </w:r>
      <w:r w:rsidRPr="00BA144D">
        <w:rPr>
          <w:rFonts w:ascii="Palatino Linotype" w:hAnsi="Palatino Linotype" w:cs="Arial"/>
          <w:sz w:val="20"/>
          <w:szCs w:val="20"/>
        </w:rPr>
        <w:t xml:space="preserve">2D structures of top 20 drug-like ligands for ovarian </w:t>
      </w:r>
      <w:proofErr w:type="gramStart"/>
      <w:r w:rsidRPr="00BA144D">
        <w:rPr>
          <w:rFonts w:ascii="Palatino Linotype" w:hAnsi="Palatino Linotype" w:cs="Arial"/>
          <w:sz w:val="20"/>
          <w:szCs w:val="20"/>
        </w:rPr>
        <w:t>cancer.</w:t>
      </w:r>
      <w:r w:rsidR="00AF0036" w:rsidRPr="00BA144D">
        <w:rPr>
          <w:rFonts w:ascii="Palatino Linotype" w:hAnsi="Palatino Linotype" w:cs="Arial"/>
          <w:sz w:val="20"/>
          <w:szCs w:val="20"/>
        </w:rPr>
        <w:t>*</w:t>
      </w:r>
      <w:proofErr w:type="gramEnd"/>
    </w:p>
    <w:p w14:paraId="7A57D7A2" w14:textId="50DF4FF4" w:rsidR="00AF0036" w:rsidRPr="00691E67" w:rsidRDefault="00AF0036" w:rsidP="00771F2D">
      <w:pPr>
        <w:divId w:val="70852459"/>
        <w:rPr>
          <w:rFonts w:ascii="Palatino Linotype" w:hAnsi="Palatino Linotype" w:cs="Arial"/>
          <w:b/>
          <w:sz w:val="20"/>
          <w:szCs w:val="20"/>
        </w:rPr>
      </w:pPr>
      <w:r w:rsidRPr="00691E67">
        <w:rPr>
          <w:rFonts w:ascii="Palatino Linotype" w:hAnsi="Palatino Linotype" w:cs="Arial"/>
          <w:b/>
          <w:noProof/>
          <w:sz w:val="20"/>
          <w:szCs w:val="20"/>
        </w:rPr>
        <w:drawing>
          <wp:inline distT="0" distB="0" distL="0" distR="0" wp14:anchorId="220B2D24" wp14:editId="3293F499">
            <wp:extent cx="5949708" cy="474269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S3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9708" cy="4742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CC57E" w14:textId="3311F623" w:rsidR="00771F2D" w:rsidRPr="00691E67" w:rsidRDefault="00D55C17">
      <w:pPr>
        <w:pStyle w:val="NormalWeb"/>
        <w:rPr>
          <w:rFonts w:ascii="Palatino Linotype" w:hAnsi="Palatino Linotype" w:cs="Arial"/>
          <w:sz w:val="16"/>
          <w:szCs w:val="16"/>
        </w:rPr>
      </w:pPr>
      <w:r w:rsidRPr="00691E67">
        <w:rPr>
          <w:rFonts w:ascii="Palatino Linotype" w:hAnsi="Palatino Linotype" w:cs="Arial"/>
          <w:sz w:val="16"/>
          <w:szCs w:val="16"/>
        </w:rPr>
        <w:t xml:space="preserve">*Listed are NSC-690273, NSC-720028, NSC-720447, NSC-720702, NSC-753018, NSC-722392, NSC-634398, NSC-690678, NSC-675223, NSC-656204, NSC-621457, NSC-726393, NSC-692229, NSC-257450, NSC-116536, NSC-70811, NSC-117192, NSC-753598, NSC-72881, and NSC-5332.  </w:t>
      </w:r>
    </w:p>
    <w:p w14:paraId="4EABC19A" w14:textId="3542C7C5" w:rsidR="00771F2D" w:rsidRPr="00BA144D" w:rsidRDefault="00771F2D" w:rsidP="00771F2D">
      <w:pPr>
        <w:rPr>
          <w:rFonts w:ascii="Palatino Linotype" w:hAnsi="Palatino Linotype" w:cs="Arial"/>
          <w:sz w:val="20"/>
          <w:szCs w:val="20"/>
        </w:rPr>
      </w:pPr>
      <w:r w:rsidRPr="00691E67">
        <w:rPr>
          <w:rFonts w:ascii="Palatino Linotype" w:eastAsiaTheme="minorEastAsia" w:hAnsi="Palatino Linotype" w:cs="Arial"/>
          <w:b/>
          <w:sz w:val="20"/>
          <w:szCs w:val="20"/>
        </w:rPr>
        <w:t xml:space="preserve">Figure S4.  </w:t>
      </w:r>
      <w:bookmarkStart w:id="0" w:name="_GoBack"/>
      <w:r w:rsidRPr="00BA144D">
        <w:rPr>
          <w:rFonts w:ascii="Palatino Linotype" w:hAnsi="Palatino Linotype" w:cs="Arial"/>
          <w:sz w:val="20"/>
          <w:szCs w:val="20"/>
        </w:rPr>
        <w:t xml:space="preserve">2D structures of top 20 drug-like ligands for renal papillary </w:t>
      </w:r>
      <w:proofErr w:type="gramStart"/>
      <w:r w:rsidRPr="00BA144D">
        <w:rPr>
          <w:rFonts w:ascii="Palatino Linotype" w:hAnsi="Palatino Linotype" w:cs="Arial"/>
          <w:sz w:val="20"/>
          <w:szCs w:val="20"/>
        </w:rPr>
        <w:t>cancer.</w:t>
      </w:r>
      <w:r w:rsidR="00AF0036" w:rsidRPr="00BA144D">
        <w:rPr>
          <w:rFonts w:ascii="Palatino Linotype" w:hAnsi="Palatino Linotype" w:cs="Arial"/>
          <w:sz w:val="20"/>
          <w:szCs w:val="20"/>
        </w:rPr>
        <w:t>*</w:t>
      </w:r>
      <w:proofErr w:type="gramEnd"/>
    </w:p>
    <w:bookmarkEnd w:id="0"/>
    <w:p w14:paraId="4273B13C" w14:textId="57B4B98A" w:rsidR="00AF0036" w:rsidRPr="00691E67" w:rsidRDefault="00AF0036" w:rsidP="00771F2D">
      <w:pPr>
        <w:rPr>
          <w:rFonts w:ascii="Palatino Linotype" w:hAnsi="Palatino Linotype" w:cs="Arial"/>
          <w:b/>
          <w:sz w:val="20"/>
          <w:szCs w:val="20"/>
        </w:rPr>
      </w:pPr>
      <w:r w:rsidRPr="00691E67">
        <w:rPr>
          <w:rFonts w:ascii="Palatino Linotype" w:hAnsi="Palatino Linotype" w:cs="Arial"/>
          <w:b/>
          <w:noProof/>
          <w:sz w:val="20"/>
          <w:szCs w:val="20"/>
        </w:rPr>
        <w:drawing>
          <wp:inline distT="0" distB="0" distL="0" distR="0" wp14:anchorId="4B3EBA93" wp14:editId="4D9484E0">
            <wp:extent cx="5949708" cy="474269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S4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9708" cy="4742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5CE6E" w14:textId="2AA0F305" w:rsidR="000E5800" w:rsidRPr="00691E67" w:rsidRDefault="003C761D">
      <w:pPr>
        <w:pStyle w:val="NormalWeb"/>
        <w:divId w:val="665400733"/>
        <w:rPr>
          <w:rFonts w:ascii="Palatino Linotype" w:eastAsiaTheme="minorEastAsia" w:hAnsi="Palatino Linotype"/>
          <w:sz w:val="16"/>
          <w:szCs w:val="16"/>
        </w:rPr>
      </w:pPr>
      <w:r w:rsidRPr="00691E67">
        <w:rPr>
          <w:rFonts w:ascii="Palatino Linotype" w:hAnsi="Palatino Linotype" w:cs="Arial"/>
          <w:sz w:val="16"/>
          <w:szCs w:val="16"/>
        </w:rPr>
        <w:t xml:space="preserve">*Listed are NSC-606174, NSC-668836, NSC-696921, NSC-682298, NSC-766292, NSC-249910, NSC-766871, NSC-702015, NSC-682571, NSC-726184, NSC-683608, NSC-756420, NSC-751644, NSC-757177, NSC-407807, NSC-726364, NSC-756350, NSC-772545, NSC-626735, and NSC-729037.  </w:t>
      </w:r>
    </w:p>
    <w:p w14:paraId="13CEBFA3" w14:textId="77777777" w:rsidR="00771F2D" w:rsidRPr="003C761D" w:rsidRDefault="00771F2D">
      <w:pPr>
        <w:pStyle w:val="NormalWeb"/>
        <w:rPr>
          <w:rFonts w:eastAsiaTheme="minorEastAsia"/>
          <w:sz w:val="16"/>
          <w:szCs w:val="16"/>
        </w:rPr>
      </w:pPr>
    </w:p>
    <w:p w14:paraId="11058660" w14:textId="04E020E5" w:rsidR="00E936A1" w:rsidRPr="00204187" w:rsidRDefault="00E936A1" w:rsidP="00E936A1">
      <w:pPr>
        <w:rPr>
          <w:rFonts w:eastAsiaTheme="minorEastAsia"/>
          <w:sz w:val="20"/>
          <w:szCs w:val="20"/>
        </w:rPr>
      </w:pPr>
    </w:p>
    <w:sectPr w:rsidR="00E936A1" w:rsidRPr="00204187" w:rsidSect="00AF0036">
      <w:pgSz w:w="12240" w:h="20160" w:code="5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C8F71F" w14:textId="77777777" w:rsidR="00DC1019" w:rsidRDefault="00DC1019" w:rsidP="00612ACE">
      <w:pPr>
        <w:spacing w:after="0" w:line="240" w:lineRule="auto"/>
      </w:pPr>
      <w:r>
        <w:separator/>
      </w:r>
    </w:p>
  </w:endnote>
  <w:endnote w:type="continuationSeparator" w:id="0">
    <w:p w14:paraId="09EED7D0" w14:textId="77777777" w:rsidR="00DC1019" w:rsidRDefault="00DC1019" w:rsidP="00612A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965A88" w14:textId="77777777" w:rsidR="00DC1019" w:rsidRDefault="00DC1019" w:rsidP="00612ACE">
      <w:pPr>
        <w:spacing w:after="0" w:line="240" w:lineRule="auto"/>
      </w:pPr>
      <w:r>
        <w:separator/>
      </w:r>
    </w:p>
  </w:footnote>
  <w:footnote w:type="continuationSeparator" w:id="0">
    <w:p w14:paraId="7A7A9AC8" w14:textId="77777777" w:rsidR="00DC1019" w:rsidRDefault="00DC1019" w:rsidP="00612A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D6D04DE"/>
    <w:multiLevelType w:val="hybridMultilevel"/>
    <w:tmpl w:val="CB202B1E"/>
    <w:lvl w:ilvl="0" w:tplc="6CB86D76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BMC Cancer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te5rwe5a2ez59ue0dpcvsd9nrrwvs2d0rpr2&quot;&gt;GRANTS&lt;record-ids&gt;&lt;item&gt;6&lt;/item&gt;&lt;item&gt;13&lt;/item&gt;&lt;item&gt;14&lt;/item&gt;&lt;item&gt;15&lt;/item&gt;&lt;item&gt;16&lt;/item&gt;&lt;item&gt;17&lt;/item&gt;&lt;item&gt;18&lt;/item&gt;&lt;item&gt;23&lt;/item&gt;&lt;item&gt;24&lt;/item&gt;&lt;item&gt;25&lt;/item&gt;&lt;item&gt;26&lt;/item&gt;&lt;item&gt;31&lt;/item&gt;&lt;item&gt;32&lt;/item&gt;&lt;item&gt;33&lt;/item&gt;&lt;item&gt;34&lt;/item&gt;&lt;item&gt;35&lt;/item&gt;&lt;item&gt;36&lt;/item&gt;&lt;item&gt;37&lt;/item&gt;&lt;item&gt;38&lt;/item&gt;&lt;item&gt;39&lt;/item&gt;&lt;item&gt;40&lt;/item&gt;&lt;item&gt;41&lt;/item&gt;&lt;item&gt;42&lt;/item&gt;&lt;item&gt;43&lt;/item&gt;&lt;item&gt;44&lt;/item&gt;&lt;item&gt;45&lt;/item&gt;&lt;item&gt;46&lt;/item&gt;&lt;item&gt;47&lt;/item&gt;&lt;item&gt;48&lt;/item&gt;&lt;item&gt;49&lt;/item&gt;&lt;item&gt;50&lt;/item&gt;&lt;item&gt;51&lt;/item&gt;&lt;item&gt;52&lt;/item&gt;&lt;item&gt;53&lt;/item&gt;&lt;item&gt;54&lt;/item&gt;&lt;item&gt;55&lt;/item&gt;&lt;item&gt;56&lt;/item&gt;&lt;item&gt;79&lt;/item&gt;&lt;item&gt;80&lt;/item&gt;&lt;item&gt;81&lt;/item&gt;&lt;item&gt;82&lt;/item&gt;&lt;item&gt;83&lt;/item&gt;&lt;item&gt;84&lt;/item&gt;&lt;item&gt;85&lt;/item&gt;&lt;item&gt;86&lt;/item&gt;&lt;item&gt;87&lt;/item&gt;&lt;item&gt;88&lt;/item&gt;&lt;item&gt;89&lt;/item&gt;&lt;item&gt;90&lt;/item&gt;&lt;item&gt;91&lt;/item&gt;&lt;item&gt;92&lt;/item&gt;&lt;item&gt;93&lt;/item&gt;&lt;item&gt;94&lt;/item&gt;&lt;item&gt;95&lt;/item&gt;&lt;item&gt;96&lt;/item&gt;&lt;item&gt;97&lt;/item&gt;&lt;item&gt;98&lt;/item&gt;&lt;item&gt;99&lt;/item&gt;&lt;item&gt;100&lt;/item&gt;&lt;item&gt;101&lt;/item&gt;&lt;item&gt;102&lt;/item&gt;&lt;/record-ids&gt;&lt;/item&gt;&lt;/Libraries&gt;"/>
  </w:docVars>
  <w:rsids>
    <w:rsidRoot w:val="00142F4D"/>
    <w:rsid w:val="000146C3"/>
    <w:rsid w:val="0001758E"/>
    <w:rsid w:val="00034DF3"/>
    <w:rsid w:val="00043A93"/>
    <w:rsid w:val="00044299"/>
    <w:rsid w:val="000530A7"/>
    <w:rsid w:val="00057072"/>
    <w:rsid w:val="00062651"/>
    <w:rsid w:val="000777F9"/>
    <w:rsid w:val="00077FCA"/>
    <w:rsid w:val="0008172F"/>
    <w:rsid w:val="00086507"/>
    <w:rsid w:val="000A3DED"/>
    <w:rsid w:val="000A43B2"/>
    <w:rsid w:val="000B101D"/>
    <w:rsid w:val="000D10A9"/>
    <w:rsid w:val="000E5800"/>
    <w:rsid w:val="000F2700"/>
    <w:rsid w:val="000F4A6B"/>
    <w:rsid w:val="000F63F0"/>
    <w:rsid w:val="00101295"/>
    <w:rsid w:val="00101DEB"/>
    <w:rsid w:val="00103FDF"/>
    <w:rsid w:val="0010448F"/>
    <w:rsid w:val="00105604"/>
    <w:rsid w:val="001075D8"/>
    <w:rsid w:val="001118A9"/>
    <w:rsid w:val="00124093"/>
    <w:rsid w:val="001245E3"/>
    <w:rsid w:val="0013238D"/>
    <w:rsid w:val="00136AED"/>
    <w:rsid w:val="001429C7"/>
    <w:rsid w:val="00142F4D"/>
    <w:rsid w:val="00146D6D"/>
    <w:rsid w:val="00151169"/>
    <w:rsid w:val="001521CE"/>
    <w:rsid w:val="00182211"/>
    <w:rsid w:val="00183792"/>
    <w:rsid w:val="001A047A"/>
    <w:rsid w:val="001A121D"/>
    <w:rsid w:val="001A6992"/>
    <w:rsid w:val="001A7A99"/>
    <w:rsid w:val="001B3BBA"/>
    <w:rsid w:val="001B6885"/>
    <w:rsid w:val="001C3EC1"/>
    <w:rsid w:val="001F43ED"/>
    <w:rsid w:val="001F459B"/>
    <w:rsid w:val="001F744F"/>
    <w:rsid w:val="00200142"/>
    <w:rsid w:val="0020104C"/>
    <w:rsid w:val="00202396"/>
    <w:rsid w:val="00204187"/>
    <w:rsid w:val="00206140"/>
    <w:rsid w:val="00222FC3"/>
    <w:rsid w:val="00234D38"/>
    <w:rsid w:val="002357EF"/>
    <w:rsid w:val="00236E9E"/>
    <w:rsid w:val="00236F51"/>
    <w:rsid w:val="00252010"/>
    <w:rsid w:val="0026224C"/>
    <w:rsid w:val="00276012"/>
    <w:rsid w:val="002848E8"/>
    <w:rsid w:val="00287E10"/>
    <w:rsid w:val="00294A94"/>
    <w:rsid w:val="002B7454"/>
    <w:rsid w:val="002C4BDC"/>
    <w:rsid w:val="002D5B92"/>
    <w:rsid w:val="002E0EAB"/>
    <w:rsid w:val="002E2102"/>
    <w:rsid w:val="003065E0"/>
    <w:rsid w:val="003149E0"/>
    <w:rsid w:val="00332AD5"/>
    <w:rsid w:val="003426E1"/>
    <w:rsid w:val="00347E20"/>
    <w:rsid w:val="00353910"/>
    <w:rsid w:val="00353B78"/>
    <w:rsid w:val="00354179"/>
    <w:rsid w:val="00364E25"/>
    <w:rsid w:val="0039279C"/>
    <w:rsid w:val="003B7A6D"/>
    <w:rsid w:val="003C099D"/>
    <w:rsid w:val="003C4A75"/>
    <w:rsid w:val="003C5167"/>
    <w:rsid w:val="003C761D"/>
    <w:rsid w:val="003E7102"/>
    <w:rsid w:val="003F7725"/>
    <w:rsid w:val="00404924"/>
    <w:rsid w:val="00411147"/>
    <w:rsid w:val="004229F3"/>
    <w:rsid w:val="00433672"/>
    <w:rsid w:val="004366A7"/>
    <w:rsid w:val="004403BF"/>
    <w:rsid w:val="00447884"/>
    <w:rsid w:val="00447FFE"/>
    <w:rsid w:val="00450592"/>
    <w:rsid w:val="004506D0"/>
    <w:rsid w:val="004530EF"/>
    <w:rsid w:val="004534EB"/>
    <w:rsid w:val="0048175F"/>
    <w:rsid w:val="0049465E"/>
    <w:rsid w:val="00494824"/>
    <w:rsid w:val="004A16FB"/>
    <w:rsid w:val="004A2E14"/>
    <w:rsid w:val="004A3589"/>
    <w:rsid w:val="004A4358"/>
    <w:rsid w:val="004A5276"/>
    <w:rsid w:val="004C1F33"/>
    <w:rsid w:val="004C30C2"/>
    <w:rsid w:val="004D15A0"/>
    <w:rsid w:val="004D55D2"/>
    <w:rsid w:val="004D601B"/>
    <w:rsid w:val="004E0B95"/>
    <w:rsid w:val="004E158B"/>
    <w:rsid w:val="004E36BC"/>
    <w:rsid w:val="004F44F0"/>
    <w:rsid w:val="0050111A"/>
    <w:rsid w:val="005022A5"/>
    <w:rsid w:val="005102BF"/>
    <w:rsid w:val="005114EF"/>
    <w:rsid w:val="00533061"/>
    <w:rsid w:val="00533295"/>
    <w:rsid w:val="0053561C"/>
    <w:rsid w:val="00542AAC"/>
    <w:rsid w:val="00542D37"/>
    <w:rsid w:val="00546C4A"/>
    <w:rsid w:val="00555C1D"/>
    <w:rsid w:val="00566444"/>
    <w:rsid w:val="00573B2F"/>
    <w:rsid w:val="00574A5F"/>
    <w:rsid w:val="005753FE"/>
    <w:rsid w:val="005832F4"/>
    <w:rsid w:val="00595299"/>
    <w:rsid w:val="0059764F"/>
    <w:rsid w:val="005A27FD"/>
    <w:rsid w:val="005A39F7"/>
    <w:rsid w:val="005B3B7C"/>
    <w:rsid w:val="005B69C1"/>
    <w:rsid w:val="005D5430"/>
    <w:rsid w:val="00603CCD"/>
    <w:rsid w:val="0061045B"/>
    <w:rsid w:val="00612ACE"/>
    <w:rsid w:val="00626CCE"/>
    <w:rsid w:val="006363B8"/>
    <w:rsid w:val="006417AA"/>
    <w:rsid w:val="0064195C"/>
    <w:rsid w:val="00656E6B"/>
    <w:rsid w:val="006650BA"/>
    <w:rsid w:val="00675A5B"/>
    <w:rsid w:val="006773A3"/>
    <w:rsid w:val="006827ED"/>
    <w:rsid w:val="00690CC7"/>
    <w:rsid w:val="00691E67"/>
    <w:rsid w:val="006959C9"/>
    <w:rsid w:val="006A2FCF"/>
    <w:rsid w:val="006A4063"/>
    <w:rsid w:val="006B4059"/>
    <w:rsid w:val="006D0938"/>
    <w:rsid w:val="006D0BA7"/>
    <w:rsid w:val="006D4E24"/>
    <w:rsid w:val="006E6F00"/>
    <w:rsid w:val="006F642D"/>
    <w:rsid w:val="00702CCC"/>
    <w:rsid w:val="00703B75"/>
    <w:rsid w:val="00712C60"/>
    <w:rsid w:val="007157E5"/>
    <w:rsid w:val="00716159"/>
    <w:rsid w:val="00725398"/>
    <w:rsid w:val="0073135E"/>
    <w:rsid w:val="00736791"/>
    <w:rsid w:val="00737C1B"/>
    <w:rsid w:val="00741E58"/>
    <w:rsid w:val="007472B2"/>
    <w:rsid w:val="0075566A"/>
    <w:rsid w:val="00757A46"/>
    <w:rsid w:val="00762173"/>
    <w:rsid w:val="00762269"/>
    <w:rsid w:val="00763D30"/>
    <w:rsid w:val="00766E7E"/>
    <w:rsid w:val="00771F2D"/>
    <w:rsid w:val="007733E1"/>
    <w:rsid w:val="00774421"/>
    <w:rsid w:val="00790AE8"/>
    <w:rsid w:val="00793356"/>
    <w:rsid w:val="007A04C8"/>
    <w:rsid w:val="007D17AC"/>
    <w:rsid w:val="007D4794"/>
    <w:rsid w:val="007D59BF"/>
    <w:rsid w:val="007E095D"/>
    <w:rsid w:val="007F0825"/>
    <w:rsid w:val="007F3694"/>
    <w:rsid w:val="008014C5"/>
    <w:rsid w:val="00801CDD"/>
    <w:rsid w:val="00802B2B"/>
    <w:rsid w:val="0081200C"/>
    <w:rsid w:val="008126F4"/>
    <w:rsid w:val="00815F16"/>
    <w:rsid w:val="008261EB"/>
    <w:rsid w:val="0083250E"/>
    <w:rsid w:val="0085117F"/>
    <w:rsid w:val="00851B84"/>
    <w:rsid w:val="00852B7E"/>
    <w:rsid w:val="0085518D"/>
    <w:rsid w:val="00861774"/>
    <w:rsid w:val="0086187B"/>
    <w:rsid w:val="00861A76"/>
    <w:rsid w:val="00873508"/>
    <w:rsid w:val="00884101"/>
    <w:rsid w:val="00891C33"/>
    <w:rsid w:val="008A37E0"/>
    <w:rsid w:val="008A4DD1"/>
    <w:rsid w:val="008B1DE1"/>
    <w:rsid w:val="008C40F8"/>
    <w:rsid w:val="008D5840"/>
    <w:rsid w:val="008D6F78"/>
    <w:rsid w:val="008D739A"/>
    <w:rsid w:val="008E679B"/>
    <w:rsid w:val="008F7C07"/>
    <w:rsid w:val="0090317A"/>
    <w:rsid w:val="009057E4"/>
    <w:rsid w:val="00915CDD"/>
    <w:rsid w:val="009227AA"/>
    <w:rsid w:val="00932DD6"/>
    <w:rsid w:val="00936B87"/>
    <w:rsid w:val="0094199D"/>
    <w:rsid w:val="00944884"/>
    <w:rsid w:val="009458F4"/>
    <w:rsid w:val="009579A8"/>
    <w:rsid w:val="0096333C"/>
    <w:rsid w:val="00967AED"/>
    <w:rsid w:val="00981B62"/>
    <w:rsid w:val="00983F4B"/>
    <w:rsid w:val="00985A41"/>
    <w:rsid w:val="009A7FAE"/>
    <w:rsid w:val="009B4F9E"/>
    <w:rsid w:val="009C6CAA"/>
    <w:rsid w:val="009E0723"/>
    <w:rsid w:val="009E09F8"/>
    <w:rsid w:val="009E0AAD"/>
    <w:rsid w:val="009F36D1"/>
    <w:rsid w:val="009F7DF3"/>
    <w:rsid w:val="00A00AEB"/>
    <w:rsid w:val="00A162E2"/>
    <w:rsid w:val="00A30978"/>
    <w:rsid w:val="00A3125D"/>
    <w:rsid w:val="00A44553"/>
    <w:rsid w:val="00A44FFF"/>
    <w:rsid w:val="00A5113D"/>
    <w:rsid w:val="00A602A6"/>
    <w:rsid w:val="00A60DC1"/>
    <w:rsid w:val="00A61343"/>
    <w:rsid w:val="00A6757B"/>
    <w:rsid w:val="00A72FFC"/>
    <w:rsid w:val="00A74AD3"/>
    <w:rsid w:val="00A754B5"/>
    <w:rsid w:val="00A81514"/>
    <w:rsid w:val="00A846CC"/>
    <w:rsid w:val="00A90E37"/>
    <w:rsid w:val="00AA501A"/>
    <w:rsid w:val="00AB579B"/>
    <w:rsid w:val="00AB6FB7"/>
    <w:rsid w:val="00AB77A3"/>
    <w:rsid w:val="00AC1F72"/>
    <w:rsid w:val="00AC2303"/>
    <w:rsid w:val="00AC2C02"/>
    <w:rsid w:val="00AD1491"/>
    <w:rsid w:val="00AF0036"/>
    <w:rsid w:val="00AF1B49"/>
    <w:rsid w:val="00B001A2"/>
    <w:rsid w:val="00B05B1A"/>
    <w:rsid w:val="00B25FEA"/>
    <w:rsid w:val="00B277CE"/>
    <w:rsid w:val="00B442EF"/>
    <w:rsid w:val="00B508C5"/>
    <w:rsid w:val="00B66AD5"/>
    <w:rsid w:val="00B918F3"/>
    <w:rsid w:val="00B928EC"/>
    <w:rsid w:val="00B96C00"/>
    <w:rsid w:val="00BA144D"/>
    <w:rsid w:val="00BA3F5C"/>
    <w:rsid w:val="00BA6555"/>
    <w:rsid w:val="00BA671E"/>
    <w:rsid w:val="00BB1B57"/>
    <w:rsid w:val="00BB73AD"/>
    <w:rsid w:val="00BB7B81"/>
    <w:rsid w:val="00BC3B93"/>
    <w:rsid w:val="00BC6ADB"/>
    <w:rsid w:val="00BC7758"/>
    <w:rsid w:val="00BC7F42"/>
    <w:rsid w:val="00BD01AD"/>
    <w:rsid w:val="00BD5FEC"/>
    <w:rsid w:val="00BE15A0"/>
    <w:rsid w:val="00BE1CCD"/>
    <w:rsid w:val="00BF5B02"/>
    <w:rsid w:val="00C00D13"/>
    <w:rsid w:val="00C03001"/>
    <w:rsid w:val="00C07A6A"/>
    <w:rsid w:val="00C17965"/>
    <w:rsid w:val="00C55B1A"/>
    <w:rsid w:val="00C569D9"/>
    <w:rsid w:val="00C61263"/>
    <w:rsid w:val="00C6289B"/>
    <w:rsid w:val="00C90E80"/>
    <w:rsid w:val="00CA144C"/>
    <w:rsid w:val="00CA2E2F"/>
    <w:rsid w:val="00CA4974"/>
    <w:rsid w:val="00CC337B"/>
    <w:rsid w:val="00CD7394"/>
    <w:rsid w:val="00CF0CCE"/>
    <w:rsid w:val="00CF5E46"/>
    <w:rsid w:val="00D506FA"/>
    <w:rsid w:val="00D55C17"/>
    <w:rsid w:val="00D646F8"/>
    <w:rsid w:val="00D65545"/>
    <w:rsid w:val="00D765ED"/>
    <w:rsid w:val="00D836E6"/>
    <w:rsid w:val="00D84DE2"/>
    <w:rsid w:val="00D85624"/>
    <w:rsid w:val="00D90ECD"/>
    <w:rsid w:val="00DA66C5"/>
    <w:rsid w:val="00DB423E"/>
    <w:rsid w:val="00DB4862"/>
    <w:rsid w:val="00DC1019"/>
    <w:rsid w:val="00DF4E0F"/>
    <w:rsid w:val="00DF5890"/>
    <w:rsid w:val="00DF7DA2"/>
    <w:rsid w:val="00E15CF9"/>
    <w:rsid w:val="00E26375"/>
    <w:rsid w:val="00E33024"/>
    <w:rsid w:val="00E33DBD"/>
    <w:rsid w:val="00E43F17"/>
    <w:rsid w:val="00E5320B"/>
    <w:rsid w:val="00E57655"/>
    <w:rsid w:val="00E65408"/>
    <w:rsid w:val="00E65BA6"/>
    <w:rsid w:val="00E71E5B"/>
    <w:rsid w:val="00E72E1B"/>
    <w:rsid w:val="00E7654D"/>
    <w:rsid w:val="00E810AA"/>
    <w:rsid w:val="00E91DCF"/>
    <w:rsid w:val="00E936A1"/>
    <w:rsid w:val="00EA64A8"/>
    <w:rsid w:val="00EC1291"/>
    <w:rsid w:val="00EE02F6"/>
    <w:rsid w:val="00EF47B4"/>
    <w:rsid w:val="00F02217"/>
    <w:rsid w:val="00F26EA2"/>
    <w:rsid w:val="00F30B08"/>
    <w:rsid w:val="00F316D4"/>
    <w:rsid w:val="00F3246B"/>
    <w:rsid w:val="00F52A61"/>
    <w:rsid w:val="00F61EB2"/>
    <w:rsid w:val="00F675F8"/>
    <w:rsid w:val="00F7252F"/>
    <w:rsid w:val="00F86E7E"/>
    <w:rsid w:val="00FA09FF"/>
    <w:rsid w:val="00FB19F6"/>
    <w:rsid w:val="00FE3CD1"/>
    <w:rsid w:val="00FF6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998B72"/>
  <w15:chartTrackingRefBased/>
  <w15:docId w15:val="{C1E8F767-1054-401E-8C51-ED8142A4B3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8A4DD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NoteBibliographyTitle">
    <w:name w:val="EndNote Bibliography Title"/>
    <w:basedOn w:val="Normal"/>
    <w:link w:val="EndNoteBibliographyTitleChar"/>
    <w:rsid w:val="00142F4D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142F4D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142F4D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142F4D"/>
    <w:rPr>
      <w:rFonts w:ascii="Calibri" w:hAnsi="Calibri" w:cs="Calibri"/>
      <w:noProof/>
    </w:rPr>
  </w:style>
  <w:style w:type="character" w:customStyle="1" w:styleId="Heading3Char">
    <w:name w:val="Heading 3 Char"/>
    <w:basedOn w:val="DefaultParagraphFont"/>
    <w:link w:val="Heading3"/>
    <w:uiPriority w:val="9"/>
    <w:rsid w:val="008A4DD1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NormalWeb">
    <w:name w:val="Normal (Web)"/>
    <w:basedOn w:val="Normal"/>
    <w:uiPriority w:val="99"/>
    <w:unhideWhenUsed/>
    <w:rsid w:val="008A4D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450592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50592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737C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1521C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A7A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7A99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12A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2ACE"/>
  </w:style>
  <w:style w:type="paragraph" w:styleId="Footer">
    <w:name w:val="footer"/>
    <w:basedOn w:val="Normal"/>
    <w:link w:val="FooterChar"/>
    <w:uiPriority w:val="99"/>
    <w:unhideWhenUsed/>
    <w:rsid w:val="00612A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2ACE"/>
  </w:style>
  <w:style w:type="paragraph" w:styleId="ListParagraph">
    <w:name w:val="List Paragraph"/>
    <w:basedOn w:val="Normal"/>
    <w:uiPriority w:val="34"/>
    <w:qFormat/>
    <w:rsid w:val="008D58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85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60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228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51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4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46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9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26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53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4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Microsoft_Excel_Worksheet2.xlsx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Excel_Worksheet1.xlsx"/><Relationship Id="rId5" Type="http://schemas.openxmlformats.org/officeDocument/2006/relationships/webSettings" Target="webSettings.xml"/><Relationship Id="rId15" Type="http://schemas.openxmlformats.org/officeDocument/2006/relationships/package" Target="embeddings/Microsoft_Excel_Worksheet3.xlsx"/><Relationship Id="rId10" Type="http://schemas.openxmlformats.org/officeDocument/2006/relationships/image" Target="media/image2.emf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D962E0-1402-4D49-AC47-749D4EFDBB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6</Pages>
  <Words>549</Words>
  <Characters>3134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Leif Peterson</dc:creator>
  <cp:keywords/>
  <dc:description/>
  <cp:lastModifiedBy>Leif Peterson</cp:lastModifiedBy>
  <cp:revision>25</cp:revision>
  <cp:lastPrinted>2018-11-30T17:59:00Z</cp:lastPrinted>
  <dcterms:created xsi:type="dcterms:W3CDTF">2018-12-02T01:05:00Z</dcterms:created>
  <dcterms:modified xsi:type="dcterms:W3CDTF">2019-01-04T22:49:00Z</dcterms:modified>
</cp:coreProperties>
</file>