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C43B4F" w14:textId="77777777" w:rsidR="00D53F86" w:rsidRPr="005E4148" w:rsidRDefault="00311103" w:rsidP="00D53F86">
      <w:pPr>
        <w:pStyle w:val="MDPI11articletype"/>
        <w:spacing w:before="120"/>
      </w:pPr>
      <w:r>
        <w:t>Supplementary Materials</w:t>
      </w:r>
    </w:p>
    <w:p w14:paraId="5A24315F" w14:textId="77777777" w:rsidR="00311103" w:rsidRDefault="00311103" w:rsidP="00311103">
      <w:pPr>
        <w:pStyle w:val="MDPI12title"/>
        <w:spacing w:line="240" w:lineRule="atLeast"/>
      </w:pPr>
      <w:r>
        <w:t xml:space="preserve">Antibody screening by microarray technology – </w:t>
      </w:r>
      <w:r>
        <w:br/>
        <w:t>direct identification of selective high-affinity clones</w:t>
      </w:r>
    </w:p>
    <w:p w14:paraId="3986FB07" w14:textId="77777777" w:rsidR="00311103" w:rsidRPr="00E17CCD" w:rsidRDefault="00311103" w:rsidP="00311103">
      <w:pPr>
        <w:pStyle w:val="MDPI13authornames"/>
      </w:pPr>
      <w:bookmarkStart w:id="0" w:name="_Hlk773653"/>
      <w:r w:rsidRPr="00E17CCD">
        <w:t>Martin Paul</w:t>
      </w:r>
      <w:r>
        <w:t xml:space="preserve"> </w:t>
      </w:r>
      <w:r w:rsidRPr="00E17CCD">
        <w:t>[</w:t>
      </w:r>
      <w:hyperlink r:id="rId5" w:history="1">
        <w:r w:rsidRPr="00E17CCD">
          <w:rPr>
            <w:rStyle w:val="Hyperlink"/>
          </w:rPr>
          <w:t>ORCID</w:t>
        </w:r>
      </w:hyperlink>
      <w:r w:rsidRPr="00E17CCD">
        <w:t>]</w:t>
      </w:r>
      <w:r w:rsidRPr="00E17CCD">
        <w:rPr>
          <w:vertAlign w:val="superscript"/>
        </w:rPr>
        <w:t>1</w:t>
      </w:r>
      <w:r w:rsidRPr="00E17CCD">
        <w:t>, Michael G. Weller [</w:t>
      </w:r>
      <w:hyperlink r:id="rId6" w:history="1">
        <w:r w:rsidRPr="00E17CCD">
          <w:rPr>
            <w:rStyle w:val="Hyperlink"/>
          </w:rPr>
          <w:t>ORCID</w:t>
        </w:r>
      </w:hyperlink>
      <w:r w:rsidRPr="00E17CCD">
        <w:t>]</w:t>
      </w:r>
      <w:r w:rsidRPr="00E17CCD">
        <w:rPr>
          <w:vertAlign w:val="superscript"/>
        </w:rPr>
        <w:t>1</w:t>
      </w:r>
      <w:r w:rsidRPr="00E17CCD">
        <w:t>*</w:t>
      </w:r>
    </w:p>
    <w:p w14:paraId="0A591C81" w14:textId="77777777" w:rsidR="00311103" w:rsidRPr="00FB4872" w:rsidRDefault="00311103" w:rsidP="00311103">
      <w:pPr>
        <w:pStyle w:val="MDPI16affiliation"/>
        <w:numPr>
          <w:ilvl w:val="0"/>
          <w:numId w:val="1"/>
        </w:numPr>
      </w:pPr>
      <w:r w:rsidRPr="00FB4872">
        <w:t>Federal Institute for Materials Research and Testing (BAM), Division 1.5 Protein Analysis, Richard-Willstätter-Strasse 11, 12489 Berlin, Germany</w:t>
      </w:r>
    </w:p>
    <w:p w14:paraId="17A735FD" w14:textId="77777777" w:rsidR="00311103" w:rsidRPr="00FB4872" w:rsidRDefault="00311103" w:rsidP="00311103">
      <w:pPr>
        <w:pStyle w:val="MDPI14history"/>
        <w:spacing w:before="0"/>
        <w:ind w:left="311" w:hanging="198"/>
      </w:pPr>
      <w:r w:rsidRPr="00FB4872">
        <w:rPr>
          <w:b/>
        </w:rPr>
        <w:t>*</w:t>
      </w:r>
      <w:r w:rsidRPr="00FB4872">
        <w:tab/>
        <w:t>Correspondence: michael.weller@bam.de; Tel.: +49-30-8104-115</w:t>
      </w:r>
      <w:r>
        <w:t>0</w:t>
      </w:r>
    </w:p>
    <w:bookmarkEnd w:id="0"/>
    <w:p w14:paraId="04CEFC70" w14:textId="77777777" w:rsidR="00311103" w:rsidRDefault="00311103" w:rsidP="00311103">
      <w:pPr>
        <w:pStyle w:val="MDPI14history"/>
        <w:spacing w:before="0"/>
        <w:ind w:left="0"/>
      </w:pPr>
    </w:p>
    <w:p w14:paraId="13B6F9C8" w14:textId="77777777" w:rsidR="00311103" w:rsidRDefault="00311103" w:rsidP="00311103">
      <w:pPr>
        <w:rPr>
          <w:lang w:val="en-US" w:eastAsia="de-DE" w:bidi="en-US"/>
        </w:rPr>
      </w:pPr>
    </w:p>
    <w:p w14:paraId="6D991DC2" w14:textId="77777777" w:rsidR="00D53F86" w:rsidRPr="00223AE6" w:rsidRDefault="00311103" w:rsidP="00311103">
      <w:pPr>
        <w:rPr>
          <w:b/>
          <w:lang w:val="en-US"/>
        </w:rPr>
      </w:pPr>
      <w:bookmarkStart w:id="1" w:name="_Hlk23351718"/>
      <w:r w:rsidRPr="00223AE6">
        <w:rPr>
          <w:rFonts w:ascii="Palatino Linotype" w:hAnsi="Palatino Linotype"/>
          <w:b/>
          <w:lang w:val="en-US" w:eastAsia="de-DE" w:bidi="en-US"/>
        </w:rPr>
        <w:t>Description of the semi-automated data evaluation</w:t>
      </w:r>
    </w:p>
    <w:bookmarkEnd w:id="1"/>
    <w:p w14:paraId="26178CD8" w14:textId="2A7DBF0F" w:rsidR="00961BC4" w:rsidRPr="00696885" w:rsidRDefault="00961BC4" w:rsidP="00961BC4">
      <w:pPr>
        <w:rPr>
          <w:rFonts w:ascii="Palatino Linotype" w:hAnsi="Palatino Linotype"/>
          <w:sz w:val="18"/>
          <w:szCs w:val="18"/>
          <w:lang w:val="en-US"/>
        </w:rPr>
      </w:pPr>
      <w:r w:rsidRPr="00696885">
        <w:rPr>
          <w:rFonts w:ascii="Palatino Linotype" w:hAnsi="Palatino Linotype"/>
          <w:sz w:val="18"/>
          <w:szCs w:val="18"/>
          <w:lang w:val="en-US"/>
        </w:rPr>
        <w:t>The data evaluation with Python</w:t>
      </w:r>
      <w:r w:rsidR="009326F4" w:rsidRPr="00696885">
        <w:rPr>
          <w:rFonts w:ascii="Palatino Linotype" w:hAnsi="Palatino Linotype"/>
          <w:sz w:val="18"/>
          <w:szCs w:val="18"/>
          <w:lang w:val="en-US"/>
        </w:rPr>
        <w:t xml:space="preserve"> 3.7</w:t>
      </w:r>
      <w:r w:rsidRPr="00696885">
        <w:rPr>
          <w:rFonts w:ascii="Palatino Linotype" w:hAnsi="Palatino Linotype"/>
          <w:sz w:val="18"/>
          <w:szCs w:val="18"/>
          <w:lang w:val="en-US"/>
        </w:rPr>
        <w:t xml:space="preserve"> was </w:t>
      </w:r>
      <w:r w:rsidR="009326F4" w:rsidRPr="00696885">
        <w:rPr>
          <w:rFonts w:ascii="Palatino Linotype" w:hAnsi="Palatino Linotype"/>
          <w:sz w:val="18"/>
          <w:szCs w:val="18"/>
          <w:lang w:val="en-US"/>
        </w:rPr>
        <w:t xml:space="preserve">performed with the development environment </w:t>
      </w:r>
      <w:proofErr w:type="spellStart"/>
      <w:r w:rsidR="009326F4" w:rsidRPr="00696885">
        <w:rPr>
          <w:rFonts w:ascii="Palatino Linotype" w:hAnsi="Palatino Linotype"/>
          <w:sz w:val="18"/>
          <w:szCs w:val="18"/>
          <w:lang w:val="en-US"/>
        </w:rPr>
        <w:t>Spyer</w:t>
      </w:r>
      <w:proofErr w:type="spellEnd"/>
      <w:r w:rsidR="009326F4" w:rsidRPr="00696885">
        <w:rPr>
          <w:rFonts w:ascii="Palatino Linotype" w:hAnsi="Palatino Linotype"/>
          <w:sz w:val="18"/>
          <w:szCs w:val="18"/>
          <w:lang w:val="en-US"/>
        </w:rPr>
        <w:t xml:space="preserve"> 3.2.2 in the Anaconda environment. The script supplied by us is intended to be used with the </w:t>
      </w:r>
      <w:r w:rsidR="003665E6">
        <w:rPr>
          <w:rFonts w:ascii="Palatino Linotype" w:hAnsi="Palatino Linotype"/>
          <w:sz w:val="18"/>
          <w:szCs w:val="18"/>
          <w:lang w:val="en-US"/>
        </w:rPr>
        <w:t>very</w:t>
      </w:r>
      <w:r w:rsidR="009326F4" w:rsidRPr="00696885">
        <w:rPr>
          <w:rFonts w:ascii="Palatino Linotype" w:hAnsi="Palatino Linotype"/>
          <w:sz w:val="18"/>
          <w:szCs w:val="18"/>
          <w:lang w:val="en-US"/>
        </w:rPr>
        <w:t xml:space="preserve"> application. After the files have been stored in a separate folder</w:t>
      </w:r>
      <w:r w:rsidR="00311103">
        <w:rPr>
          <w:rFonts w:ascii="Palatino Linotype" w:hAnsi="Palatino Linotype"/>
          <w:sz w:val="18"/>
          <w:szCs w:val="18"/>
          <w:lang w:val="en-US"/>
        </w:rPr>
        <w:t>,</w:t>
      </w:r>
      <w:r w:rsidR="009326F4" w:rsidRPr="00696885">
        <w:rPr>
          <w:rFonts w:ascii="Palatino Linotype" w:hAnsi="Palatino Linotype"/>
          <w:sz w:val="18"/>
          <w:szCs w:val="18"/>
          <w:lang w:val="en-US"/>
        </w:rPr>
        <w:t xml:space="preserve"> the correct path </w:t>
      </w:r>
      <w:r w:rsidR="00311103">
        <w:rPr>
          <w:rFonts w:ascii="Palatino Linotype" w:hAnsi="Palatino Linotype"/>
          <w:sz w:val="18"/>
          <w:szCs w:val="18"/>
          <w:lang w:val="en-US"/>
        </w:rPr>
        <w:t xml:space="preserve">needs to </w:t>
      </w:r>
      <w:r w:rsidR="009326F4" w:rsidRPr="00696885">
        <w:rPr>
          <w:rFonts w:ascii="Palatino Linotype" w:hAnsi="Palatino Linotype"/>
          <w:sz w:val="18"/>
          <w:szCs w:val="18"/>
          <w:lang w:val="en-US"/>
        </w:rPr>
        <w:t xml:space="preserve">be </w:t>
      </w:r>
      <w:r w:rsidR="00311103">
        <w:rPr>
          <w:rFonts w:ascii="Palatino Linotype" w:hAnsi="Palatino Linotype"/>
          <w:sz w:val="18"/>
          <w:szCs w:val="18"/>
          <w:lang w:val="en-US"/>
        </w:rPr>
        <w:t>copied</w:t>
      </w:r>
      <w:r w:rsidR="009326F4" w:rsidRPr="00696885">
        <w:rPr>
          <w:rFonts w:ascii="Palatino Linotype" w:hAnsi="Palatino Linotype"/>
          <w:sz w:val="18"/>
          <w:szCs w:val="18"/>
          <w:lang w:val="en-US"/>
        </w:rPr>
        <w:t xml:space="preserve"> in</w:t>
      </w:r>
      <w:r w:rsidR="00311103">
        <w:rPr>
          <w:rFonts w:ascii="Palatino Linotype" w:hAnsi="Palatino Linotype"/>
          <w:sz w:val="18"/>
          <w:szCs w:val="18"/>
          <w:lang w:val="en-US"/>
        </w:rPr>
        <w:t>to</w:t>
      </w:r>
      <w:r w:rsidR="009326F4" w:rsidRPr="00696885">
        <w:rPr>
          <w:rFonts w:ascii="Palatino Linotype" w:hAnsi="Palatino Linotype"/>
          <w:sz w:val="18"/>
          <w:szCs w:val="18"/>
          <w:lang w:val="en-US"/>
        </w:rPr>
        <w:t xml:space="preserve"> the script (</w:t>
      </w:r>
      <w:r w:rsidR="00311103">
        <w:rPr>
          <w:rFonts w:ascii="Palatino Linotype" w:hAnsi="Palatino Linotype"/>
          <w:sz w:val="18"/>
          <w:szCs w:val="18"/>
          <w:lang w:val="en-US"/>
        </w:rPr>
        <w:t>F</w:t>
      </w:r>
      <w:r w:rsidR="009326F4" w:rsidRPr="00696885">
        <w:rPr>
          <w:rFonts w:ascii="Palatino Linotype" w:hAnsi="Palatino Linotype"/>
          <w:sz w:val="18"/>
          <w:szCs w:val="18"/>
          <w:lang w:val="en-US"/>
        </w:rPr>
        <w:t>ig.</w:t>
      </w:r>
      <w:r w:rsidR="00311103">
        <w:rPr>
          <w:rFonts w:ascii="Palatino Linotype" w:hAnsi="Palatino Linotype"/>
          <w:sz w:val="18"/>
          <w:szCs w:val="18"/>
          <w:lang w:val="en-US"/>
        </w:rPr>
        <w:t xml:space="preserve"> S</w:t>
      </w:r>
      <w:r w:rsidR="009326F4" w:rsidRPr="00696885">
        <w:rPr>
          <w:rFonts w:ascii="Palatino Linotype" w:hAnsi="Palatino Linotype"/>
          <w:sz w:val="18"/>
          <w:szCs w:val="18"/>
          <w:lang w:val="en-US"/>
        </w:rPr>
        <w:t>1)</w:t>
      </w:r>
    </w:p>
    <w:p w14:paraId="70830D90" w14:textId="77777777" w:rsidR="009326F4" w:rsidRDefault="009326F4" w:rsidP="00961BC4">
      <w:pPr>
        <w:rPr>
          <w:lang w:val="en-US" w:eastAsia="de-DE" w:bidi="en-US"/>
        </w:rPr>
      </w:pPr>
    </w:p>
    <w:p w14:paraId="6EAC3802" w14:textId="77777777" w:rsidR="009326F4" w:rsidRDefault="009326F4" w:rsidP="00961BC4">
      <w:pPr>
        <w:rPr>
          <w:lang w:val="en-US" w:eastAsia="de-DE" w:bidi="en-US"/>
        </w:rPr>
      </w:pPr>
      <w:r>
        <w:rPr>
          <w:noProof/>
          <w:lang w:val="en-US" w:eastAsia="de-DE" w:bidi="en-US"/>
        </w:rPr>
        <w:drawing>
          <wp:inline distT="0" distB="0" distL="0" distR="0" wp14:anchorId="0DBC2BD0" wp14:editId="46BA9DCA">
            <wp:extent cx="5759450" cy="1079500"/>
            <wp:effectExtent l="0" t="0" r="0" b="635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-27000" contrast="66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ED97BD" w14:textId="6A2204F7" w:rsidR="009326F4" w:rsidRPr="00223AE6" w:rsidRDefault="009326F4" w:rsidP="00961BC4">
      <w:pPr>
        <w:rPr>
          <w:rFonts w:ascii="Palatino Linotype" w:hAnsi="Palatino Linotype"/>
          <w:b/>
          <w:sz w:val="18"/>
          <w:szCs w:val="18"/>
          <w:lang w:val="en-US"/>
        </w:rPr>
      </w:pPr>
      <w:r w:rsidRPr="00223AE6">
        <w:rPr>
          <w:rFonts w:ascii="Palatino Linotype" w:hAnsi="Palatino Linotype"/>
          <w:b/>
          <w:sz w:val="18"/>
          <w:szCs w:val="18"/>
          <w:lang w:val="en-US"/>
        </w:rPr>
        <w:t>Fig.</w:t>
      </w:r>
      <w:r w:rsidR="00311103" w:rsidRPr="00223AE6">
        <w:rPr>
          <w:rFonts w:ascii="Palatino Linotype" w:hAnsi="Palatino Linotype"/>
          <w:b/>
          <w:sz w:val="18"/>
          <w:szCs w:val="18"/>
          <w:lang w:val="en-US"/>
        </w:rPr>
        <w:t xml:space="preserve"> S</w:t>
      </w:r>
      <w:r w:rsidRPr="00223AE6">
        <w:rPr>
          <w:rFonts w:ascii="Palatino Linotype" w:hAnsi="Palatino Linotype"/>
          <w:b/>
          <w:sz w:val="18"/>
          <w:szCs w:val="18"/>
          <w:lang w:val="en-US"/>
        </w:rPr>
        <w:t>1</w:t>
      </w:r>
      <w:r w:rsidR="009A2D89" w:rsidRPr="00223AE6">
        <w:rPr>
          <w:rFonts w:ascii="Palatino Linotype" w:hAnsi="Palatino Linotype"/>
          <w:b/>
          <w:sz w:val="18"/>
          <w:szCs w:val="18"/>
          <w:lang w:val="en-US"/>
        </w:rPr>
        <w:t>:</w:t>
      </w:r>
      <w:r w:rsidRPr="00223AE6">
        <w:rPr>
          <w:rFonts w:ascii="Palatino Linotype" w:hAnsi="Palatino Linotype"/>
          <w:b/>
          <w:sz w:val="18"/>
          <w:szCs w:val="18"/>
          <w:lang w:val="en-US"/>
        </w:rPr>
        <w:t xml:space="preserve"> The correct path needs to be pasted between the </w:t>
      </w:r>
      <w:proofErr w:type="gramStart"/>
      <w:r w:rsidRPr="00223AE6">
        <w:rPr>
          <w:rFonts w:ascii="Palatino Linotype" w:hAnsi="Palatino Linotype"/>
          <w:b/>
          <w:sz w:val="18"/>
          <w:szCs w:val="18"/>
          <w:lang w:val="en-US"/>
        </w:rPr>
        <w:t>“ ”</w:t>
      </w:r>
      <w:proofErr w:type="gramEnd"/>
      <w:r w:rsidRPr="00223AE6">
        <w:rPr>
          <w:rFonts w:ascii="Palatino Linotype" w:hAnsi="Palatino Linotype"/>
          <w:b/>
          <w:sz w:val="18"/>
          <w:szCs w:val="18"/>
          <w:lang w:val="en-US"/>
        </w:rPr>
        <w:t xml:space="preserve"> at line 64</w:t>
      </w:r>
      <w:r w:rsidR="00311103" w:rsidRPr="00223AE6">
        <w:rPr>
          <w:rFonts w:ascii="Palatino Linotype" w:hAnsi="Palatino Linotype"/>
          <w:b/>
          <w:sz w:val="18"/>
          <w:szCs w:val="18"/>
          <w:lang w:val="en-US"/>
        </w:rPr>
        <w:t>:</w:t>
      </w:r>
      <w:r w:rsidRPr="00223AE6">
        <w:rPr>
          <w:rFonts w:ascii="Palatino Linotype" w:hAnsi="Palatino Linotype"/>
          <w:b/>
          <w:sz w:val="18"/>
          <w:szCs w:val="18"/>
          <w:lang w:val="en-US"/>
        </w:rPr>
        <w:t xml:space="preserve"> </w:t>
      </w:r>
      <w:r w:rsidR="00311103" w:rsidRPr="00223AE6">
        <w:rPr>
          <w:rFonts w:ascii="Palatino Linotype" w:hAnsi="Palatino Linotype"/>
          <w:b/>
          <w:sz w:val="18"/>
          <w:szCs w:val="18"/>
          <w:lang w:val="en-US"/>
        </w:rPr>
        <w:t>P</w:t>
      </w:r>
      <w:r w:rsidRPr="00223AE6">
        <w:rPr>
          <w:rFonts w:ascii="Palatino Linotype" w:hAnsi="Palatino Linotype"/>
          <w:b/>
          <w:sz w:val="18"/>
          <w:szCs w:val="18"/>
          <w:lang w:val="en-US"/>
        </w:rPr>
        <w:t xml:space="preserve">lease add </w:t>
      </w:r>
      <w:r w:rsidR="00311103" w:rsidRPr="00223AE6">
        <w:rPr>
          <w:rFonts w:ascii="Palatino Linotype" w:hAnsi="Palatino Linotype"/>
          <w:b/>
          <w:sz w:val="18"/>
          <w:szCs w:val="18"/>
          <w:lang w:val="en-US"/>
        </w:rPr>
        <w:t>double</w:t>
      </w:r>
      <w:r w:rsidRPr="00223AE6">
        <w:rPr>
          <w:rFonts w:ascii="Palatino Linotype" w:hAnsi="Palatino Linotype"/>
          <w:b/>
          <w:sz w:val="18"/>
          <w:szCs w:val="18"/>
          <w:lang w:val="en-US"/>
        </w:rPr>
        <w:t xml:space="preserve"> \</w:t>
      </w:r>
      <w:r w:rsidR="00311103" w:rsidRPr="00223AE6">
        <w:rPr>
          <w:rFonts w:ascii="Palatino Linotype" w:hAnsi="Palatino Linotype"/>
          <w:b/>
          <w:sz w:val="18"/>
          <w:szCs w:val="18"/>
          <w:lang w:val="en-US"/>
        </w:rPr>
        <w:t>\</w:t>
      </w:r>
      <w:r w:rsidRPr="00223AE6">
        <w:rPr>
          <w:rFonts w:ascii="Palatino Linotype" w:hAnsi="Palatino Linotype"/>
          <w:b/>
          <w:sz w:val="18"/>
          <w:szCs w:val="18"/>
          <w:lang w:val="en-US"/>
        </w:rPr>
        <w:t xml:space="preserve"> like shown in this example.</w:t>
      </w:r>
    </w:p>
    <w:p w14:paraId="38E326F8" w14:textId="77777777" w:rsidR="009326F4" w:rsidRPr="00696885" w:rsidRDefault="009326F4" w:rsidP="00961BC4">
      <w:pPr>
        <w:rPr>
          <w:rFonts w:ascii="Palatino Linotype" w:hAnsi="Palatino Linotype"/>
          <w:sz w:val="18"/>
          <w:szCs w:val="18"/>
          <w:lang w:val="en-US"/>
        </w:rPr>
      </w:pPr>
      <w:r w:rsidRPr="00696885">
        <w:rPr>
          <w:rFonts w:ascii="Palatino Linotype" w:hAnsi="Palatino Linotype"/>
          <w:sz w:val="18"/>
          <w:szCs w:val="18"/>
          <w:lang w:val="en-US"/>
        </w:rPr>
        <w:t xml:space="preserve">The folder </w:t>
      </w:r>
      <w:r w:rsidR="00311103">
        <w:rPr>
          <w:rFonts w:ascii="Palatino Linotype" w:hAnsi="Palatino Linotype"/>
          <w:sz w:val="18"/>
          <w:szCs w:val="18"/>
          <w:lang w:val="en-US"/>
        </w:rPr>
        <w:t>should</w:t>
      </w:r>
      <w:r w:rsidRPr="00696885">
        <w:rPr>
          <w:rFonts w:ascii="Palatino Linotype" w:hAnsi="Palatino Linotype"/>
          <w:sz w:val="18"/>
          <w:szCs w:val="18"/>
          <w:lang w:val="en-US"/>
        </w:rPr>
        <w:t xml:space="preserve"> contain the script and the competitive and non-competitive scans as .</w:t>
      </w:r>
      <w:proofErr w:type="spellStart"/>
      <w:r w:rsidRPr="00696885">
        <w:rPr>
          <w:rFonts w:ascii="Palatino Linotype" w:hAnsi="Palatino Linotype"/>
          <w:sz w:val="18"/>
          <w:szCs w:val="18"/>
          <w:lang w:val="en-US"/>
        </w:rPr>
        <w:t>tif</w:t>
      </w:r>
      <w:proofErr w:type="spellEnd"/>
      <w:r w:rsidRPr="00696885">
        <w:rPr>
          <w:rFonts w:ascii="Palatino Linotype" w:hAnsi="Palatino Linotype"/>
          <w:sz w:val="18"/>
          <w:szCs w:val="18"/>
          <w:lang w:val="en-US"/>
        </w:rPr>
        <w:t xml:space="preserve"> files</w:t>
      </w:r>
      <w:r w:rsidR="00311103">
        <w:rPr>
          <w:rFonts w:ascii="Palatino Linotype" w:hAnsi="Palatino Linotype"/>
          <w:sz w:val="18"/>
          <w:szCs w:val="18"/>
          <w:lang w:val="en-US"/>
        </w:rPr>
        <w:t>.</w:t>
      </w:r>
      <w:r w:rsidRPr="00696885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311103">
        <w:rPr>
          <w:rFonts w:ascii="Palatino Linotype" w:hAnsi="Palatino Linotype"/>
          <w:sz w:val="18"/>
          <w:szCs w:val="18"/>
          <w:lang w:val="en-US"/>
        </w:rPr>
        <w:t>Finally, a</w:t>
      </w:r>
      <w:r w:rsidRPr="00696885">
        <w:rPr>
          <w:rFonts w:ascii="Palatino Linotype" w:hAnsi="Palatino Linotype"/>
          <w:sz w:val="18"/>
          <w:szCs w:val="18"/>
          <w:lang w:val="en-US"/>
        </w:rPr>
        <w:t xml:space="preserve">ll results are exported as </w:t>
      </w:r>
      <w:r w:rsidR="00311103">
        <w:rPr>
          <w:rFonts w:ascii="Palatino Linotype" w:hAnsi="Palatino Linotype"/>
          <w:sz w:val="18"/>
          <w:szCs w:val="18"/>
          <w:lang w:val="en-US"/>
        </w:rPr>
        <w:t xml:space="preserve">a </w:t>
      </w:r>
      <w:r w:rsidRPr="00696885">
        <w:rPr>
          <w:rFonts w:ascii="Palatino Linotype" w:hAnsi="Palatino Linotype"/>
          <w:sz w:val="18"/>
          <w:szCs w:val="18"/>
          <w:lang w:val="en-US"/>
        </w:rPr>
        <w:t>.txt</w:t>
      </w:r>
      <w:r w:rsidR="00311103">
        <w:rPr>
          <w:rFonts w:ascii="Palatino Linotype" w:hAnsi="Palatino Linotype"/>
          <w:sz w:val="18"/>
          <w:szCs w:val="18"/>
          <w:lang w:val="en-US"/>
        </w:rPr>
        <w:t xml:space="preserve"> file</w:t>
      </w:r>
      <w:r w:rsidRPr="00696885">
        <w:rPr>
          <w:rFonts w:ascii="Palatino Linotype" w:hAnsi="Palatino Linotype"/>
          <w:sz w:val="18"/>
          <w:szCs w:val="18"/>
          <w:lang w:val="en-US"/>
        </w:rPr>
        <w:t xml:space="preserve"> in this folder. In Fig.</w:t>
      </w:r>
      <w:r w:rsidR="00311103">
        <w:rPr>
          <w:rFonts w:ascii="Palatino Linotype" w:hAnsi="Palatino Linotype"/>
          <w:sz w:val="18"/>
          <w:szCs w:val="18"/>
          <w:lang w:val="en-US"/>
        </w:rPr>
        <w:t xml:space="preserve"> S</w:t>
      </w:r>
      <w:r w:rsidRPr="00696885">
        <w:rPr>
          <w:rFonts w:ascii="Palatino Linotype" w:hAnsi="Palatino Linotype"/>
          <w:sz w:val="18"/>
          <w:szCs w:val="18"/>
          <w:lang w:val="en-US"/>
        </w:rPr>
        <w:t>2 an example is shown with the path.</w:t>
      </w:r>
    </w:p>
    <w:p w14:paraId="7D5AD4DA" w14:textId="77777777" w:rsidR="009326F4" w:rsidRPr="00961BC4" w:rsidRDefault="009326F4" w:rsidP="00961BC4">
      <w:pPr>
        <w:rPr>
          <w:lang w:val="en-US" w:eastAsia="de-DE" w:bidi="en-US"/>
        </w:rPr>
      </w:pPr>
      <w:r>
        <w:rPr>
          <w:noProof/>
          <w:lang w:val="en-US" w:eastAsia="de-DE" w:bidi="en-US"/>
        </w:rPr>
        <w:drawing>
          <wp:inline distT="0" distB="0" distL="0" distR="0" wp14:anchorId="47CE7793" wp14:editId="56CE2A02">
            <wp:extent cx="5759450" cy="149225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49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4AA74" w14:textId="77777777" w:rsidR="007B704A" w:rsidRPr="00223AE6" w:rsidRDefault="00726334" w:rsidP="00696885">
      <w:pPr>
        <w:spacing w:line="360" w:lineRule="auto"/>
        <w:jc w:val="both"/>
        <w:rPr>
          <w:rFonts w:ascii="Palatino Linotype" w:hAnsi="Palatino Linotype"/>
          <w:b/>
          <w:sz w:val="18"/>
          <w:szCs w:val="18"/>
          <w:lang w:val="en-US"/>
        </w:rPr>
      </w:pPr>
      <w:r w:rsidRPr="00223AE6">
        <w:rPr>
          <w:rFonts w:ascii="Palatino Linotype" w:hAnsi="Palatino Linotype"/>
          <w:b/>
          <w:sz w:val="18"/>
          <w:szCs w:val="18"/>
          <w:lang w:val="en-US"/>
        </w:rPr>
        <w:t xml:space="preserve"> </w:t>
      </w:r>
      <w:r w:rsidR="009326F4" w:rsidRPr="00223AE6">
        <w:rPr>
          <w:rFonts w:ascii="Palatino Linotype" w:hAnsi="Palatino Linotype"/>
          <w:b/>
          <w:sz w:val="18"/>
          <w:szCs w:val="18"/>
          <w:lang w:val="en-US"/>
        </w:rPr>
        <w:t xml:space="preserve">Fig. </w:t>
      </w:r>
      <w:r w:rsidR="00311103" w:rsidRPr="00223AE6">
        <w:rPr>
          <w:rFonts w:ascii="Palatino Linotype" w:hAnsi="Palatino Linotype"/>
          <w:b/>
          <w:sz w:val="18"/>
          <w:szCs w:val="18"/>
          <w:lang w:val="en-US"/>
        </w:rPr>
        <w:t>S</w:t>
      </w:r>
      <w:r w:rsidR="009326F4" w:rsidRPr="00223AE6">
        <w:rPr>
          <w:rFonts w:ascii="Palatino Linotype" w:hAnsi="Palatino Linotype"/>
          <w:b/>
          <w:sz w:val="18"/>
          <w:szCs w:val="18"/>
          <w:lang w:val="en-US"/>
        </w:rPr>
        <w:t>2 Example for a folder and the path.</w:t>
      </w:r>
    </w:p>
    <w:p w14:paraId="682BF656" w14:textId="61A18032" w:rsidR="009326F4" w:rsidRPr="00696885" w:rsidRDefault="00696885" w:rsidP="00696885">
      <w:pPr>
        <w:spacing w:line="360" w:lineRule="auto"/>
        <w:jc w:val="both"/>
        <w:rPr>
          <w:rFonts w:ascii="Palatino Linotype" w:hAnsi="Palatino Linotype"/>
          <w:sz w:val="18"/>
          <w:szCs w:val="18"/>
          <w:lang w:val="en-US"/>
        </w:rPr>
      </w:pPr>
      <w:r w:rsidRPr="00696885">
        <w:rPr>
          <w:rFonts w:ascii="Palatino Linotype" w:hAnsi="Palatino Linotype"/>
          <w:sz w:val="18"/>
          <w:szCs w:val="18"/>
          <w:lang w:val="en-US"/>
        </w:rPr>
        <w:t xml:space="preserve">The program requires manual user-input, the parameters needed to evaluate the given sample data of </w:t>
      </w:r>
      <w:r w:rsidR="00311103">
        <w:rPr>
          <w:rFonts w:ascii="Palatino Linotype" w:hAnsi="Palatino Linotype"/>
          <w:sz w:val="18"/>
          <w:szCs w:val="18"/>
          <w:lang w:val="en-US"/>
        </w:rPr>
        <w:t>the</w:t>
      </w:r>
      <w:r w:rsidRPr="00696885">
        <w:rPr>
          <w:rFonts w:ascii="Palatino Linotype" w:hAnsi="Palatino Linotype"/>
          <w:sz w:val="18"/>
          <w:szCs w:val="18"/>
          <w:lang w:val="en-US"/>
        </w:rPr>
        <w:t xml:space="preserve"> experiment are supplied by the program as suggestions. To </w:t>
      </w:r>
      <w:r w:rsidR="00311103">
        <w:rPr>
          <w:rFonts w:ascii="Palatino Linotype" w:hAnsi="Palatino Linotype"/>
          <w:sz w:val="18"/>
          <w:szCs w:val="18"/>
          <w:lang w:val="en-US"/>
        </w:rPr>
        <w:t>e</w:t>
      </w:r>
      <w:r w:rsidRPr="00696885">
        <w:rPr>
          <w:rFonts w:ascii="Palatino Linotype" w:hAnsi="Palatino Linotype"/>
          <w:sz w:val="18"/>
          <w:szCs w:val="18"/>
          <w:lang w:val="en-US"/>
        </w:rPr>
        <w:t>valuate new scans, the central x- and y-</w:t>
      </w:r>
      <w:r w:rsidR="003665E6">
        <w:rPr>
          <w:rFonts w:ascii="Palatino Linotype" w:hAnsi="Palatino Linotype"/>
          <w:sz w:val="18"/>
          <w:szCs w:val="18"/>
          <w:lang w:val="en-US"/>
        </w:rPr>
        <w:t>pixel</w:t>
      </w:r>
      <w:r w:rsidRPr="00696885">
        <w:rPr>
          <w:rFonts w:ascii="Palatino Linotype" w:hAnsi="Palatino Linotype"/>
          <w:sz w:val="18"/>
          <w:szCs w:val="18"/>
          <w:lang w:val="en-US"/>
        </w:rPr>
        <w:t xml:space="preserve"> of the first upper left spot are required (Fig. </w:t>
      </w:r>
      <w:r w:rsidR="00311103">
        <w:rPr>
          <w:rFonts w:ascii="Palatino Linotype" w:hAnsi="Palatino Linotype"/>
          <w:sz w:val="18"/>
          <w:szCs w:val="18"/>
          <w:lang w:val="en-US"/>
        </w:rPr>
        <w:t>S</w:t>
      </w:r>
      <w:r w:rsidRPr="00696885">
        <w:rPr>
          <w:rFonts w:ascii="Palatino Linotype" w:hAnsi="Palatino Linotype"/>
          <w:sz w:val="18"/>
          <w:szCs w:val="18"/>
          <w:lang w:val="en-US"/>
        </w:rPr>
        <w:t>3), also the grid must be aligned with the x- and the y-axis.</w:t>
      </w:r>
    </w:p>
    <w:p w14:paraId="7996250B" w14:textId="77777777" w:rsidR="00696885" w:rsidRDefault="00696885">
      <w:pPr>
        <w:rPr>
          <w:lang w:val="en-US"/>
        </w:rPr>
      </w:pPr>
    </w:p>
    <w:p w14:paraId="1018151B" w14:textId="77777777" w:rsidR="00696885" w:rsidRDefault="00696885" w:rsidP="00696885">
      <w:pPr>
        <w:jc w:val="center"/>
        <w:rPr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 wp14:anchorId="3E2E7873" wp14:editId="17CFB8EF">
            <wp:extent cx="3112168" cy="3632233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I_image.em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9663" cy="3652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EE54E6" w14:textId="0A753D9A" w:rsidR="009326F4" w:rsidRPr="00223AE6" w:rsidRDefault="00696885" w:rsidP="00696885">
      <w:pPr>
        <w:spacing w:line="360" w:lineRule="auto"/>
        <w:jc w:val="both"/>
        <w:rPr>
          <w:rFonts w:ascii="Palatino Linotype" w:hAnsi="Palatino Linotype"/>
          <w:b/>
          <w:sz w:val="18"/>
          <w:szCs w:val="18"/>
          <w:lang w:val="en-US"/>
        </w:rPr>
      </w:pPr>
      <w:r w:rsidRPr="00223AE6">
        <w:rPr>
          <w:rFonts w:ascii="Palatino Linotype" w:hAnsi="Palatino Linotype"/>
          <w:b/>
          <w:sz w:val="18"/>
          <w:szCs w:val="18"/>
          <w:lang w:val="en-US"/>
        </w:rPr>
        <w:t xml:space="preserve">Fig. </w:t>
      </w:r>
      <w:r w:rsidR="00311103" w:rsidRPr="00223AE6">
        <w:rPr>
          <w:rFonts w:ascii="Palatino Linotype" w:hAnsi="Palatino Linotype"/>
          <w:b/>
          <w:sz w:val="18"/>
          <w:szCs w:val="18"/>
          <w:lang w:val="en-US"/>
        </w:rPr>
        <w:t>S</w:t>
      </w:r>
      <w:r w:rsidRPr="00223AE6">
        <w:rPr>
          <w:rFonts w:ascii="Palatino Linotype" w:hAnsi="Palatino Linotype"/>
          <w:b/>
          <w:sz w:val="18"/>
          <w:szCs w:val="18"/>
          <w:lang w:val="en-US"/>
        </w:rPr>
        <w:t xml:space="preserve">3 </w:t>
      </w:r>
      <w:r w:rsidR="00311103" w:rsidRPr="00223AE6">
        <w:rPr>
          <w:rFonts w:ascii="Palatino Linotype" w:hAnsi="Palatino Linotype"/>
          <w:b/>
          <w:sz w:val="18"/>
          <w:szCs w:val="18"/>
          <w:lang w:val="en-US"/>
        </w:rPr>
        <w:t>D</w:t>
      </w:r>
      <w:r w:rsidRPr="00223AE6">
        <w:rPr>
          <w:rFonts w:ascii="Palatino Linotype" w:hAnsi="Palatino Linotype"/>
          <w:b/>
          <w:sz w:val="18"/>
          <w:szCs w:val="18"/>
          <w:lang w:val="en-US"/>
        </w:rPr>
        <w:t>etermination of the upper</w:t>
      </w:r>
      <w:r w:rsidR="00223AE6">
        <w:rPr>
          <w:rFonts w:ascii="Palatino Linotype" w:hAnsi="Palatino Linotype"/>
          <w:b/>
          <w:sz w:val="18"/>
          <w:szCs w:val="18"/>
          <w:lang w:val="en-US"/>
        </w:rPr>
        <w:t>-</w:t>
      </w:r>
      <w:r w:rsidRPr="00223AE6">
        <w:rPr>
          <w:rFonts w:ascii="Palatino Linotype" w:hAnsi="Palatino Linotype"/>
          <w:b/>
          <w:sz w:val="18"/>
          <w:szCs w:val="18"/>
          <w:lang w:val="en-US"/>
        </w:rPr>
        <w:t>left spot</w:t>
      </w:r>
      <w:r w:rsidR="00223AE6">
        <w:rPr>
          <w:rFonts w:ascii="Palatino Linotype" w:hAnsi="Palatino Linotype"/>
          <w:b/>
          <w:sz w:val="18"/>
          <w:szCs w:val="18"/>
          <w:lang w:val="en-US"/>
        </w:rPr>
        <w:t xml:space="preserve"> as origin of the coordinates.</w:t>
      </w:r>
    </w:p>
    <w:p w14:paraId="003BB5DA" w14:textId="5C1CF7BD" w:rsidR="00696885" w:rsidRPr="00696885" w:rsidRDefault="00696885" w:rsidP="00696885">
      <w:pPr>
        <w:spacing w:line="360" w:lineRule="auto"/>
        <w:jc w:val="both"/>
        <w:rPr>
          <w:rFonts w:ascii="Palatino Linotype" w:hAnsi="Palatino Linotype"/>
          <w:sz w:val="18"/>
          <w:szCs w:val="18"/>
          <w:lang w:val="en-US"/>
        </w:rPr>
      </w:pPr>
      <w:r w:rsidRPr="00696885">
        <w:rPr>
          <w:rFonts w:ascii="Palatino Linotype" w:hAnsi="Palatino Linotype"/>
          <w:sz w:val="18"/>
          <w:szCs w:val="18"/>
          <w:lang w:val="en-US"/>
        </w:rPr>
        <w:t xml:space="preserve">When the script was executed successfully, the results will be exported as three .txt files. The quotient to compare the spots along with the spot number </w:t>
      </w:r>
      <w:bookmarkStart w:id="2" w:name="_GoBack"/>
      <w:bookmarkEnd w:id="2"/>
      <w:r w:rsidRPr="00696885">
        <w:rPr>
          <w:rFonts w:ascii="Palatino Linotype" w:hAnsi="Palatino Linotype"/>
          <w:sz w:val="18"/>
          <w:szCs w:val="18"/>
          <w:lang w:val="en-US"/>
        </w:rPr>
        <w:t>and its coordinates on the scan are exported in the results_and_position.txt file</w:t>
      </w:r>
      <w:r w:rsidR="003665E6">
        <w:rPr>
          <w:rFonts w:ascii="Palatino Linotype" w:hAnsi="Palatino Linotype"/>
          <w:sz w:val="18"/>
          <w:szCs w:val="18"/>
          <w:lang w:val="en-US"/>
        </w:rPr>
        <w:t>.</w:t>
      </w:r>
    </w:p>
    <w:sectPr w:rsidR="00696885" w:rsidRPr="0069688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0A090F"/>
    <w:multiLevelType w:val="multilevel"/>
    <w:tmpl w:val="BAE8E608"/>
    <w:lvl w:ilvl="0">
      <w:start w:val="1"/>
      <w:numFmt w:val="decimal"/>
      <w:lvlText w:val="%1"/>
      <w:lvlJc w:val="left"/>
      <w:pPr>
        <w:ind w:left="473" w:hanging="360"/>
      </w:pPr>
      <w:rPr>
        <w:rFonts w:hint="default"/>
        <w:vertAlign w:val="superscript"/>
      </w:rPr>
    </w:lvl>
    <w:lvl w:ilvl="1">
      <w:start w:val="2"/>
      <w:numFmt w:val="decimal"/>
      <w:isLgl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5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65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49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F86"/>
    <w:rsid w:val="00223AE6"/>
    <w:rsid w:val="00311103"/>
    <w:rsid w:val="003665E6"/>
    <w:rsid w:val="00476805"/>
    <w:rsid w:val="00696885"/>
    <w:rsid w:val="00726334"/>
    <w:rsid w:val="007B704A"/>
    <w:rsid w:val="009326F4"/>
    <w:rsid w:val="00961BC4"/>
    <w:rsid w:val="009A2D89"/>
    <w:rsid w:val="00D53F86"/>
    <w:rsid w:val="00DC3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B769C"/>
  <w15:chartTrackingRefBased/>
  <w15:docId w15:val="{968C5128-93EA-4CA4-8F67-BC7A19275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MDPI11articletype">
    <w:name w:val="MDPI_1.1_article_type"/>
    <w:basedOn w:val="Standard"/>
    <w:next w:val="MDPI12title"/>
    <w:qFormat/>
    <w:rsid w:val="00D53F86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12title">
    <w:name w:val="MDPI_1.2_title"/>
    <w:next w:val="MDPI13authornames"/>
    <w:qFormat/>
    <w:rsid w:val="00D53F86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basedOn w:val="Standard"/>
    <w:next w:val="MDPI14history"/>
    <w:qFormat/>
    <w:rsid w:val="00D53F86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4history">
    <w:name w:val="MDPI_1.4_history"/>
    <w:basedOn w:val="Standard"/>
    <w:next w:val="Standard"/>
    <w:qFormat/>
    <w:rsid w:val="00D53F86"/>
    <w:pPr>
      <w:adjustRightInd w:val="0"/>
      <w:snapToGrid w:val="0"/>
      <w:spacing w:before="120" w:after="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16affiliation">
    <w:name w:val="MDPI_1.6_affiliation"/>
    <w:basedOn w:val="Standard"/>
    <w:qFormat/>
    <w:rsid w:val="00D53F86"/>
    <w:pPr>
      <w:adjustRightInd w:val="0"/>
      <w:snapToGrid w:val="0"/>
      <w:spacing w:after="0" w:line="20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val="en-US" w:eastAsia="de-DE" w:bidi="en-US"/>
    </w:rPr>
  </w:style>
  <w:style w:type="character" w:styleId="Hyperlink">
    <w:name w:val="Hyperlink"/>
    <w:uiPriority w:val="99"/>
    <w:unhideWhenUsed/>
    <w:rsid w:val="00D53F86"/>
    <w:rPr>
      <w:color w:val="0563C1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326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326F4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1110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1110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1110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1110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111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rcid.org/0000-0003-2767-2029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orcid.org/0000-0003-0429-5435?lang=en" TargetMode="Externa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Paul, Martin</dc:creator>
  <cp:keywords/>
  <dc:description/>
  <cp:lastModifiedBy>Weller, Michael G.</cp:lastModifiedBy>
  <cp:revision>2</cp:revision>
  <dcterms:created xsi:type="dcterms:W3CDTF">2019-11-01T13:04:00Z</dcterms:created>
  <dcterms:modified xsi:type="dcterms:W3CDTF">2019-11-01T13:04:00Z</dcterms:modified>
</cp:coreProperties>
</file>