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961" w:rsidRDefault="00CB0961" w:rsidP="00CB0961">
      <w:pPr>
        <w:pStyle w:val="Paragraphedeliste"/>
        <w:numPr>
          <w:ilvl w:val="0"/>
          <w:numId w:val="2"/>
        </w:numPr>
        <w:jc w:val="both"/>
        <w:rPr>
          <w:b/>
        </w:rPr>
      </w:pPr>
      <w:r>
        <w:rPr>
          <w:b/>
        </w:rPr>
        <w:t xml:space="preserve">SI – Calculations for estimating the mass of the </w:t>
      </w:r>
      <w:r w:rsidRPr="00964CF6">
        <w:rPr>
          <w:b/>
          <w:u w:val="single"/>
        </w:rPr>
        <w:t>biocomposite panel</w:t>
      </w:r>
      <w:r>
        <w:rPr>
          <w:b/>
        </w:rPr>
        <w:t xml:space="preserve"> and the raw material’s proportions</w:t>
      </w:r>
    </w:p>
    <w:p w:rsidR="00CB0961" w:rsidRDefault="00CB0961" w:rsidP="00CB0961">
      <w:pPr>
        <w:jc w:val="both"/>
      </w:pPr>
      <w:r w:rsidRPr="007E736F">
        <w:t xml:space="preserve">For the production of </w:t>
      </w:r>
      <w:proofErr w:type="gramStart"/>
      <w:r w:rsidRPr="00126DE0">
        <w:t>1</w:t>
      </w:r>
      <w:proofErr w:type="gramEnd"/>
      <w:r>
        <w:t> </w:t>
      </w:r>
      <w:r w:rsidRPr="00126DE0">
        <w:t>m</w:t>
      </w:r>
      <w:r w:rsidRPr="007E736F">
        <w:t>² of biocomposite panel</w:t>
      </w:r>
      <w:r>
        <w:t xml:space="preserve">, 3.5 m² of natural fiber polymer composite is required (1 m² per skin and 1.5 m² for the omega core). The fibers </w:t>
      </w:r>
      <w:proofErr w:type="gramStart"/>
      <w:r>
        <w:t>are impregnated</w:t>
      </w:r>
      <w:proofErr w:type="gramEnd"/>
      <w:r>
        <w:t xml:space="preserve"> with the polymer matrix on a 60/40 ratio. Meaning that for every kg of fiber, 1.5 kg of matrix </w:t>
      </w:r>
      <w:proofErr w:type="gramStart"/>
      <w:r>
        <w:t>will be added</w:t>
      </w:r>
      <w:proofErr w:type="gramEnd"/>
      <w:r>
        <w:t xml:space="preserve">. The technical textile has a grammage of 360 g/m², </w:t>
      </w:r>
      <w:proofErr w:type="gramStart"/>
      <w:r>
        <w:t>this results</w:t>
      </w:r>
      <w:proofErr w:type="gramEnd"/>
      <w:r>
        <w:t xml:space="preserve"> into 1.26 kg of flax fiber technical textile per m² of biocomposite panel to which 1.89 kg of matrix will be added.</w:t>
      </w:r>
    </w:p>
    <w:p w:rsidR="00CB0961" w:rsidRDefault="00CB0961" w:rsidP="00CB0961">
      <w:pPr>
        <w:jc w:val="both"/>
      </w:pPr>
      <w:r>
        <w:t xml:space="preserve">The resin is 62% epoxy and 38% flame retardant agent. The resin </w:t>
      </w:r>
      <w:proofErr w:type="gramStart"/>
      <w:r>
        <w:t>is mixed</w:t>
      </w:r>
      <w:proofErr w:type="gramEnd"/>
      <w:r>
        <w:t xml:space="preserve"> with the hardener in an 82/12 ratio. Therefore, the 1.89 kg of matrix required for the </w:t>
      </w:r>
      <w:proofErr w:type="spellStart"/>
      <w:r>
        <w:t>NFPC</w:t>
      </w:r>
      <w:proofErr w:type="spellEnd"/>
      <w:r>
        <w:t xml:space="preserve"> production result from the mixture of 1.55 kg of resin (from where 0.96 kg are epoxy and 0.59 kg are the </w:t>
      </w:r>
      <w:proofErr w:type="gramStart"/>
      <w:r>
        <w:t>flame retardant</w:t>
      </w:r>
      <w:proofErr w:type="gramEnd"/>
      <w:r>
        <w:t xml:space="preserve"> agent) and 0.34 kg of hardener.</w:t>
      </w:r>
    </w:p>
    <w:p w:rsidR="00CB0961" w:rsidRPr="0014142D" w:rsidRDefault="00CB0961" w:rsidP="00CB0961">
      <w:pPr>
        <w:jc w:val="both"/>
        <w:rPr>
          <w:smallCaps/>
        </w:rPr>
      </w:pPr>
    </w:p>
    <w:p w:rsidR="00CB0961" w:rsidRDefault="00CB0961" w:rsidP="00CB0961">
      <w:pPr>
        <w:pStyle w:val="Paragraphedeliste"/>
        <w:numPr>
          <w:ilvl w:val="0"/>
          <w:numId w:val="2"/>
        </w:numPr>
        <w:jc w:val="both"/>
        <w:rPr>
          <w:b/>
        </w:rPr>
      </w:pPr>
      <w:r>
        <w:rPr>
          <w:b/>
        </w:rPr>
        <w:t xml:space="preserve">SI – Calculations for estimating the mass of the </w:t>
      </w:r>
      <w:r w:rsidRPr="00964CF6">
        <w:rPr>
          <w:b/>
          <w:u w:val="single"/>
        </w:rPr>
        <w:t>conventional panel</w:t>
      </w:r>
      <w:r>
        <w:rPr>
          <w:b/>
        </w:rPr>
        <w:t xml:space="preserve"> and the raw material’s proportions</w:t>
      </w:r>
    </w:p>
    <w:p w:rsidR="00CB0961" w:rsidRDefault="00CB0961" w:rsidP="00CB0961">
      <w:pPr>
        <w:jc w:val="both"/>
      </w:pPr>
      <w:r>
        <w:t xml:space="preserve">From the work of </w:t>
      </w:r>
      <w:r>
        <w:fldChar w:fldCharType="begin"/>
      </w:r>
      <w:r>
        <w:instrText xml:space="preserve"> ADDIN ZOTERO_ITEM CSL_CITATION {"citationID":"AmFEjBUj","properties":{"formattedCitation":"(Vidal et al. 2018)","plainCitation":"(Vidal et al. 2018)","noteIndex":0},"citationItems":[{"id":406,"uris":["http://zotero.org/users/4701063/items/N3Z8ZMJE"],"uri":["http://zotero.org/users/4701063/items/N3Z8ZMJE"],"itemData":{"id":406,"type":"article-journal","title":"Life Cycle Assessment of Novel Aircraft Interior Panels Made from Renewable or Recyclable Polymers with Natural Fiber Reinforcements and Non-Halogenated Flame Retardants: LCA of Novel Aircraft Interior Panels","container-title":"Journal of Industrial Ecology","page":"132-144","volume":"22","issue":"1","source":"Crossref","abstract":"A comprehensive life cycle assessment of panels for aircraft interiors was conducted, including both a conventional glass ﬁber-reinforced panel and different novel sustainable panels. The conventional panel is made of a glass ﬁber-reinforced thermoset composite with halogenated ﬂame retardant, whereas the sustainable panels are made of renewable or recyclable polymers, natural ﬁber reinforcements, and nonhalogenated ﬂame retardants. Four different sustainable panels were investigated: a geopolymer-based panel; a linseedoil–based biopolymer panel; and two thermoplastic panels, one with polypropylene (PP) and another with polylactic acid (PLA). All of the sustainable panels were developed to fulﬁl ﬁre resistance requirements and to be lighter than the conventional panels in order to reduce fuel consumption and air pollutant emissions from the aircraft. The environmental impacts associated with energy consumption and air emissions were assessed, as well as other environmental impacts resulting from the extraction and processing of materials, transportation of materials and waste, panel manufacturing, use, maintenance, and end of life (EoL). All the sustainable panels showed better environmental performance than the conventional panel. The overall impacts of the sustainable panels were offset by the environmental beneﬁts in the use stage attributed to weight reduction. One square meter of the novel panels could save to 6,000 kilograms of carbon dioxide equivalents. The breakeven point (in months) at which the use of sustainable panels would yield an environmental beneﬁt relative to the impacts arising in production and EoL was as follows: 1.2 for the geopolymer panel; 1.7 for the biopolymer panel; 10.4 for the PLA panel; and 54.5 for the PP panel.","DOI":"10.1111/jiec.12544","ISSN":"10881980","title-short":"Life Cycle Assessment of Novel Aircraft Interior Panels Made from Renewable or Recyclable Polymers with Natural Fiber Reinforcements and Non-Halogenated Flame Retardants","language":"en","author":[{"family":"Vidal","given":"Rosario"},{"family":"Moliner","given":"Enrique"},{"family":"Martin","given":"Pedro P."},{"family":"Fita","given":"Sergio"},{"family":"Wonneberger","given":"Maik"},{"family":"Verdejo","given":"Eva"},{"family":"Vanfleteren","given":"François"},{"family":"Lapeña","given":"Nieves"},{"family":"González","given":"Ana"}],"issued":{"date-parts":[["2018",2]]}}}],"schema":"https://github.com/citation-style-language/schema/raw/master/csl-citation.json"} </w:instrText>
      </w:r>
      <w:r>
        <w:fldChar w:fldCharType="separate"/>
      </w:r>
      <w:r w:rsidRPr="00126DE0">
        <w:rPr>
          <w:rFonts w:ascii="Calibri" w:hAnsi="Calibri" w:cs="Calibri"/>
        </w:rPr>
        <w:t xml:space="preserve">Vidal et al. </w:t>
      </w:r>
      <w:r>
        <w:rPr>
          <w:rFonts w:ascii="Calibri" w:hAnsi="Calibri" w:cs="Calibri"/>
        </w:rPr>
        <w:t>(</w:t>
      </w:r>
      <w:r w:rsidRPr="00126DE0">
        <w:rPr>
          <w:rFonts w:ascii="Calibri" w:hAnsi="Calibri" w:cs="Calibri"/>
        </w:rPr>
        <w:t>2018)</w:t>
      </w:r>
      <w:r>
        <w:fldChar w:fldCharType="end"/>
      </w:r>
      <w:r>
        <w:t xml:space="preserve"> the characteristics and raw materials’ proportions from a conventional panel used in the aviation sector were identified. In their work, the authors consider a PVC finishing for the panel. As this finishing step </w:t>
      </w:r>
      <w:proofErr w:type="gramStart"/>
      <w:r>
        <w:t>is not taken</w:t>
      </w:r>
      <w:proofErr w:type="gramEnd"/>
      <w:r>
        <w:t xml:space="preserve"> into consideration in the work herein presented, the mass of the PVC film was subtracted from the total mass of the reference panel. Afterwards, the percentage that each of the components represent regarding the total mass was calculated. This percentage </w:t>
      </w:r>
      <w:proofErr w:type="gramStart"/>
      <w:r>
        <w:t>was used</w:t>
      </w:r>
      <w:proofErr w:type="gramEnd"/>
      <w:r>
        <w:t xml:space="preserve"> as reference for determining the proportion of the raw materials used for the production of the conventional panel.</w:t>
      </w:r>
    </w:p>
    <w:p w:rsidR="00CB0961" w:rsidRDefault="00CB0961" w:rsidP="00CB0961">
      <w:pPr>
        <w:jc w:val="both"/>
      </w:pPr>
      <w:r>
        <w:t xml:space="preserve">The proportion of the hardener </w:t>
      </w:r>
      <w:proofErr w:type="gramStart"/>
      <w:r>
        <w:t>is not specified</w:t>
      </w:r>
      <w:proofErr w:type="gramEnd"/>
      <w:r>
        <w:t xml:space="preserve"> for the reference panel. For this reason, it </w:t>
      </w:r>
      <w:proofErr w:type="gramStart"/>
      <w:r>
        <w:t>was considered</w:t>
      </w:r>
      <w:proofErr w:type="gramEnd"/>
      <w:r>
        <w:t xml:space="preserve"> that the same proportions as those for the biocomposite panel applied (an 82/12 resin/hardener ratio).</w:t>
      </w:r>
    </w:p>
    <w:p w:rsidR="00CB0961" w:rsidRPr="00CF6673" w:rsidRDefault="00CB0961" w:rsidP="00CB0961">
      <w:pPr>
        <w:jc w:val="both"/>
      </w:pPr>
      <w:r>
        <w:t xml:space="preserve">Results from the calculations </w:t>
      </w:r>
      <w:proofErr w:type="gramStart"/>
      <w:r>
        <w:t>are shown</w:t>
      </w:r>
      <w:proofErr w:type="gramEnd"/>
      <w:r>
        <w:t xml:space="preserve"> in </w:t>
      </w:r>
      <w:r w:rsidRPr="00CF6673">
        <w:fldChar w:fldCharType="begin"/>
      </w:r>
      <w:r w:rsidRPr="00CF6673">
        <w:instrText xml:space="preserve"> REF _Ref22136790 \h  \* MERGEFORMAT </w:instrText>
      </w:r>
      <w:r w:rsidRPr="00CF6673">
        <w:fldChar w:fldCharType="separate"/>
      </w:r>
      <w:r w:rsidRPr="00CF6673">
        <w:t xml:space="preserve">Table </w:t>
      </w:r>
      <w:r w:rsidRPr="00CF6673">
        <w:rPr>
          <w:noProof/>
        </w:rPr>
        <w:t>1</w:t>
      </w:r>
      <w:r w:rsidRPr="00CF6673">
        <w:fldChar w:fldCharType="end"/>
      </w:r>
      <w:r>
        <w:t>.</w:t>
      </w:r>
    </w:p>
    <w:p w:rsidR="00CB0961" w:rsidRPr="00E4067F" w:rsidRDefault="00CB0961" w:rsidP="00CB0961">
      <w:pPr>
        <w:pStyle w:val="Lgende"/>
        <w:spacing w:after="0"/>
        <w:rPr>
          <w:i w:val="0"/>
          <w:color w:val="auto"/>
        </w:rPr>
      </w:pPr>
      <w:bookmarkStart w:id="0" w:name="_Ref22136790"/>
      <w:r w:rsidRPr="00E4067F">
        <w:rPr>
          <w:b/>
          <w:i w:val="0"/>
          <w:color w:val="auto"/>
        </w:rPr>
        <w:t xml:space="preserve">Table </w:t>
      </w:r>
      <w:r w:rsidRPr="00E4067F">
        <w:rPr>
          <w:b/>
          <w:i w:val="0"/>
          <w:color w:val="auto"/>
        </w:rPr>
        <w:fldChar w:fldCharType="begin"/>
      </w:r>
      <w:r w:rsidRPr="00E4067F">
        <w:rPr>
          <w:b/>
          <w:i w:val="0"/>
          <w:color w:val="auto"/>
        </w:rPr>
        <w:instrText xml:space="preserve"> SEQ Table \* ARABIC </w:instrText>
      </w:r>
      <w:r w:rsidRPr="00E4067F">
        <w:rPr>
          <w:b/>
          <w:i w:val="0"/>
          <w:color w:val="auto"/>
        </w:rPr>
        <w:fldChar w:fldCharType="separate"/>
      </w:r>
      <w:r w:rsidRPr="00E4067F">
        <w:rPr>
          <w:b/>
          <w:i w:val="0"/>
          <w:noProof/>
          <w:color w:val="auto"/>
        </w:rPr>
        <w:t>1</w:t>
      </w:r>
      <w:r w:rsidRPr="00E4067F">
        <w:rPr>
          <w:b/>
          <w:i w:val="0"/>
          <w:color w:val="auto"/>
        </w:rPr>
        <w:fldChar w:fldCharType="end"/>
      </w:r>
      <w:bookmarkEnd w:id="0"/>
      <w:r w:rsidRPr="00E4067F">
        <w:rPr>
          <w:b/>
          <w:i w:val="0"/>
          <w:color w:val="auto"/>
        </w:rPr>
        <w:t xml:space="preserve">. </w:t>
      </w:r>
      <w:r w:rsidRPr="00E4067F">
        <w:rPr>
          <w:i w:val="0"/>
          <w:color w:val="auto"/>
        </w:rPr>
        <w:t>Proportion of the components per m² of conventional panel (inspired from Vidal et al., 2018)</w:t>
      </w:r>
    </w:p>
    <w:tbl>
      <w:tblPr>
        <w:tblStyle w:val="Grilledutableau1"/>
        <w:tblW w:w="9060" w:type="dxa"/>
        <w:tblInd w:w="-5" w:type="dxa"/>
        <w:tblLook w:val="04A0" w:firstRow="1" w:lastRow="0" w:firstColumn="1" w:lastColumn="0" w:noHBand="0" w:noVBand="1"/>
      </w:tblPr>
      <w:tblGrid>
        <w:gridCol w:w="2127"/>
        <w:gridCol w:w="2055"/>
        <w:gridCol w:w="1484"/>
        <w:gridCol w:w="1144"/>
        <w:gridCol w:w="2250"/>
      </w:tblGrid>
      <w:tr w:rsidR="00CB0961" w:rsidRPr="00E4067F" w:rsidTr="00ED1E54">
        <w:trPr>
          <w:trHeight w:val="567"/>
        </w:trPr>
        <w:tc>
          <w:tcPr>
            <w:tcW w:w="2127" w:type="dxa"/>
            <w:vMerge w:val="restart"/>
            <w:shd w:val="clear" w:color="auto" w:fill="auto"/>
            <w:vAlign w:val="center"/>
          </w:tcPr>
          <w:p w:rsidR="00CB0961" w:rsidRPr="00E4067F" w:rsidRDefault="00CB0961" w:rsidP="00ED1E54">
            <w:pPr>
              <w:suppressLineNumbers/>
              <w:suppressAutoHyphens/>
              <w:jc w:val="center"/>
              <w:rPr>
                <w:rFonts w:ascii="Arial" w:eastAsia="Times New Roman" w:hAnsi="Arial" w:cs="Arial"/>
                <w:b/>
                <w:lang w:val="fr-FR" w:eastAsia="fr-FR"/>
              </w:rPr>
            </w:pPr>
            <w:r w:rsidRPr="00E4067F">
              <w:rPr>
                <w:rFonts w:ascii="Arial" w:eastAsia="Times New Roman" w:hAnsi="Arial" w:cs="Arial"/>
                <w:b/>
                <w:lang w:val="fr-FR" w:eastAsia="fr-FR"/>
              </w:rPr>
              <w:t>Component</w:t>
            </w:r>
          </w:p>
        </w:tc>
        <w:tc>
          <w:tcPr>
            <w:tcW w:w="2055" w:type="dxa"/>
            <w:vMerge w:val="restart"/>
            <w:shd w:val="clear" w:color="auto" w:fill="auto"/>
            <w:vAlign w:val="center"/>
          </w:tcPr>
          <w:p w:rsidR="00CB0961" w:rsidRPr="00E4067F" w:rsidRDefault="00CB0961" w:rsidP="00ED1E54">
            <w:pPr>
              <w:suppressLineNumbers/>
              <w:suppressAutoHyphens/>
              <w:jc w:val="center"/>
              <w:rPr>
                <w:rFonts w:ascii="Arial" w:eastAsia="Times New Roman" w:hAnsi="Arial" w:cs="Arial"/>
                <w:b/>
                <w:lang w:val="fr-FR" w:eastAsia="fr-FR"/>
              </w:rPr>
            </w:pPr>
            <w:proofErr w:type="spellStart"/>
            <w:r w:rsidRPr="00E4067F">
              <w:rPr>
                <w:rFonts w:ascii="Arial" w:eastAsia="Times New Roman" w:hAnsi="Arial" w:cs="Arial"/>
                <w:b/>
                <w:lang w:val="fr-FR" w:eastAsia="fr-FR"/>
              </w:rPr>
              <w:t>Material</w:t>
            </w:r>
            <w:proofErr w:type="spellEnd"/>
          </w:p>
        </w:tc>
        <w:tc>
          <w:tcPr>
            <w:tcW w:w="2628" w:type="dxa"/>
            <w:gridSpan w:val="2"/>
            <w:shd w:val="clear" w:color="auto" w:fill="auto"/>
            <w:vAlign w:val="center"/>
          </w:tcPr>
          <w:p w:rsidR="00CB0961" w:rsidRPr="00E4067F" w:rsidRDefault="00CB0961" w:rsidP="00ED1E54">
            <w:pPr>
              <w:suppressLineNumbers/>
              <w:suppressAutoHyphens/>
              <w:jc w:val="center"/>
              <w:rPr>
                <w:rFonts w:ascii="Arial" w:eastAsia="Times New Roman" w:hAnsi="Arial" w:cs="Arial"/>
                <w:b/>
                <w:lang w:val="fr-FR" w:eastAsia="fr-FR"/>
              </w:rPr>
            </w:pPr>
            <w:r w:rsidRPr="00E4067F">
              <w:rPr>
                <w:rFonts w:ascii="Arial" w:eastAsia="Times New Roman" w:hAnsi="Arial" w:cs="Arial"/>
                <w:b/>
                <w:lang w:val="fr-FR" w:eastAsia="fr-FR"/>
              </w:rPr>
              <w:t>Reference panel</w:t>
            </w:r>
          </w:p>
          <w:p w:rsidR="00CB0961" w:rsidRPr="00E4067F" w:rsidRDefault="00CB0961" w:rsidP="00ED1E54">
            <w:pPr>
              <w:suppressLineNumbers/>
              <w:suppressAutoHyphens/>
              <w:jc w:val="center"/>
              <w:rPr>
                <w:rFonts w:ascii="Arial" w:eastAsia="Times New Roman" w:hAnsi="Arial" w:cs="Arial"/>
                <w:b/>
                <w:lang w:val="fr-FR" w:eastAsia="fr-FR"/>
              </w:rPr>
            </w:pPr>
            <w:r w:rsidRPr="00E4067F">
              <w:rPr>
                <w:rFonts w:ascii="Arial" w:eastAsia="Times New Roman" w:hAnsi="Arial" w:cs="Arial"/>
                <w:b/>
                <w:lang w:val="fr-FR" w:eastAsia="fr-FR"/>
              </w:rPr>
              <w:t>(Vidal et al., 2018)</w:t>
            </w:r>
          </w:p>
        </w:tc>
        <w:tc>
          <w:tcPr>
            <w:tcW w:w="2250" w:type="dxa"/>
            <w:shd w:val="clear" w:color="auto" w:fill="auto"/>
            <w:vAlign w:val="center"/>
          </w:tcPr>
          <w:p w:rsidR="00CB0961" w:rsidRPr="00E4067F" w:rsidRDefault="00CB0961" w:rsidP="00ED1E54">
            <w:pPr>
              <w:suppressLineNumbers/>
              <w:suppressAutoHyphens/>
              <w:jc w:val="center"/>
              <w:rPr>
                <w:rFonts w:ascii="Arial" w:eastAsia="Times New Roman" w:hAnsi="Arial" w:cs="Arial"/>
                <w:b/>
                <w:lang w:val="fr-FR" w:eastAsia="fr-FR"/>
              </w:rPr>
            </w:pPr>
            <w:proofErr w:type="spellStart"/>
            <w:r w:rsidRPr="00E4067F">
              <w:rPr>
                <w:rFonts w:ascii="Arial" w:eastAsia="Times New Roman" w:hAnsi="Arial" w:cs="Arial"/>
                <w:b/>
                <w:lang w:val="fr-FR" w:eastAsia="fr-FR"/>
              </w:rPr>
              <w:t>Conventional</w:t>
            </w:r>
            <w:proofErr w:type="spellEnd"/>
            <w:r w:rsidRPr="00E4067F">
              <w:rPr>
                <w:rFonts w:ascii="Arial" w:eastAsia="Times New Roman" w:hAnsi="Arial" w:cs="Arial"/>
                <w:b/>
                <w:lang w:val="fr-FR" w:eastAsia="fr-FR"/>
              </w:rPr>
              <w:t xml:space="preserve"> panel</w:t>
            </w:r>
          </w:p>
        </w:tc>
      </w:tr>
      <w:tr w:rsidR="00CB0961" w:rsidRPr="00E4067F" w:rsidTr="00ED1E54">
        <w:tc>
          <w:tcPr>
            <w:tcW w:w="2127" w:type="dxa"/>
            <w:vMerge/>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p>
        </w:tc>
        <w:tc>
          <w:tcPr>
            <w:tcW w:w="2055" w:type="dxa"/>
            <w:vMerge/>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p>
        </w:tc>
        <w:tc>
          <w:tcPr>
            <w:tcW w:w="1484" w:type="dxa"/>
            <w:shd w:val="clear" w:color="auto" w:fill="auto"/>
            <w:vAlign w:val="center"/>
          </w:tcPr>
          <w:p w:rsidR="00CB0961" w:rsidRPr="00E4067F" w:rsidRDefault="00CB0961" w:rsidP="00ED1E54">
            <w:pPr>
              <w:suppressLineNumbers/>
              <w:suppressAutoHyphens/>
              <w:jc w:val="center"/>
              <w:rPr>
                <w:rFonts w:ascii="Arial" w:eastAsia="Times New Roman" w:hAnsi="Arial" w:cs="Arial"/>
                <w:i/>
                <w:lang w:val="fr-FR" w:eastAsia="fr-FR"/>
              </w:rPr>
            </w:pPr>
            <w:proofErr w:type="spellStart"/>
            <w:r w:rsidRPr="00E4067F">
              <w:rPr>
                <w:rFonts w:ascii="Arial" w:eastAsia="Times New Roman" w:hAnsi="Arial" w:cs="Arial"/>
                <w:i/>
                <w:lang w:val="fr-FR" w:eastAsia="fr-FR"/>
              </w:rPr>
              <w:t>Quantity</w:t>
            </w:r>
            <w:proofErr w:type="spellEnd"/>
            <w:r w:rsidRPr="00E4067F">
              <w:rPr>
                <w:rFonts w:ascii="Arial" w:eastAsia="Times New Roman" w:hAnsi="Arial" w:cs="Arial"/>
                <w:i/>
                <w:lang w:val="fr-FR" w:eastAsia="fr-FR"/>
              </w:rPr>
              <w:t xml:space="preserve"> (kg)</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i/>
                <w:lang w:val="fr-FR" w:eastAsia="fr-FR"/>
              </w:rPr>
            </w:pPr>
            <w:r w:rsidRPr="00E4067F">
              <w:rPr>
                <w:rFonts w:ascii="Arial" w:eastAsia="Times New Roman" w:hAnsi="Arial" w:cs="Arial"/>
                <w:i/>
                <w:lang w:val="fr-FR" w:eastAsia="fr-FR"/>
              </w:rPr>
              <w:t>%</w:t>
            </w:r>
          </w:p>
        </w:tc>
        <w:tc>
          <w:tcPr>
            <w:tcW w:w="2250" w:type="dxa"/>
            <w:shd w:val="clear" w:color="auto" w:fill="auto"/>
          </w:tcPr>
          <w:p w:rsidR="00CB0961" w:rsidRPr="00E4067F" w:rsidRDefault="00CB0961" w:rsidP="00ED1E54">
            <w:pPr>
              <w:suppressLineNumbers/>
              <w:suppressAutoHyphens/>
              <w:jc w:val="center"/>
              <w:rPr>
                <w:rFonts w:ascii="Arial" w:eastAsia="Times New Roman" w:hAnsi="Arial" w:cs="Arial"/>
                <w:i/>
                <w:lang w:val="fr-FR" w:eastAsia="fr-FR"/>
              </w:rPr>
            </w:pPr>
            <w:proofErr w:type="spellStart"/>
            <w:r w:rsidRPr="00E4067F">
              <w:rPr>
                <w:rFonts w:ascii="Arial" w:eastAsia="Times New Roman" w:hAnsi="Arial" w:cs="Arial"/>
                <w:i/>
                <w:lang w:val="fr-FR" w:eastAsia="fr-FR"/>
              </w:rPr>
              <w:t>Quantity</w:t>
            </w:r>
            <w:proofErr w:type="spellEnd"/>
            <w:r w:rsidRPr="00E4067F">
              <w:rPr>
                <w:rFonts w:ascii="Arial" w:eastAsia="Times New Roman" w:hAnsi="Arial" w:cs="Arial"/>
                <w:i/>
                <w:lang w:val="fr-FR" w:eastAsia="fr-FR"/>
              </w:rPr>
              <w:t xml:space="preserve"> (kg)</w:t>
            </w:r>
          </w:p>
        </w:tc>
      </w:tr>
      <w:tr w:rsidR="00CB0961" w:rsidRPr="00E4067F" w:rsidTr="00ED1E54">
        <w:tc>
          <w:tcPr>
            <w:tcW w:w="2127" w:type="dxa"/>
            <w:vMerge w:val="restart"/>
            <w:vAlign w:val="center"/>
          </w:tcPr>
          <w:p w:rsidR="00CB0961" w:rsidRPr="00E4067F" w:rsidRDefault="00CB0961" w:rsidP="00ED1E54">
            <w:pPr>
              <w:suppressLineNumbers/>
              <w:suppressAutoHyphens/>
              <w:rPr>
                <w:rFonts w:ascii="Arial" w:eastAsia="Times New Roman" w:hAnsi="Arial" w:cs="Arial"/>
                <w:lang w:val="fr-FR" w:eastAsia="fr-FR"/>
              </w:rPr>
            </w:pPr>
            <w:r w:rsidRPr="00E4067F">
              <w:rPr>
                <w:rFonts w:ascii="Arial" w:eastAsia="Times New Roman" w:hAnsi="Arial" w:cs="Arial"/>
                <w:lang w:val="fr-FR" w:eastAsia="fr-FR"/>
              </w:rPr>
              <w:t>Skins</w:t>
            </w:r>
          </w:p>
        </w:tc>
        <w:tc>
          <w:tcPr>
            <w:tcW w:w="2055" w:type="dxa"/>
            <w:tcBorders>
              <w:bottom w:val="dotted" w:sz="4" w:space="0" w:color="auto"/>
            </w:tcBorders>
          </w:tcPr>
          <w:p w:rsidR="00CB0961" w:rsidRPr="00E4067F" w:rsidRDefault="00CB0961" w:rsidP="00ED1E54">
            <w:pPr>
              <w:suppressLineNumbers/>
              <w:suppressAutoHyphens/>
              <w:rPr>
                <w:rFonts w:ascii="Arial" w:eastAsia="Times New Roman" w:hAnsi="Arial" w:cs="Arial"/>
                <w:lang w:val="fr-FR" w:eastAsia="fr-FR"/>
              </w:rPr>
            </w:pPr>
            <w:r w:rsidRPr="00E4067F">
              <w:rPr>
                <w:rFonts w:ascii="Arial" w:eastAsia="Times New Roman" w:hAnsi="Arial" w:cs="Arial"/>
                <w:lang w:val="fr-FR" w:eastAsia="fr-FR"/>
              </w:rPr>
              <w:t xml:space="preserve">Glass </w:t>
            </w:r>
            <w:proofErr w:type="spellStart"/>
            <w:r w:rsidRPr="00E4067F">
              <w:rPr>
                <w:rFonts w:ascii="Arial" w:eastAsia="Times New Roman" w:hAnsi="Arial" w:cs="Arial"/>
                <w:lang w:val="fr-FR" w:eastAsia="fr-FR"/>
              </w:rPr>
              <w:t>fiber</w:t>
            </w:r>
            <w:proofErr w:type="spellEnd"/>
          </w:p>
        </w:tc>
        <w:tc>
          <w:tcPr>
            <w:tcW w:w="1484" w:type="dxa"/>
            <w:shd w:val="clear" w:color="auto" w:fill="auto"/>
            <w:vAlign w:val="center"/>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73</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45</w:t>
            </w:r>
          </w:p>
        </w:tc>
        <w:tc>
          <w:tcPr>
            <w:tcW w:w="2250" w:type="dxa"/>
            <w:tcBorders>
              <w:bottom w:val="dotted" w:sz="4" w:space="0" w:color="auto"/>
            </w:tcBorders>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1.</w:t>
            </w:r>
            <w:r w:rsidR="00CB0961" w:rsidRPr="00E4067F">
              <w:rPr>
                <w:rFonts w:ascii="Arial" w:eastAsia="Times New Roman" w:hAnsi="Arial" w:cs="Arial"/>
                <w:lang w:val="fr-FR" w:eastAsia="fr-FR"/>
              </w:rPr>
              <w:t>16</w:t>
            </w:r>
          </w:p>
        </w:tc>
      </w:tr>
      <w:tr w:rsidR="00CB0961" w:rsidRPr="00E4067F" w:rsidTr="00ED1E54">
        <w:tc>
          <w:tcPr>
            <w:tcW w:w="2127" w:type="dxa"/>
            <w:vMerge/>
            <w:vAlign w:val="center"/>
          </w:tcPr>
          <w:p w:rsidR="00CB0961" w:rsidRPr="00E4067F" w:rsidRDefault="00CB0961" w:rsidP="00ED1E54">
            <w:pPr>
              <w:suppressLineNumbers/>
              <w:suppressAutoHyphens/>
              <w:rPr>
                <w:rFonts w:ascii="Arial" w:eastAsia="Times New Roman" w:hAnsi="Arial" w:cs="Arial"/>
                <w:lang w:val="fr-FR" w:eastAsia="fr-FR"/>
              </w:rPr>
            </w:pPr>
          </w:p>
        </w:tc>
        <w:tc>
          <w:tcPr>
            <w:tcW w:w="2055" w:type="dxa"/>
            <w:tcBorders>
              <w:bottom w:val="dotted" w:sz="4" w:space="0" w:color="auto"/>
            </w:tcBorders>
          </w:tcPr>
          <w:p w:rsidR="00CB0961" w:rsidRPr="00E4067F" w:rsidRDefault="00CB0961" w:rsidP="00ED1E54">
            <w:pPr>
              <w:suppressLineNumbers/>
              <w:suppressAutoHyphens/>
              <w:rPr>
                <w:rFonts w:ascii="Arial" w:eastAsia="Times New Roman" w:hAnsi="Arial" w:cs="Arial"/>
                <w:lang w:val="fr-FR" w:eastAsia="fr-FR"/>
              </w:rPr>
            </w:pPr>
            <w:proofErr w:type="spellStart"/>
            <w:r w:rsidRPr="00E4067F">
              <w:rPr>
                <w:rFonts w:ascii="Arial" w:eastAsia="Times New Roman" w:hAnsi="Arial" w:cs="Arial"/>
                <w:lang w:val="fr-FR" w:eastAsia="fr-FR"/>
              </w:rPr>
              <w:t>Epoxy</w:t>
            </w:r>
            <w:proofErr w:type="spellEnd"/>
          </w:p>
        </w:tc>
        <w:tc>
          <w:tcPr>
            <w:tcW w:w="1484" w:type="dxa"/>
            <w:shd w:val="clear" w:color="auto" w:fill="auto"/>
            <w:vAlign w:val="center"/>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42</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26</w:t>
            </w:r>
          </w:p>
        </w:tc>
        <w:tc>
          <w:tcPr>
            <w:tcW w:w="2250" w:type="dxa"/>
            <w:tcBorders>
              <w:bottom w:val="dotted" w:sz="4" w:space="0" w:color="auto"/>
            </w:tcBorders>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55</w:t>
            </w:r>
          </w:p>
        </w:tc>
      </w:tr>
      <w:tr w:rsidR="00CB0961" w:rsidRPr="00E4067F" w:rsidTr="00ED1E54">
        <w:tc>
          <w:tcPr>
            <w:tcW w:w="2127" w:type="dxa"/>
            <w:vMerge/>
            <w:vAlign w:val="center"/>
          </w:tcPr>
          <w:p w:rsidR="00CB0961" w:rsidRPr="00E4067F" w:rsidRDefault="00CB0961" w:rsidP="00ED1E54">
            <w:pPr>
              <w:suppressLineNumbers/>
              <w:suppressAutoHyphens/>
              <w:rPr>
                <w:rFonts w:ascii="Arial" w:eastAsia="Times New Roman" w:hAnsi="Arial" w:cs="Arial"/>
                <w:lang w:val="fr-FR" w:eastAsia="fr-FR"/>
              </w:rPr>
            </w:pPr>
          </w:p>
        </w:tc>
        <w:tc>
          <w:tcPr>
            <w:tcW w:w="2055" w:type="dxa"/>
            <w:tcBorders>
              <w:top w:val="dotted" w:sz="4" w:space="0" w:color="auto"/>
              <w:bottom w:val="dotted" w:sz="4" w:space="0" w:color="auto"/>
            </w:tcBorders>
          </w:tcPr>
          <w:p w:rsidR="00CB0961" w:rsidRPr="00E4067F" w:rsidRDefault="00CB0961" w:rsidP="00ED1E54">
            <w:pPr>
              <w:suppressLineNumbers/>
              <w:suppressAutoHyphens/>
              <w:rPr>
                <w:rFonts w:ascii="Arial" w:eastAsia="Times New Roman" w:hAnsi="Arial" w:cs="Arial"/>
                <w:lang w:val="fr-FR" w:eastAsia="fr-FR"/>
              </w:rPr>
            </w:pPr>
            <w:proofErr w:type="spellStart"/>
            <w:r w:rsidRPr="00E4067F">
              <w:rPr>
                <w:rFonts w:ascii="Arial" w:eastAsia="Times New Roman" w:hAnsi="Arial" w:cs="Arial"/>
                <w:lang w:val="fr-FR" w:eastAsia="fr-FR"/>
              </w:rPr>
              <w:t>Hardener</w:t>
            </w:r>
            <w:proofErr w:type="spellEnd"/>
          </w:p>
        </w:tc>
        <w:tc>
          <w:tcPr>
            <w:tcW w:w="148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w:t>
            </w:r>
          </w:p>
        </w:tc>
        <w:tc>
          <w:tcPr>
            <w:tcW w:w="2250" w:type="dxa"/>
            <w:tcBorders>
              <w:top w:val="dotted" w:sz="4" w:space="0" w:color="auto"/>
              <w:bottom w:val="dotted" w:sz="4" w:space="0" w:color="auto"/>
            </w:tcBorders>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12</w:t>
            </w:r>
          </w:p>
        </w:tc>
      </w:tr>
      <w:tr w:rsidR="00CB0961" w:rsidRPr="00E4067F" w:rsidTr="00ED1E54">
        <w:tc>
          <w:tcPr>
            <w:tcW w:w="2127" w:type="dxa"/>
            <w:vMerge/>
            <w:vAlign w:val="center"/>
          </w:tcPr>
          <w:p w:rsidR="00CB0961" w:rsidRPr="00E4067F" w:rsidRDefault="00CB0961" w:rsidP="00ED1E54">
            <w:pPr>
              <w:suppressLineNumbers/>
              <w:suppressAutoHyphens/>
              <w:rPr>
                <w:rFonts w:ascii="Arial" w:eastAsia="Times New Roman" w:hAnsi="Arial" w:cs="Arial"/>
                <w:lang w:val="fr-FR" w:eastAsia="fr-FR"/>
              </w:rPr>
            </w:pPr>
          </w:p>
        </w:tc>
        <w:tc>
          <w:tcPr>
            <w:tcW w:w="2055" w:type="dxa"/>
            <w:tcBorders>
              <w:top w:val="dotted" w:sz="4" w:space="0" w:color="auto"/>
            </w:tcBorders>
          </w:tcPr>
          <w:p w:rsidR="00CB0961" w:rsidRPr="00E4067F" w:rsidRDefault="00CB0961" w:rsidP="00ED1E54">
            <w:pPr>
              <w:suppressLineNumbers/>
              <w:suppressAutoHyphens/>
              <w:rPr>
                <w:rFonts w:ascii="Arial" w:eastAsia="Times New Roman" w:hAnsi="Arial" w:cs="Arial"/>
                <w:lang w:val="fr-FR" w:eastAsia="fr-FR"/>
              </w:rPr>
            </w:pPr>
            <w:proofErr w:type="spellStart"/>
            <w:r w:rsidRPr="00E4067F">
              <w:rPr>
                <w:rFonts w:ascii="Arial" w:eastAsia="Times New Roman" w:hAnsi="Arial" w:cs="Arial"/>
                <w:lang w:val="fr-FR" w:eastAsia="fr-FR"/>
              </w:rPr>
              <w:t>Flame</w:t>
            </w:r>
            <w:proofErr w:type="spellEnd"/>
            <w:r w:rsidRPr="00E4067F">
              <w:rPr>
                <w:rFonts w:ascii="Arial" w:eastAsia="Times New Roman" w:hAnsi="Arial" w:cs="Arial"/>
                <w:lang w:val="fr-FR" w:eastAsia="fr-FR"/>
              </w:rPr>
              <w:t xml:space="preserve"> retardant</w:t>
            </w:r>
          </w:p>
        </w:tc>
        <w:tc>
          <w:tcPr>
            <w:tcW w:w="1484" w:type="dxa"/>
            <w:shd w:val="clear" w:color="auto" w:fill="auto"/>
            <w:vAlign w:val="center"/>
          </w:tcPr>
          <w:p w:rsidR="00CB0961" w:rsidRPr="00E4067F" w:rsidRDefault="00CB0961" w:rsidP="0016570A">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0</w:t>
            </w:r>
            <w:r w:rsidR="0016570A">
              <w:rPr>
                <w:rFonts w:ascii="Arial" w:eastAsia="Times New Roman" w:hAnsi="Arial" w:cs="Arial"/>
                <w:lang w:val="fr-FR" w:eastAsia="fr-FR"/>
              </w:rPr>
              <w:t>.</w:t>
            </w:r>
            <w:r w:rsidRPr="00E4067F">
              <w:rPr>
                <w:rFonts w:ascii="Arial" w:eastAsia="Times New Roman" w:hAnsi="Arial" w:cs="Arial"/>
                <w:lang w:val="fr-FR" w:eastAsia="fr-FR"/>
              </w:rPr>
              <w:t>07</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4</w:t>
            </w:r>
          </w:p>
        </w:tc>
        <w:tc>
          <w:tcPr>
            <w:tcW w:w="2250" w:type="dxa"/>
            <w:tcBorders>
              <w:top w:val="dotted" w:sz="4" w:space="0" w:color="auto"/>
            </w:tcBorders>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10</w:t>
            </w:r>
          </w:p>
        </w:tc>
      </w:tr>
      <w:tr w:rsidR="00CB0961" w:rsidRPr="00E4067F" w:rsidTr="00ED1E54">
        <w:tc>
          <w:tcPr>
            <w:tcW w:w="2127" w:type="dxa"/>
            <w:vMerge w:val="restart"/>
            <w:vAlign w:val="center"/>
          </w:tcPr>
          <w:p w:rsidR="00CB0961" w:rsidRPr="00E4067F" w:rsidRDefault="00CB0961" w:rsidP="00ED1E54">
            <w:pPr>
              <w:suppressLineNumbers/>
              <w:suppressAutoHyphens/>
              <w:rPr>
                <w:rFonts w:ascii="Arial" w:eastAsia="Times New Roman" w:hAnsi="Arial" w:cs="Arial"/>
                <w:lang w:val="fr-FR" w:eastAsia="fr-FR"/>
              </w:rPr>
            </w:pPr>
            <w:proofErr w:type="spellStart"/>
            <w:r w:rsidRPr="00E4067F">
              <w:rPr>
                <w:rFonts w:ascii="Arial" w:eastAsia="Times New Roman" w:hAnsi="Arial" w:cs="Arial"/>
                <w:lang w:val="fr-FR" w:eastAsia="fr-FR"/>
              </w:rPr>
              <w:t>Core</w:t>
            </w:r>
            <w:proofErr w:type="spellEnd"/>
            <w:r w:rsidRPr="00E4067F">
              <w:rPr>
                <w:rFonts w:ascii="Arial" w:eastAsia="Times New Roman" w:hAnsi="Arial" w:cs="Arial"/>
                <w:lang w:val="fr-FR" w:eastAsia="fr-FR"/>
              </w:rPr>
              <w:t xml:space="preserve"> (</w:t>
            </w:r>
            <w:proofErr w:type="spellStart"/>
            <w:r w:rsidRPr="00E4067F">
              <w:rPr>
                <w:rFonts w:ascii="Arial" w:eastAsia="Times New Roman" w:hAnsi="Arial" w:cs="Arial"/>
                <w:lang w:val="fr-FR" w:eastAsia="fr-FR"/>
              </w:rPr>
              <w:t>honeycomb</w:t>
            </w:r>
            <w:proofErr w:type="spellEnd"/>
            <w:r w:rsidRPr="00E4067F">
              <w:rPr>
                <w:rFonts w:ascii="Arial" w:eastAsia="Times New Roman" w:hAnsi="Arial" w:cs="Arial"/>
                <w:lang w:val="fr-FR" w:eastAsia="fr-FR"/>
              </w:rPr>
              <w:t>)</w:t>
            </w:r>
          </w:p>
        </w:tc>
        <w:tc>
          <w:tcPr>
            <w:tcW w:w="2055" w:type="dxa"/>
            <w:tcBorders>
              <w:bottom w:val="dotted" w:sz="4" w:space="0" w:color="auto"/>
            </w:tcBorders>
          </w:tcPr>
          <w:p w:rsidR="00CB0961" w:rsidRPr="00E4067F" w:rsidRDefault="00CB0961" w:rsidP="00ED1E54">
            <w:pPr>
              <w:suppressLineNumbers/>
              <w:suppressAutoHyphens/>
              <w:rPr>
                <w:rFonts w:ascii="Arial" w:eastAsia="Times New Roman" w:hAnsi="Arial" w:cs="Arial"/>
                <w:lang w:val="fr-FR" w:eastAsia="fr-FR"/>
              </w:rPr>
            </w:pPr>
            <w:proofErr w:type="spellStart"/>
            <w:r w:rsidRPr="00E4067F">
              <w:rPr>
                <w:rFonts w:ascii="Arial" w:eastAsia="Times New Roman" w:hAnsi="Arial" w:cs="Arial"/>
                <w:lang w:val="fr-FR" w:eastAsia="fr-FR"/>
              </w:rPr>
              <w:t>Aramid</w:t>
            </w:r>
            <w:proofErr w:type="spellEnd"/>
            <w:r w:rsidRPr="00E4067F">
              <w:rPr>
                <w:rFonts w:ascii="Arial" w:eastAsia="Times New Roman" w:hAnsi="Arial" w:cs="Arial"/>
                <w:lang w:val="fr-FR" w:eastAsia="fr-FR"/>
              </w:rPr>
              <w:t xml:space="preserve"> </w:t>
            </w:r>
            <w:proofErr w:type="spellStart"/>
            <w:r w:rsidRPr="00E4067F">
              <w:rPr>
                <w:rFonts w:ascii="Arial" w:eastAsia="Times New Roman" w:hAnsi="Arial" w:cs="Arial"/>
                <w:lang w:val="fr-FR" w:eastAsia="fr-FR"/>
              </w:rPr>
              <w:t>fiber</w:t>
            </w:r>
            <w:proofErr w:type="spellEnd"/>
          </w:p>
        </w:tc>
        <w:tc>
          <w:tcPr>
            <w:tcW w:w="1484" w:type="dxa"/>
            <w:shd w:val="clear" w:color="auto" w:fill="auto"/>
            <w:vAlign w:val="center"/>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41</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25</w:t>
            </w:r>
          </w:p>
        </w:tc>
        <w:tc>
          <w:tcPr>
            <w:tcW w:w="2250" w:type="dxa"/>
            <w:tcBorders>
              <w:bottom w:val="dotted" w:sz="4" w:space="0" w:color="auto"/>
            </w:tcBorders>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55</w:t>
            </w:r>
          </w:p>
        </w:tc>
      </w:tr>
      <w:tr w:rsidR="00CB0961" w:rsidRPr="00E4067F" w:rsidTr="00ED1E54">
        <w:tc>
          <w:tcPr>
            <w:tcW w:w="2127" w:type="dxa"/>
            <w:vMerge/>
            <w:vAlign w:val="center"/>
          </w:tcPr>
          <w:p w:rsidR="00CB0961" w:rsidRPr="00E4067F" w:rsidRDefault="00CB0961" w:rsidP="00ED1E54">
            <w:pPr>
              <w:suppressLineNumbers/>
              <w:suppressAutoHyphens/>
              <w:rPr>
                <w:rFonts w:ascii="Arial" w:eastAsia="Times New Roman" w:hAnsi="Arial" w:cs="Arial"/>
                <w:lang w:val="fr-FR" w:eastAsia="fr-FR"/>
              </w:rPr>
            </w:pPr>
          </w:p>
        </w:tc>
        <w:tc>
          <w:tcPr>
            <w:tcW w:w="2055" w:type="dxa"/>
            <w:tcBorders>
              <w:top w:val="dotted" w:sz="4" w:space="0" w:color="auto"/>
              <w:bottom w:val="single" w:sz="4" w:space="0" w:color="auto"/>
            </w:tcBorders>
          </w:tcPr>
          <w:p w:rsidR="00CB0961" w:rsidRPr="00E4067F" w:rsidRDefault="00CB0961" w:rsidP="00ED1E54">
            <w:pPr>
              <w:suppressLineNumbers/>
              <w:suppressAutoHyphens/>
              <w:rPr>
                <w:rFonts w:ascii="Arial" w:eastAsia="Times New Roman" w:hAnsi="Arial" w:cs="Arial"/>
                <w:lang w:val="fr-FR" w:eastAsia="fr-FR"/>
              </w:rPr>
            </w:pPr>
            <w:proofErr w:type="spellStart"/>
            <w:r w:rsidRPr="00E4067F">
              <w:rPr>
                <w:rFonts w:ascii="Arial" w:eastAsia="Times New Roman" w:hAnsi="Arial" w:cs="Arial"/>
                <w:lang w:val="fr-FR" w:eastAsia="fr-FR"/>
              </w:rPr>
              <w:t>Phenolic</w:t>
            </w:r>
            <w:proofErr w:type="spellEnd"/>
            <w:r w:rsidRPr="00E4067F">
              <w:rPr>
                <w:rFonts w:ascii="Arial" w:eastAsia="Times New Roman" w:hAnsi="Arial" w:cs="Arial"/>
                <w:lang w:val="fr-FR" w:eastAsia="fr-FR"/>
              </w:rPr>
              <w:t xml:space="preserve"> </w:t>
            </w:r>
            <w:proofErr w:type="spellStart"/>
            <w:r w:rsidRPr="00E4067F">
              <w:rPr>
                <w:rFonts w:ascii="Arial" w:eastAsia="Times New Roman" w:hAnsi="Arial" w:cs="Arial"/>
                <w:lang w:val="fr-FR" w:eastAsia="fr-FR"/>
              </w:rPr>
              <w:t>resin</w:t>
            </w:r>
            <w:proofErr w:type="spellEnd"/>
          </w:p>
        </w:tc>
        <w:tc>
          <w:tcPr>
            <w:tcW w:w="148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lang w:val="fr-FR" w:eastAsia="fr-FR"/>
              </w:rPr>
            </w:pPr>
            <w:r w:rsidRPr="00E4067F">
              <w:rPr>
                <w:rFonts w:ascii="Arial" w:eastAsia="Times New Roman" w:hAnsi="Arial" w:cs="Arial"/>
                <w:lang w:val="fr-FR" w:eastAsia="fr-FR"/>
              </w:rPr>
              <w:t>-</w:t>
            </w:r>
          </w:p>
        </w:tc>
        <w:tc>
          <w:tcPr>
            <w:tcW w:w="2250" w:type="dxa"/>
            <w:tcBorders>
              <w:top w:val="dotted" w:sz="4" w:space="0" w:color="auto"/>
              <w:bottom w:val="single" w:sz="4" w:space="0" w:color="auto"/>
            </w:tcBorders>
          </w:tcPr>
          <w:p w:rsidR="00CB0961" w:rsidRPr="00E4067F" w:rsidRDefault="0016570A" w:rsidP="00ED1E54">
            <w:pPr>
              <w:suppressLineNumbers/>
              <w:suppressAutoHyphens/>
              <w:jc w:val="center"/>
              <w:rPr>
                <w:rFonts w:ascii="Arial" w:eastAsia="Times New Roman" w:hAnsi="Arial" w:cs="Arial"/>
                <w:lang w:val="fr-FR" w:eastAsia="fr-FR"/>
              </w:rPr>
            </w:pPr>
            <w:r>
              <w:rPr>
                <w:rFonts w:ascii="Arial" w:eastAsia="Times New Roman" w:hAnsi="Arial" w:cs="Arial"/>
                <w:lang w:val="fr-FR" w:eastAsia="fr-FR"/>
              </w:rPr>
              <w:t>0.</w:t>
            </w:r>
            <w:r w:rsidR="00CB0961" w:rsidRPr="00E4067F">
              <w:rPr>
                <w:rFonts w:ascii="Arial" w:eastAsia="Times New Roman" w:hAnsi="Arial" w:cs="Arial"/>
                <w:lang w:val="fr-FR" w:eastAsia="fr-FR"/>
              </w:rPr>
              <w:t>10</w:t>
            </w:r>
          </w:p>
        </w:tc>
      </w:tr>
      <w:tr w:rsidR="00CB0961" w:rsidRPr="00E4067F" w:rsidTr="00ED1E54">
        <w:tc>
          <w:tcPr>
            <w:tcW w:w="4182" w:type="dxa"/>
            <w:gridSpan w:val="2"/>
            <w:vAlign w:val="center"/>
          </w:tcPr>
          <w:p w:rsidR="00CB0961" w:rsidRPr="00E4067F" w:rsidRDefault="00CB0961" w:rsidP="00ED1E54">
            <w:pPr>
              <w:suppressLineNumbers/>
              <w:suppressAutoHyphens/>
              <w:rPr>
                <w:rFonts w:ascii="Arial" w:eastAsia="Times New Roman" w:hAnsi="Arial" w:cs="Arial"/>
                <w:lang w:val="fr-FR" w:eastAsia="fr-FR"/>
              </w:rPr>
            </w:pPr>
            <w:r w:rsidRPr="00E4067F">
              <w:rPr>
                <w:rFonts w:ascii="Arial" w:eastAsia="Times New Roman" w:hAnsi="Arial" w:cs="Arial"/>
                <w:b/>
                <w:lang w:val="fr-FR" w:eastAsia="fr-FR"/>
              </w:rPr>
              <w:t>TOTAL</w:t>
            </w:r>
          </w:p>
        </w:tc>
        <w:tc>
          <w:tcPr>
            <w:tcW w:w="1484" w:type="dxa"/>
            <w:shd w:val="clear" w:color="auto" w:fill="auto"/>
            <w:vAlign w:val="center"/>
          </w:tcPr>
          <w:p w:rsidR="00CB0961" w:rsidRPr="00E4067F" w:rsidRDefault="00CB0961" w:rsidP="0016570A">
            <w:pPr>
              <w:suppressLineNumbers/>
              <w:suppressAutoHyphens/>
              <w:jc w:val="center"/>
              <w:rPr>
                <w:rFonts w:ascii="Arial" w:eastAsia="Times New Roman" w:hAnsi="Arial" w:cs="Arial"/>
                <w:b/>
                <w:lang w:val="fr-FR" w:eastAsia="fr-FR"/>
              </w:rPr>
            </w:pPr>
            <w:r w:rsidRPr="00E4067F">
              <w:rPr>
                <w:rFonts w:ascii="Arial" w:eastAsia="Times New Roman" w:hAnsi="Arial" w:cs="Arial"/>
                <w:b/>
                <w:lang w:val="fr-FR" w:eastAsia="fr-FR"/>
              </w:rPr>
              <w:t>1</w:t>
            </w:r>
            <w:r w:rsidR="0016570A">
              <w:rPr>
                <w:rFonts w:ascii="Arial" w:eastAsia="Times New Roman" w:hAnsi="Arial" w:cs="Arial"/>
                <w:b/>
                <w:lang w:val="fr-FR" w:eastAsia="fr-FR"/>
              </w:rPr>
              <w:t>.</w:t>
            </w:r>
            <w:r w:rsidRPr="00E4067F">
              <w:rPr>
                <w:rFonts w:ascii="Arial" w:eastAsia="Times New Roman" w:hAnsi="Arial" w:cs="Arial"/>
                <w:b/>
                <w:lang w:val="fr-FR" w:eastAsia="fr-FR"/>
              </w:rPr>
              <w:t>63</w:t>
            </w:r>
          </w:p>
        </w:tc>
        <w:tc>
          <w:tcPr>
            <w:tcW w:w="1144" w:type="dxa"/>
            <w:shd w:val="clear" w:color="auto" w:fill="auto"/>
            <w:vAlign w:val="center"/>
          </w:tcPr>
          <w:p w:rsidR="00CB0961" w:rsidRPr="00E4067F" w:rsidRDefault="00CB0961" w:rsidP="00ED1E54">
            <w:pPr>
              <w:suppressLineNumbers/>
              <w:suppressAutoHyphens/>
              <w:jc w:val="center"/>
              <w:rPr>
                <w:rFonts w:ascii="Arial" w:eastAsia="Times New Roman" w:hAnsi="Arial" w:cs="Arial"/>
                <w:b/>
                <w:lang w:val="fr-FR" w:eastAsia="fr-FR"/>
              </w:rPr>
            </w:pPr>
          </w:p>
        </w:tc>
        <w:tc>
          <w:tcPr>
            <w:tcW w:w="2250" w:type="dxa"/>
            <w:tcBorders>
              <w:top w:val="single" w:sz="4" w:space="0" w:color="auto"/>
              <w:bottom w:val="single" w:sz="4" w:space="0" w:color="auto"/>
            </w:tcBorders>
          </w:tcPr>
          <w:p w:rsidR="00CB0961" w:rsidRPr="00E4067F" w:rsidRDefault="0016570A" w:rsidP="00ED1E54">
            <w:pPr>
              <w:suppressLineNumbers/>
              <w:suppressAutoHyphens/>
              <w:jc w:val="center"/>
              <w:rPr>
                <w:rFonts w:ascii="Arial" w:eastAsia="Times New Roman" w:hAnsi="Arial" w:cs="Arial"/>
                <w:b/>
                <w:lang w:val="fr-FR" w:eastAsia="fr-FR"/>
              </w:rPr>
            </w:pPr>
            <w:r>
              <w:rPr>
                <w:rFonts w:ascii="Arial" w:eastAsia="Times New Roman" w:hAnsi="Arial" w:cs="Arial"/>
                <w:b/>
                <w:lang w:val="fr-FR" w:eastAsia="fr-FR"/>
              </w:rPr>
              <w:t>2.</w:t>
            </w:r>
            <w:r w:rsidR="00CB0961" w:rsidRPr="00E4067F">
              <w:rPr>
                <w:rFonts w:ascii="Arial" w:eastAsia="Times New Roman" w:hAnsi="Arial" w:cs="Arial"/>
                <w:b/>
                <w:lang w:val="fr-FR" w:eastAsia="fr-FR"/>
              </w:rPr>
              <w:t>58</w:t>
            </w:r>
          </w:p>
        </w:tc>
      </w:tr>
    </w:tbl>
    <w:p w:rsidR="00CB0961" w:rsidRPr="00CB0961" w:rsidRDefault="00CB0961" w:rsidP="00CB0961">
      <w:pPr>
        <w:jc w:val="both"/>
        <w:rPr>
          <w:b/>
        </w:rPr>
      </w:pPr>
    </w:p>
    <w:p w:rsidR="003F7D24" w:rsidRDefault="00964CF6" w:rsidP="007E736F">
      <w:pPr>
        <w:pStyle w:val="Paragraphedeliste"/>
        <w:numPr>
          <w:ilvl w:val="0"/>
          <w:numId w:val="2"/>
        </w:numPr>
        <w:jc w:val="both"/>
        <w:rPr>
          <w:b/>
        </w:rPr>
      </w:pPr>
      <w:r>
        <w:rPr>
          <w:b/>
        </w:rPr>
        <w:t>SI – Chemical analysis of the resin and hardener used in the production of the biocomposite panel</w:t>
      </w:r>
    </w:p>
    <w:p w:rsidR="00830A32" w:rsidRDefault="00830A32" w:rsidP="007E736F">
      <w:pPr>
        <w:jc w:val="both"/>
      </w:pPr>
      <w:r w:rsidRPr="00830A32">
        <w:t xml:space="preserve">The objective of the chemical analysis </w:t>
      </w:r>
      <w:r>
        <w:t>was to identify the type and structures of epoxides and amines present in the com</w:t>
      </w:r>
      <w:r w:rsidRPr="00830A32">
        <w:t xml:space="preserve">mercial resin and hardener used in the production of the </w:t>
      </w:r>
      <w:r>
        <w:t xml:space="preserve">biocomposite panel, as well as their proportions and the nature and amount of additives present in the resin; specifically the </w:t>
      </w:r>
      <w:r w:rsidR="00AD02D9">
        <w:t>flame retardant</w:t>
      </w:r>
      <w:r>
        <w:t xml:space="preserve"> agent.</w:t>
      </w:r>
    </w:p>
    <w:p w:rsidR="005F6E7C" w:rsidRDefault="00830A32" w:rsidP="007E736F">
      <w:pPr>
        <w:jc w:val="both"/>
      </w:pPr>
      <w:r>
        <w:lastRenderedPageBreak/>
        <w:t xml:space="preserve">Firstly, the glass transition temperature of the resin was determined and compared to the DER 332 compound in order to corroborate the presence of </w:t>
      </w:r>
      <w:proofErr w:type="spellStart"/>
      <w:r>
        <w:t>DEGBA</w:t>
      </w:r>
      <w:proofErr w:type="spellEnd"/>
      <w:r>
        <w:t xml:space="preserve"> (</w:t>
      </w:r>
      <w:proofErr w:type="spellStart"/>
      <w:r>
        <w:t>Bisphenol</w:t>
      </w:r>
      <w:proofErr w:type="spellEnd"/>
      <w:r>
        <w:t xml:space="preserve"> A </w:t>
      </w:r>
      <w:proofErr w:type="spellStart"/>
      <w:r>
        <w:t>diglycidyl</w:t>
      </w:r>
      <w:proofErr w:type="spellEnd"/>
      <w:r>
        <w:t xml:space="preserve"> ether) </w:t>
      </w:r>
      <w:r w:rsidR="005F6E7C">
        <w:t>which is a known constituent of epoxy resins. The transition temperature of the commercial resin was found to be the same as that of DER 332 (</w:t>
      </w:r>
      <w:proofErr w:type="spellStart"/>
      <w:proofErr w:type="gramStart"/>
      <w:r w:rsidR="005F6E7C">
        <w:t>T</w:t>
      </w:r>
      <w:r w:rsidR="005F6E7C">
        <w:rPr>
          <w:vertAlign w:val="subscript"/>
        </w:rPr>
        <w:t>g</w:t>
      </w:r>
      <w:proofErr w:type="spellEnd"/>
      <w:proofErr w:type="gramEnd"/>
      <w:r w:rsidR="005F6E7C">
        <w:rPr>
          <w:vertAlign w:val="subscript"/>
        </w:rPr>
        <w:t> </w:t>
      </w:r>
      <w:r w:rsidR="005F6E7C">
        <w:t xml:space="preserve">= -41°C), which is a high purity </w:t>
      </w:r>
      <w:proofErr w:type="spellStart"/>
      <w:r w:rsidR="005F6E7C">
        <w:t>DEGBA</w:t>
      </w:r>
      <w:proofErr w:type="spellEnd"/>
      <w:r w:rsidR="005F6E7C">
        <w:t xml:space="preserve"> epoxy resin, thus confirming its presence in the mixture.</w:t>
      </w:r>
    </w:p>
    <w:p w:rsidR="00AD02D9" w:rsidRDefault="00AD02D9" w:rsidP="007E736F">
      <w:pPr>
        <w:jc w:val="both"/>
      </w:pPr>
      <w:r>
        <w:t xml:space="preserve">Furthermore, </w:t>
      </w:r>
      <w:r w:rsidR="005F6E7C">
        <w:t xml:space="preserve">the spectrum of </w:t>
      </w:r>
      <w:r>
        <w:t>the resin</w:t>
      </w:r>
      <w:r w:rsidR="005F6E7C">
        <w:t xml:space="preserve"> </w:t>
      </w:r>
      <w:proofErr w:type="gramStart"/>
      <w:r w:rsidR="005F6E7C">
        <w:t xml:space="preserve">was </w:t>
      </w:r>
      <w:r>
        <w:t>obtained</w:t>
      </w:r>
      <w:proofErr w:type="gramEnd"/>
      <w:r w:rsidR="005F6E7C">
        <w:t xml:space="preserve"> </w:t>
      </w:r>
      <w:r>
        <w:t xml:space="preserve">through IR and </w:t>
      </w:r>
      <w:r w:rsidRPr="007572FD">
        <w:rPr>
          <w:vertAlign w:val="superscript"/>
        </w:rPr>
        <w:t>1</w:t>
      </w:r>
      <w:r>
        <w:t xml:space="preserve">H </w:t>
      </w:r>
      <w:proofErr w:type="spellStart"/>
      <w:r>
        <w:t>NMR</w:t>
      </w:r>
      <w:proofErr w:type="spellEnd"/>
      <w:r>
        <w:t xml:space="preserve"> </w:t>
      </w:r>
      <w:r w:rsidRPr="00AD02D9">
        <w:t>spectrometry</w:t>
      </w:r>
      <w:r>
        <w:t xml:space="preserve">. Results were compared to literature values and corroborated the presence of </w:t>
      </w:r>
      <w:proofErr w:type="spellStart"/>
      <w:r>
        <w:t>DEGBA</w:t>
      </w:r>
      <w:proofErr w:type="spellEnd"/>
      <w:r>
        <w:t>, 1</w:t>
      </w:r>
      <w:proofErr w:type="gramStart"/>
      <w:r>
        <w:t>,6</w:t>
      </w:r>
      <w:proofErr w:type="gramEnd"/>
      <w:r>
        <w:t xml:space="preserve">-Bis(2,3-epoxypropoxy)hexane and </w:t>
      </w:r>
      <w:proofErr w:type="spellStart"/>
      <w:r>
        <w:t>oxirane</w:t>
      </w:r>
      <w:proofErr w:type="spellEnd"/>
      <w:r>
        <w:t>, 2-phenoxymethyl, the latter being a reaction product.</w:t>
      </w:r>
    </w:p>
    <w:p w:rsidR="00AD02D9" w:rsidRDefault="00AD02D9" w:rsidP="007E736F">
      <w:pPr>
        <w:jc w:val="both"/>
      </w:pPr>
      <w:r>
        <w:t xml:space="preserve">Through an </w:t>
      </w:r>
      <w:proofErr w:type="spellStart"/>
      <w:r>
        <w:t>XRD</w:t>
      </w:r>
      <w:proofErr w:type="spellEnd"/>
      <w:r>
        <w:t xml:space="preserve"> analysis, the flame retardant agent </w:t>
      </w:r>
      <w:proofErr w:type="gramStart"/>
      <w:r>
        <w:t>was identified</w:t>
      </w:r>
      <w:proofErr w:type="gramEnd"/>
      <w:r>
        <w:t xml:space="preserve"> as ammonium phosphate. Additionally, a </w:t>
      </w:r>
      <w:proofErr w:type="spellStart"/>
      <w:r>
        <w:t>TGA</w:t>
      </w:r>
      <w:proofErr w:type="spellEnd"/>
      <w:r>
        <w:t xml:space="preserve"> analysis </w:t>
      </w:r>
      <w:proofErr w:type="gramStart"/>
      <w:r>
        <w:t>was carried out</w:t>
      </w:r>
      <w:proofErr w:type="gramEnd"/>
      <w:r>
        <w:t xml:space="preserve"> and results showed that the mineral charges </w:t>
      </w:r>
      <w:proofErr w:type="spellStart"/>
      <w:r>
        <w:t>contitute</w:t>
      </w:r>
      <w:proofErr w:type="spellEnd"/>
      <w:r>
        <w:t xml:space="preserve"> 38.4% of the resin mixture.</w:t>
      </w:r>
    </w:p>
    <w:p w:rsidR="00AD02D9" w:rsidRDefault="00AD02D9" w:rsidP="007E736F">
      <w:pPr>
        <w:jc w:val="both"/>
      </w:pPr>
      <w:r>
        <w:t xml:space="preserve">As done for the resin, IR and </w:t>
      </w:r>
      <w:r>
        <w:rPr>
          <w:vertAlign w:val="superscript"/>
        </w:rPr>
        <w:t>1</w:t>
      </w:r>
      <w:r>
        <w:t xml:space="preserve">H </w:t>
      </w:r>
      <w:proofErr w:type="spellStart"/>
      <w:r>
        <w:t>NMR</w:t>
      </w:r>
      <w:proofErr w:type="spellEnd"/>
      <w:r>
        <w:t xml:space="preserve"> spectrometry </w:t>
      </w:r>
      <w:r w:rsidR="00833357">
        <w:t>led to identification of 3-aminolethyl-3</w:t>
      </w:r>
      <w:proofErr w:type="gramStart"/>
      <w:r w:rsidR="00833357">
        <w:t>,5,5</w:t>
      </w:r>
      <w:proofErr w:type="gramEnd"/>
      <w:r w:rsidR="00833357">
        <w:t xml:space="preserve">-trimethylcyclohexylamine, </w:t>
      </w:r>
      <w:proofErr w:type="spellStart"/>
      <w:r w:rsidR="00833357">
        <w:t>alkylether</w:t>
      </w:r>
      <w:proofErr w:type="spellEnd"/>
      <w:r w:rsidR="00833357">
        <w:t xml:space="preserve"> polyamine, and methylamine as the constituents of the commercial hardener. A pH-metric dosage of amine functions proved the molarity of the primary amine functions of the commercial hardener to be 8.1</w:t>
      </w:r>
      <w:r w:rsidR="0016570A">
        <w:t> </w:t>
      </w:r>
      <w:bookmarkStart w:id="1" w:name="_GoBack"/>
      <w:bookmarkEnd w:id="1"/>
      <w:proofErr w:type="spellStart"/>
      <w:r w:rsidR="00833357">
        <w:t>mol</w:t>
      </w:r>
      <w:proofErr w:type="spellEnd"/>
      <w:r w:rsidR="00833357">
        <w:t>/L.</w:t>
      </w:r>
    </w:p>
    <w:p w:rsidR="008808C2" w:rsidRPr="00E4067F" w:rsidRDefault="008808C2" w:rsidP="007E736F">
      <w:pPr>
        <w:jc w:val="both"/>
      </w:pPr>
    </w:p>
    <w:p w:rsidR="00B8691D" w:rsidRDefault="00B8691D" w:rsidP="00B8691D">
      <w:pPr>
        <w:pStyle w:val="Paragraphedeliste"/>
        <w:numPr>
          <w:ilvl w:val="0"/>
          <w:numId w:val="2"/>
        </w:numPr>
        <w:jc w:val="both"/>
        <w:rPr>
          <w:b/>
        </w:rPr>
      </w:pPr>
      <w:r>
        <w:rPr>
          <w:b/>
        </w:rPr>
        <w:t>SI – Creation of an APP production process from the production of MAP</w:t>
      </w:r>
    </w:p>
    <w:p w:rsidR="00920339" w:rsidRDefault="00B8691D" w:rsidP="00B8691D">
      <w:pPr>
        <w:jc w:val="both"/>
      </w:pPr>
      <w:r>
        <w:t>APP is the fire suppressant agent found in the polymeric resin used in the production of the biocomposite panel, which corresponds to 38% (w/w) of the mixture.</w:t>
      </w:r>
      <w:r w:rsidR="00920339">
        <w:t xml:space="preserve"> </w:t>
      </w:r>
      <w:r>
        <w:t xml:space="preserve">MAP synthesis follows the same process as APP synthesis. </w:t>
      </w:r>
    </w:p>
    <w:p w:rsidR="00B8691D" w:rsidRDefault="00B8691D" w:rsidP="00B8691D">
      <w:pPr>
        <w:jc w:val="both"/>
      </w:pPr>
      <w:r>
        <w:t>MAP main application is as a nitrogen fertilizer, followed by their use as fire suppressant agents. It is therefore possible to use the MAP production process as a proxy to evaluate the impacts of APP production. The Ecoinvent process for MAP synthesis is available as “</w:t>
      </w:r>
      <w:r w:rsidRPr="007A2F72">
        <w:t xml:space="preserve">Nitrogen </w:t>
      </w:r>
      <w:proofErr w:type="spellStart"/>
      <w:r w:rsidRPr="007A2F72">
        <w:t>fertiliser</w:t>
      </w:r>
      <w:proofErr w:type="spellEnd"/>
      <w:r w:rsidRPr="007A2F72">
        <w:t>, as N {</w:t>
      </w:r>
      <w:proofErr w:type="spellStart"/>
      <w:r w:rsidRPr="007A2F72">
        <w:t>RER</w:t>
      </w:r>
      <w:proofErr w:type="spellEnd"/>
      <w:r w:rsidRPr="007A2F72">
        <w:t xml:space="preserve">}| </w:t>
      </w:r>
      <w:proofErr w:type="spellStart"/>
      <w:r w:rsidRPr="007A2F72">
        <w:t>monoammonium</w:t>
      </w:r>
      <w:proofErr w:type="spellEnd"/>
      <w:r w:rsidRPr="007A2F72">
        <w:t xml:space="preserve"> phosphate production | </w:t>
      </w:r>
      <w:proofErr w:type="spellStart"/>
      <w:r w:rsidRPr="007A2F72">
        <w:t>APOS</w:t>
      </w:r>
      <w:proofErr w:type="spellEnd"/>
      <w:r w:rsidRPr="007A2F72">
        <w:t>, U</w:t>
      </w:r>
      <w:r>
        <w:t xml:space="preserve">”. </w:t>
      </w:r>
      <w:r w:rsidR="004A7055">
        <w:t xml:space="preserve"> Here an effort </w:t>
      </w:r>
      <w:proofErr w:type="gramStart"/>
      <w:r w:rsidR="004A7055">
        <w:t>was made</w:t>
      </w:r>
      <w:proofErr w:type="gramEnd"/>
      <w:r w:rsidR="004A7055">
        <w:t xml:space="preserve"> to make this process consequential. First, </w:t>
      </w:r>
      <w:proofErr w:type="gramStart"/>
      <w:r w:rsidR="004A7055">
        <w:t>the “</w:t>
      </w:r>
      <w:proofErr w:type="spellStart"/>
      <w:r w:rsidR="004A7055">
        <w:t>APOS</w:t>
      </w:r>
      <w:proofErr w:type="spellEnd"/>
      <w:r w:rsidR="004A7055">
        <w:t>” processes it contains w</w:t>
      </w:r>
      <w:r>
        <w:t>ere substituted by “</w:t>
      </w:r>
      <w:proofErr w:type="spellStart"/>
      <w:r>
        <w:t>Conseq</w:t>
      </w:r>
      <w:proofErr w:type="spellEnd"/>
      <w:r>
        <w:t>”</w:t>
      </w:r>
      <w:r w:rsidR="004A7055">
        <w:t xml:space="preserve"> processes</w:t>
      </w:r>
      <w:proofErr w:type="gramEnd"/>
      <w:r>
        <w:t xml:space="preserve"> in order to keep the consequential approach taken by this study.</w:t>
      </w:r>
    </w:p>
    <w:p w:rsidR="00B8691D" w:rsidRDefault="00B8691D" w:rsidP="00B8691D">
      <w:pPr>
        <w:jc w:val="both"/>
      </w:pPr>
      <w:r>
        <w:t xml:space="preserve">However, the process considers the production of MAP by the synthesis of ammonia and phosphoric acid in 70% solution state, which corresponds to a fertilizer grade. For the production of an industrial grade MAP, phosphoric acid </w:t>
      </w:r>
      <w:proofErr w:type="gramStart"/>
      <w:r>
        <w:t>is used</w:t>
      </w:r>
      <w:proofErr w:type="gramEnd"/>
      <w:r>
        <w:t xml:space="preserve"> in 85% solution state. Therefore, the Ecoinvent process </w:t>
      </w:r>
      <w:proofErr w:type="gramStart"/>
      <w:r>
        <w:t>was modified</w:t>
      </w:r>
      <w:proofErr w:type="gramEnd"/>
      <w:r>
        <w:t xml:space="preserve"> by replacing the phosphoric acid in 70% solution state to one with an 85% solution state, as an industrial grade is required for the synthesis of APP. </w:t>
      </w:r>
    </w:p>
    <w:p w:rsidR="00B8691D" w:rsidRDefault="00B8691D" w:rsidP="00B8691D">
      <w:pPr>
        <w:jc w:val="both"/>
      </w:pPr>
      <w:r>
        <w:t xml:space="preserve">As the new solution is more concentrated, the value for phosphoric acid </w:t>
      </w:r>
      <w:proofErr w:type="gramStart"/>
      <w:r>
        <w:t>was adjusted</w:t>
      </w:r>
      <w:proofErr w:type="gramEnd"/>
      <w:r>
        <w:t xml:space="preserve"> from 1.9096 kg to 1.5726 kg per 0.3467 kg ammonia to produce 1 kg of MAP. </w:t>
      </w:r>
      <w:proofErr w:type="gramStart"/>
      <w:r>
        <w:t>In order to not over or underestimate the impact of MAP production with an application as a fire suppressant agent, the validity of the adjustment was proven by the comparison of three different MAP production processes: 1) MAP production with phosphoric acid 70% solution, 2) MAP production with phosphoric acid 85% solution with adjustment of value, and 3) MAP production with phosphoric acid 85% sol</w:t>
      </w:r>
      <w:r w:rsidR="00920339">
        <w:t>ution without value adjustment.</w:t>
      </w:r>
      <w:proofErr w:type="gramEnd"/>
    </w:p>
    <w:p w:rsidR="00920339" w:rsidRPr="00B8691D" w:rsidRDefault="00920339" w:rsidP="00B8691D">
      <w:pPr>
        <w:jc w:val="both"/>
      </w:pPr>
    </w:p>
    <w:p w:rsidR="0014142D" w:rsidRPr="00E4067F" w:rsidRDefault="0014142D" w:rsidP="00964CF6"/>
    <w:sectPr w:rsidR="0014142D" w:rsidRPr="00E4067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F5C" w:rsidRDefault="00106F5C" w:rsidP="00106F5C">
      <w:pPr>
        <w:spacing w:after="0" w:line="240" w:lineRule="auto"/>
      </w:pPr>
      <w:r>
        <w:separator/>
      </w:r>
    </w:p>
  </w:endnote>
  <w:endnote w:type="continuationSeparator" w:id="0">
    <w:p w:rsidR="00106F5C" w:rsidRDefault="00106F5C" w:rsidP="00106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729962"/>
      <w:docPartObj>
        <w:docPartGallery w:val="Page Numbers (Bottom of Page)"/>
        <w:docPartUnique/>
      </w:docPartObj>
    </w:sdtPr>
    <w:sdtEndPr/>
    <w:sdtContent>
      <w:p w:rsidR="00CF6673" w:rsidRDefault="00CF6673">
        <w:pPr>
          <w:pStyle w:val="Pieddepage"/>
          <w:jc w:val="right"/>
        </w:pPr>
        <w:r>
          <w:fldChar w:fldCharType="begin"/>
        </w:r>
        <w:r>
          <w:instrText>PAGE   \* MERGEFORMAT</w:instrText>
        </w:r>
        <w:r>
          <w:fldChar w:fldCharType="separate"/>
        </w:r>
        <w:r w:rsidR="0016570A" w:rsidRPr="0016570A">
          <w:rPr>
            <w:noProof/>
            <w:lang w:val="fr-FR"/>
          </w:rPr>
          <w:t>2</w:t>
        </w:r>
        <w:r>
          <w:fldChar w:fldCharType="end"/>
        </w:r>
      </w:p>
    </w:sdtContent>
  </w:sdt>
  <w:p w:rsidR="00CF6673" w:rsidRDefault="00CF667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F5C" w:rsidRDefault="00106F5C" w:rsidP="00106F5C">
      <w:pPr>
        <w:spacing w:after="0" w:line="240" w:lineRule="auto"/>
      </w:pPr>
      <w:r>
        <w:separator/>
      </w:r>
    </w:p>
  </w:footnote>
  <w:footnote w:type="continuationSeparator" w:id="0">
    <w:p w:rsidR="00106F5C" w:rsidRDefault="00106F5C" w:rsidP="00106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F5C" w:rsidRPr="00106F5C" w:rsidRDefault="00106F5C" w:rsidP="00106F5C">
    <w:pPr>
      <w:pStyle w:val="En-tte"/>
      <w:rPr>
        <w:rFonts w:cstheme="minorHAnsi"/>
        <w:sz w:val="28"/>
      </w:rPr>
    </w:pPr>
    <w:r w:rsidRPr="00106F5C">
      <w:rPr>
        <w:rFonts w:cstheme="minorHAnsi"/>
        <w:b/>
        <w:sz w:val="28"/>
      </w:rPr>
      <w:t>Supporting Information</w:t>
    </w:r>
    <w:r w:rsidR="00A41EF2">
      <w:rPr>
        <w:rFonts w:cstheme="minorHAnsi"/>
        <w:b/>
        <w:sz w:val="28"/>
      </w:rPr>
      <w:t xml:space="preserve"> 1</w:t>
    </w:r>
  </w:p>
  <w:p w:rsidR="00106F5C" w:rsidRPr="00106F5C" w:rsidRDefault="00964CF6" w:rsidP="00964CF6">
    <w:pPr>
      <w:pStyle w:val="En-tte"/>
      <w:spacing w:after="240"/>
      <w:rPr>
        <w:rFonts w:cstheme="minorHAnsi"/>
        <w:b/>
      </w:rPr>
    </w:pPr>
    <w:r w:rsidRPr="00964CF6">
      <w:rPr>
        <w:rFonts w:cstheme="minorHAnsi"/>
        <w:b/>
      </w:rPr>
      <w:t xml:space="preserve">Natural Fiber Polymer Composites - A </w:t>
    </w:r>
    <w:r w:rsidR="00E4067F">
      <w:rPr>
        <w:rFonts w:cstheme="minorHAnsi"/>
        <w:b/>
      </w:rPr>
      <w:t>game changer for</w:t>
    </w:r>
    <w:r w:rsidRPr="00964CF6">
      <w:rPr>
        <w:rFonts w:cstheme="minorHAnsi"/>
        <w:b/>
      </w:rPr>
      <w:t xml:space="preserve"> the aviation sector?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88302D"/>
    <w:multiLevelType w:val="hybridMultilevel"/>
    <w:tmpl w:val="DDA6B1E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7E4609A4"/>
    <w:multiLevelType w:val="hybridMultilevel"/>
    <w:tmpl w:val="F34A29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5C"/>
    <w:rsid w:val="00106F5C"/>
    <w:rsid w:val="00126D8F"/>
    <w:rsid w:val="00126DE0"/>
    <w:rsid w:val="0014142D"/>
    <w:rsid w:val="0016570A"/>
    <w:rsid w:val="003C19AF"/>
    <w:rsid w:val="003F7D24"/>
    <w:rsid w:val="00403509"/>
    <w:rsid w:val="004A7055"/>
    <w:rsid w:val="004B4F58"/>
    <w:rsid w:val="005140F6"/>
    <w:rsid w:val="005F6E7C"/>
    <w:rsid w:val="007572FD"/>
    <w:rsid w:val="007E736F"/>
    <w:rsid w:val="00830A32"/>
    <w:rsid w:val="00833357"/>
    <w:rsid w:val="0087018A"/>
    <w:rsid w:val="008808C2"/>
    <w:rsid w:val="00920339"/>
    <w:rsid w:val="00964CF6"/>
    <w:rsid w:val="009E1312"/>
    <w:rsid w:val="00A41EF2"/>
    <w:rsid w:val="00AD02D9"/>
    <w:rsid w:val="00B8691D"/>
    <w:rsid w:val="00C724D2"/>
    <w:rsid w:val="00CB0961"/>
    <w:rsid w:val="00CF6673"/>
    <w:rsid w:val="00E4067F"/>
    <w:rsid w:val="00EF5359"/>
    <w:rsid w:val="00F37B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CE03C5"/>
  <w15:chartTrackingRefBased/>
  <w15:docId w15:val="{6216B4B8-D876-4A2F-A7AB-9A245AE52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6F5C"/>
    <w:pPr>
      <w:tabs>
        <w:tab w:val="center" w:pos="4536"/>
        <w:tab w:val="right" w:pos="9072"/>
      </w:tabs>
      <w:spacing w:after="0" w:line="240" w:lineRule="auto"/>
    </w:pPr>
  </w:style>
  <w:style w:type="character" w:customStyle="1" w:styleId="En-tteCar">
    <w:name w:val="En-tête Car"/>
    <w:basedOn w:val="Policepardfaut"/>
    <w:link w:val="En-tte"/>
    <w:uiPriority w:val="99"/>
    <w:rsid w:val="00106F5C"/>
    <w:rPr>
      <w:lang w:val="en-US"/>
    </w:rPr>
  </w:style>
  <w:style w:type="paragraph" w:styleId="Pieddepage">
    <w:name w:val="footer"/>
    <w:basedOn w:val="Normal"/>
    <w:link w:val="PieddepageCar"/>
    <w:uiPriority w:val="99"/>
    <w:unhideWhenUsed/>
    <w:rsid w:val="00106F5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6F5C"/>
    <w:rPr>
      <w:lang w:val="en-US"/>
    </w:rPr>
  </w:style>
  <w:style w:type="paragraph" w:styleId="Paragraphedeliste">
    <w:name w:val="List Paragraph"/>
    <w:basedOn w:val="Normal"/>
    <w:uiPriority w:val="34"/>
    <w:qFormat/>
    <w:rsid w:val="00964CF6"/>
    <w:pPr>
      <w:ind w:left="720"/>
      <w:contextualSpacing/>
    </w:pPr>
  </w:style>
  <w:style w:type="table" w:customStyle="1" w:styleId="Grilledutableau1">
    <w:name w:val="Grille du tableau1"/>
    <w:basedOn w:val="TableauNormal"/>
    <w:next w:val="Grilledutableau"/>
    <w:uiPriority w:val="39"/>
    <w:rsid w:val="0014142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141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126DE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B94B2-6EF2-42D6-B1CA-819C83195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Pages>
  <Words>1406</Words>
  <Characters>7738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GOMEZ CAMPOS</dc:creator>
  <cp:keywords/>
  <dc:description/>
  <cp:lastModifiedBy>Alejandra GOMEZ CAMPOS</cp:lastModifiedBy>
  <cp:revision>9</cp:revision>
  <dcterms:created xsi:type="dcterms:W3CDTF">2019-10-16T07:34:00Z</dcterms:created>
  <dcterms:modified xsi:type="dcterms:W3CDTF">2020-10-09T13:47:00Z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zotero-version="5.0.76"&gt;&lt;session id="s2dSbZDZ"/&gt;&lt;style id="http://www.zotero.org/styles/chicago-author-date" locale="en-US" hasBibliography="1" bibliographyStyleHasBeenSet="0"/&gt;&lt;prefs&gt;&lt;pref name="fieldType" value="Field"/&gt;&lt;/prefs&gt;&lt;/</vt:lpwstr>
  </property>
  <property fmtid="{D5CDD505-2E9C-101B-9397-08002B2CF9AE}" pid="3" name="ZOTERO_PREF_2">
    <vt:lpwstr>data&gt;</vt:lpwstr>
  </property>
</Properties>
</file>