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A31D7" w14:textId="49BE868E" w:rsidR="00413740" w:rsidRDefault="00A91720">
      <w:r>
        <w:t>Finch et al. 2021</w:t>
      </w:r>
      <w:bookmarkStart w:id="0" w:name="_GoBack"/>
      <w:bookmarkEnd w:id="0"/>
    </w:p>
    <w:p w14:paraId="0886DD99" w14:textId="00615588" w:rsidR="00A94BD7" w:rsidRPr="00E82725" w:rsidRDefault="00D459B7">
      <w:pPr>
        <w:rPr>
          <w:b/>
        </w:rPr>
      </w:pPr>
      <w:r w:rsidRPr="00E82725">
        <w:rPr>
          <w:b/>
        </w:rPr>
        <w:t>Supplementary Document</w:t>
      </w:r>
    </w:p>
    <w:p w14:paraId="1AFEAA0B" w14:textId="77777777" w:rsidR="001A55FD" w:rsidRDefault="001A55FD"/>
    <w:p w14:paraId="1A624BDD" w14:textId="2019809C" w:rsidR="00277B9E" w:rsidRPr="00E82725" w:rsidRDefault="00E82725" w:rsidP="00277B9E">
      <w:pPr>
        <w:rPr>
          <w:rFonts w:ascii="Palatino Linotype" w:hAnsi="Palatino Linotype"/>
          <w:i/>
        </w:rPr>
      </w:pPr>
      <w:r w:rsidRPr="00E82725">
        <w:rPr>
          <w:rFonts w:ascii="Palatino Linotype" w:hAnsi="Palatino Linotype"/>
          <w:i/>
        </w:rPr>
        <w:t xml:space="preserve">Preparation of Vehicles </w:t>
      </w:r>
      <w:r w:rsidR="00277B9E" w:rsidRPr="00E82725">
        <w:rPr>
          <w:rFonts w:ascii="Palatino Linotype" w:hAnsi="Palatino Linotype"/>
          <w:i/>
        </w:rPr>
        <w:t>for Formulation Tests</w:t>
      </w:r>
    </w:p>
    <w:p w14:paraId="6BE557E0" w14:textId="70625A2C" w:rsidR="00E82725" w:rsidRDefault="00277B9E" w:rsidP="00E82725">
      <w:pPr>
        <w:pStyle w:val="NormalIndent"/>
        <w:spacing w:before="240" w:after="0" w:line="260" w:lineRule="atLeast"/>
        <w:ind w:left="0" w:firstLine="450"/>
        <w:jc w:val="both"/>
        <w:rPr>
          <w:rFonts w:ascii="Palatino Linotype" w:hAnsi="Palatino Linotype" w:cs="Times New Roman"/>
          <w:sz w:val="20"/>
          <w:szCs w:val="20"/>
        </w:rPr>
      </w:pPr>
      <w:r w:rsidRPr="00E82725">
        <w:rPr>
          <w:rFonts w:ascii="Palatino Linotype" w:hAnsi="Palatino Linotype" w:cs="Times New Roman"/>
          <w:sz w:val="20"/>
          <w:szCs w:val="20"/>
        </w:rPr>
        <w:t>Vehicle #1 (</w:t>
      </w:r>
      <w:r w:rsidR="00BB27F9">
        <w:rPr>
          <w:rFonts w:ascii="Palatino Linotype" w:hAnsi="Palatino Linotype" w:cs="Times New Roman"/>
          <w:sz w:val="20"/>
          <w:szCs w:val="20"/>
        </w:rPr>
        <w:t xml:space="preserve">Aqueous Suspension Vehicle, </w:t>
      </w:r>
      <w:r w:rsidRPr="00E82725">
        <w:rPr>
          <w:rFonts w:ascii="Palatino Linotype" w:hAnsi="Palatino Linotype" w:cs="Times New Roman"/>
          <w:sz w:val="20"/>
          <w:szCs w:val="20"/>
        </w:rPr>
        <w:t xml:space="preserve">ASV) was prepared as follows:  Sodium chloride (9 mg/ml final concentration) and sterile water for injection (70% final volume) were stirred for 5 min until the sodium chloride was dissolved.  Benzyl alcohol (0.9% final concentration, v/v) was added, and the mixture was stirred for 5 min until it was a clear solution.  Tween 80 (0.4% final concentration, v/v) was then added, and the mixture was again stirred for 10 min until Tween 80 dissolved.  Carboxymethylcellulose (5 mg/ml final concentration) was then added while stirring.  The solution mixture was stirred for 5 min before water was added Q.S. </w:t>
      </w:r>
      <w:r w:rsidR="007E6BB9">
        <w:rPr>
          <w:rFonts w:ascii="Palatino Linotype" w:hAnsi="Palatino Linotype" w:cs="Times New Roman"/>
          <w:sz w:val="20"/>
          <w:szCs w:val="20"/>
        </w:rPr>
        <w:t xml:space="preserve">(as much as needed) </w:t>
      </w:r>
      <w:r w:rsidRPr="00E82725">
        <w:rPr>
          <w:rFonts w:ascii="Palatino Linotype" w:hAnsi="Palatino Linotype" w:cs="Times New Roman"/>
          <w:sz w:val="20"/>
          <w:szCs w:val="20"/>
        </w:rPr>
        <w:t xml:space="preserve">to </w:t>
      </w:r>
      <w:r w:rsidR="001D63B7">
        <w:rPr>
          <w:rFonts w:ascii="Palatino Linotype" w:hAnsi="Palatino Linotype" w:cs="Times New Roman"/>
          <w:sz w:val="20"/>
          <w:szCs w:val="20"/>
        </w:rPr>
        <w:t xml:space="preserve">bring to </w:t>
      </w:r>
      <w:r w:rsidRPr="00E82725">
        <w:rPr>
          <w:rFonts w:ascii="Palatino Linotype" w:hAnsi="Palatino Linotype" w:cs="Times New Roman"/>
          <w:sz w:val="20"/>
          <w:szCs w:val="20"/>
        </w:rPr>
        <w:t xml:space="preserve">the final volume.  The ASV was stirred for 5 min, then autoclaved for 30 min at 121°C, and allowed to cool to room temperature for 90 min.  The ASV was stored refrigerated until use.  </w:t>
      </w:r>
    </w:p>
    <w:p w14:paraId="09FB657E" w14:textId="5DFB9938" w:rsidR="00277B9E" w:rsidRPr="00E82725" w:rsidRDefault="00277B9E" w:rsidP="00E82725">
      <w:pPr>
        <w:pStyle w:val="NormalIndent"/>
        <w:spacing w:before="240" w:after="0" w:line="260" w:lineRule="atLeast"/>
        <w:ind w:left="0" w:firstLine="450"/>
        <w:jc w:val="both"/>
        <w:rPr>
          <w:rFonts w:ascii="Palatino Linotype" w:hAnsi="Palatino Linotype" w:cs="Times New Roman"/>
          <w:sz w:val="20"/>
          <w:szCs w:val="20"/>
        </w:rPr>
      </w:pPr>
      <w:r w:rsidRPr="00E82725">
        <w:rPr>
          <w:rFonts w:ascii="Palatino Linotype" w:hAnsi="Palatino Linotype" w:cs="Times New Roman"/>
          <w:sz w:val="20"/>
          <w:szCs w:val="20"/>
        </w:rPr>
        <w:t xml:space="preserve">Vehicle #2 (20% Captisol) was prepared by mixing Captisol (20% w/v) with water (~70% of final volume) </w:t>
      </w:r>
      <w:r w:rsidR="00875387">
        <w:rPr>
          <w:rFonts w:ascii="Palatino Linotype" w:hAnsi="Palatino Linotype" w:cs="Times New Roman"/>
          <w:sz w:val="20"/>
          <w:szCs w:val="20"/>
        </w:rPr>
        <w:t>using a</w:t>
      </w:r>
      <w:r w:rsidRPr="00E82725">
        <w:rPr>
          <w:rFonts w:ascii="Palatino Linotype" w:hAnsi="Palatino Linotype" w:cs="Times New Roman"/>
          <w:sz w:val="20"/>
          <w:szCs w:val="20"/>
        </w:rPr>
        <w:t xml:space="preserve"> magnetic stirrer for 10 min until all solid was dissolved, then water was added Q.S. to the final volume and the solution was mixed for </w:t>
      </w:r>
      <w:r w:rsidR="000B6E25">
        <w:rPr>
          <w:rFonts w:ascii="Palatino Linotype" w:hAnsi="Palatino Linotype" w:cs="Times New Roman"/>
          <w:sz w:val="20"/>
          <w:szCs w:val="20"/>
        </w:rPr>
        <w:t xml:space="preserve">an </w:t>
      </w:r>
      <w:r w:rsidRPr="00E82725">
        <w:rPr>
          <w:rFonts w:ascii="Palatino Linotype" w:hAnsi="Palatino Linotype" w:cs="Times New Roman"/>
          <w:sz w:val="20"/>
          <w:szCs w:val="20"/>
        </w:rPr>
        <w:t xml:space="preserve">additional 5 min. </w:t>
      </w:r>
    </w:p>
    <w:p w14:paraId="70505A8A" w14:textId="4D25E53A" w:rsidR="00277B9E" w:rsidRPr="00E82725" w:rsidRDefault="00277B9E" w:rsidP="00E82725">
      <w:pPr>
        <w:pStyle w:val="NormalIndent"/>
        <w:spacing w:before="240" w:after="0" w:line="260" w:lineRule="atLeast"/>
        <w:ind w:left="0" w:firstLine="450"/>
        <w:jc w:val="both"/>
        <w:rPr>
          <w:rFonts w:ascii="Palatino Linotype" w:hAnsi="Palatino Linotype" w:cs="Times New Roman"/>
          <w:sz w:val="20"/>
          <w:szCs w:val="20"/>
        </w:rPr>
      </w:pPr>
      <w:r w:rsidRPr="00E82725">
        <w:rPr>
          <w:rFonts w:ascii="Palatino Linotype" w:hAnsi="Palatino Linotype" w:cs="Times New Roman"/>
          <w:sz w:val="20"/>
          <w:szCs w:val="20"/>
        </w:rPr>
        <w:t>Vehicle</w:t>
      </w:r>
      <w:r w:rsidR="000B1D3C">
        <w:rPr>
          <w:rFonts w:ascii="Palatino Linotype" w:hAnsi="Palatino Linotype" w:cs="Times New Roman"/>
          <w:sz w:val="20"/>
          <w:szCs w:val="20"/>
        </w:rPr>
        <w:t>s</w:t>
      </w:r>
      <w:r w:rsidRPr="00E82725">
        <w:rPr>
          <w:rFonts w:ascii="Palatino Linotype" w:hAnsi="Palatino Linotype" w:cs="Times New Roman"/>
          <w:sz w:val="20"/>
          <w:szCs w:val="20"/>
        </w:rPr>
        <w:t xml:space="preserve"> #3 and 6 were prepared by mixing the listed individual vehicle components at the appropriate concentration on </w:t>
      </w:r>
      <w:r w:rsidR="000B6E25">
        <w:rPr>
          <w:rFonts w:ascii="Palatino Linotype" w:hAnsi="Palatino Linotype" w:cs="Times New Roman"/>
          <w:sz w:val="20"/>
          <w:szCs w:val="20"/>
        </w:rPr>
        <w:t xml:space="preserve">a </w:t>
      </w:r>
      <w:r w:rsidRPr="00E82725">
        <w:rPr>
          <w:rFonts w:ascii="Palatino Linotype" w:hAnsi="Palatino Linotype" w:cs="Times New Roman"/>
          <w:sz w:val="20"/>
          <w:szCs w:val="20"/>
        </w:rPr>
        <w:t>magnetic stirrer for 5 to 10 min.  Solutol was melted at 50–60°C before use.</w:t>
      </w:r>
      <w:r w:rsidR="00E82725">
        <w:rPr>
          <w:rFonts w:ascii="Palatino Linotype" w:hAnsi="Palatino Linotype" w:cs="Times New Roman"/>
          <w:sz w:val="20"/>
          <w:szCs w:val="20"/>
        </w:rPr>
        <w:t xml:space="preserve"> </w:t>
      </w:r>
      <w:r w:rsidRPr="00E82725">
        <w:rPr>
          <w:rFonts w:ascii="Palatino Linotype" w:hAnsi="Palatino Linotype" w:cs="Times New Roman"/>
          <w:sz w:val="20"/>
          <w:szCs w:val="20"/>
        </w:rPr>
        <w:t xml:space="preserve">0.1% Tween 20 in water was prepared by mixing Tween 20 (0.1% v/v) with water (99.9% v/v) on </w:t>
      </w:r>
      <w:r w:rsidR="000B6E25">
        <w:rPr>
          <w:rFonts w:ascii="Palatino Linotype" w:hAnsi="Palatino Linotype" w:cs="Times New Roman"/>
          <w:sz w:val="20"/>
          <w:szCs w:val="20"/>
        </w:rPr>
        <w:t xml:space="preserve">a </w:t>
      </w:r>
      <w:r w:rsidRPr="00E82725">
        <w:rPr>
          <w:rFonts w:ascii="Palatino Linotype" w:hAnsi="Palatino Linotype" w:cs="Times New Roman"/>
          <w:sz w:val="20"/>
          <w:szCs w:val="20"/>
        </w:rPr>
        <w:t>magnetic stirrer for 10 min.</w:t>
      </w:r>
    </w:p>
    <w:p w14:paraId="55AE602F" w14:textId="072B2ADC" w:rsidR="00277B9E" w:rsidRPr="00E82725" w:rsidRDefault="00277B9E" w:rsidP="00E82725">
      <w:pPr>
        <w:pStyle w:val="ReportNormal"/>
        <w:spacing w:before="240" w:after="0" w:line="260" w:lineRule="atLeast"/>
        <w:ind w:firstLine="450"/>
        <w:jc w:val="both"/>
        <w:rPr>
          <w:rFonts w:ascii="Palatino Linotype" w:hAnsi="Palatino Linotype"/>
          <w:sz w:val="20"/>
          <w:szCs w:val="20"/>
        </w:rPr>
      </w:pPr>
      <w:r w:rsidRPr="00E82725">
        <w:rPr>
          <w:rFonts w:ascii="Palatino Linotype" w:hAnsi="Palatino Linotype"/>
          <w:sz w:val="20"/>
          <w:szCs w:val="20"/>
        </w:rPr>
        <w:t xml:space="preserve">Formulations in Vehicle #1, 2, 3 and 6 were prepared by mixing the appropriate amount of test article in the vehicle to achieve the target concentration.  The formulations were mixed </w:t>
      </w:r>
      <w:r w:rsidR="009F11CA">
        <w:rPr>
          <w:rFonts w:ascii="Palatino Linotype" w:hAnsi="Palatino Linotype"/>
          <w:sz w:val="20"/>
          <w:szCs w:val="20"/>
        </w:rPr>
        <w:t>using a</w:t>
      </w:r>
      <w:r w:rsidRPr="00E82725">
        <w:rPr>
          <w:rFonts w:ascii="Palatino Linotype" w:hAnsi="Palatino Linotype"/>
          <w:sz w:val="20"/>
          <w:szCs w:val="20"/>
        </w:rPr>
        <w:t xml:space="preserve"> vortex mixer for 0 to 1 min and sonication for 15 to 30 min, </w:t>
      </w:r>
      <w:r w:rsidR="00E82725">
        <w:rPr>
          <w:rFonts w:ascii="Palatino Linotype" w:hAnsi="Palatino Linotype"/>
          <w:sz w:val="20"/>
          <w:szCs w:val="20"/>
        </w:rPr>
        <w:t xml:space="preserve">and </w:t>
      </w:r>
      <w:r w:rsidRPr="00E82725">
        <w:rPr>
          <w:rFonts w:ascii="Palatino Linotype" w:hAnsi="Palatino Linotype"/>
          <w:sz w:val="20"/>
          <w:szCs w:val="20"/>
        </w:rPr>
        <w:t>then stirred on a magnetic stirrer overnight.</w:t>
      </w:r>
    </w:p>
    <w:p w14:paraId="1DACD540" w14:textId="68CF114C" w:rsidR="00277B9E" w:rsidRPr="00E82725" w:rsidRDefault="00277B9E" w:rsidP="00E82725">
      <w:pPr>
        <w:pStyle w:val="NormalIndent"/>
        <w:spacing w:before="240" w:after="0" w:line="260" w:lineRule="atLeast"/>
        <w:ind w:left="0" w:firstLine="450"/>
        <w:jc w:val="both"/>
        <w:rPr>
          <w:rFonts w:ascii="Palatino Linotype" w:hAnsi="Palatino Linotype"/>
          <w:sz w:val="20"/>
          <w:szCs w:val="20"/>
        </w:rPr>
      </w:pPr>
      <w:r w:rsidRPr="00E82725">
        <w:rPr>
          <w:rFonts w:ascii="Palatino Linotype" w:hAnsi="Palatino Linotype"/>
          <w:sz w:val="20"/>
          <w:szCs w:val="20"/>
        </w:rPr>
        <w:t>Formulations in Vehicle #4 (Vegetable oil) w</w:t>
      </w:r>
      <w:r w:rsidR="006A2593">
        <w:rPr>
          <w:rFonts w:ascii="Palatino Linotype" w:hAnsi="Palatino Linotype"/>
          <w:sz w:val="20"/>
          <w:szCs w:val="20"/>
        </w:rPr>
        <w:t xml:space="preserve">ere </w:t>
      </w:r>
      <w:r w:rsidRPr="00E82725">
        <w:rPr>
          <w:rFonts w:ascii="Palatino Linotype" w:hAnsi="Palatino Linotype"/>
          <w:sz w:val="20"/>
          <w:szCs w:val="20"/>
        </w:rPr>
        <w:t>prepared by mixing the appropriate amount of test article</w:t>
      </w:r>
      <w:r w:rsidR="000751E3">
        <w:rPr>
          <w:rFonts w:ascii="Palatino Linotype" w:hAnsi="Palatino Linotype"/>
          <w:sz w:val="20"/>
          <w:szCs w:val="20"/>
        </w:rPr>
        <w:t xml:space="preserve">) </w:t>
      </w:r>
      <w:r w:rsidRPr="00E82725">
        <w:rPr>
          <w:rFonts w:ascii="Palatino Linotype" w:hAnsi="Palatino Linotype"/>
          <w:sz w:val="20"/>
          <w:szCs w:val="20"/>
        </w:rPr>
        <w:t xml:space="preserve">in Ethanol (100% of final volume) using a vortex mixer for 1 min and sonication for 20 to 30 min, then an equal volume of vegetable oil was added, then the mixture was mixed using a vortex mixer for 2 min.  The mixture was placed under a speedvac (a centrifuge with vacuum pump).  The level of ethanol was checked every 30 min and the mixture was mixed using a vortex mixer for 30 sec at that same time; the speedvac process continued for 1 hr until all </w:t>
      </w:r>
      <w:r w:rsidR="000751E3">
        <w:rPr>
          <w:rFonts w:ascii="Palatino Linotype" w:hAnsi="Palatino Linotype"/>
          <w:sz w:val="20"/>
          <w:szCs w:val="20"/>
        </w:rPr>
        <w:t xml:space="preserve">of </w:t>
      </w:r>
      <w:r w:rsidRPr="00E82725">
        <w:rPr>
          <w:rFonts w:ascii="Palatino Linotype" w:hAnsi="Palatino Linotype"/>
          <w:sz w:val="20"/>
          <w:szCs w:val="20"/>
        </w:rPr>
        <w:t xml:space="preserve">the ethanol was removed.  This procedure produced a formulation of </w:t>
      </w:r>
      <w:r w:rsidR="000751E3">
        <w:rPr>
          <w:rFonts w:ascii="Palatino Linotype" w:hAnsi="Palatino Linotype"/>
          <w:sz w:val="20"/>
          <w:szCs w:val="20"/>
        </w:rPr>
        <w:t>test article</w:t>
      </w:r>
      <w:r w:rsidRPr="00E82725">
        <w:rPr>
          <w:rFonts w:ascii="Palatino Linotype" w:hAnsi="Palatino Linotype"/>
          <w:sz w:val="20"/>
          <w:szCs w:val="20"/>
        </w:rPr>
        <w:t xml:space="preserve"> in vegetable oil at the desired concentration.</w:t>
      </w:r>
    </w:p>
    <w:p w14:paraId="0A7DBA7D" w14:textId="1A7155E6" w:rsidR="00277B9E" w:rsidRPr="00E82725" w:rsidRDefault="00277B9E" w:rsidP="00E82725">
      <w:pPr>
        <w:pStyle w:val="NormalIndent"/>
        <w:spacing w:before="240" w:after="0" w:line="260" w:lineRule="atLeast"/>
        <w:ind w:left="0" w:firstLine="450"/>
        <w:jc w:val="both"/>
        <w:rPr>
          <w:rFonts w:ascii="Palatino Linotype" w:hAnsi="Palatino Linotype" w:cs="Times New Roman"/>
          <w:sz w:val="20"/>
          <w:szCs w:val="20"/>
        </w:rPr>
      </w:pPr>
      <w:r w:rsidRPr="00E82725">
        <w:rPr>
          <w:rFonts w:ascii="Palatino Linotype" w:hAnsi="Palatino Linotype"/>
          <w:sz w:val="20"/>
          <w:szCs w:val="20"/>
        </w:rPr>
        <w:t>Formulations in Vehicle #5 (PEG 400) w</w:t>
      </w:r>
      <w:r w:rsidR="006A2593">
        <w:rPr>
          <w:rFonts w:ascii="Palatino Linotype" w:hAnsi="Palatino Linotype"/>
          <w:sz w:val="20"/>
          <w:szCs w:val="20"/>
        </w:rPr>
        <w:t xml:space="preserve">ere </w:t>
      </w:r>
      <w:r w:rsidRPr="00E82725">
        <w:rPr>
          <w:rFonts w:ascii="Palatino Linotype" w:hAnsi="Palatino Linotype"/>
          <w:sz w:val="20"/>
          <w:szCs w:val="20"/>
        </w:rPr>
        <w:t>prepared by mixing the appropriate amount of test article in PEG 400 using a vortex mixer for 1 min and sonication for 15 min, then stirring in a water bath at 40</w:t>
      </w:r>
      <w:r w:rsidRPr="00E82725">
        <w:rPr>
          <w:rFonts w:ascii="Palatino Linotype" w:hAnsi="Palatino Linotype" w:cs="Times New Roman"/>
          <w:sz w:val="20"/>
          <w:szCs w:val="20"/>
        </w:rPr>
        <w:t>°C for overnight.</w:t>
      </w:r>
    </w:p>
    <w:p w14:paraId="783E305F" w14:textId="6E7F2ADF" w:rsidR="00277B9E" w:rsidRDefault="00277B9E" w:rsidP="009E144B">
      <w:pPr>
        <w:pStyle w:val="NormalIndent"/>
        <w:spacing w:before="240" w:after="0" w:line="260" w:lineRule="atLeast"/>
        <w:ind w:left="0" w:firstLine="450"/>
        <w:jc w:val="both"/>
        <w:rPr>
          <w:rFonts w:ascii="Palatino Linotype" w:hAnsi="Palatino Linotype"/>
          <w:sz w:val="20"/>
          <w:szCs w:val="20"/>
        </w:rPr>
      </w:pPr>
      <w:r w:rsidRPr="00E82725">
        <w:rPr>
          <w:rFonts w:ascii="Palatino Linotype" w:hAnsi="Palatino Linotype"/>
          <w:sz w:val="20"/>
          <w:szCs w:val="20"/>
        </w:rPr>
        <w:lastRenderedPageBreak/>
        <w:t xml:space="preserve">Formulations in Vehicle #7–10 were prepared by step-wise addition of each vehicle component, in the order listed, to the appropriate amount of test article to achieve the target concentration.  The formulations were mixed </w:t>
      </w:r>
      <w:r w:rsidR="007058CC">
        <w:rPr>
          <w:rFonts w:ascii="Palatino Linotype" w:hAnsi="Palatino Linotype"/>
          <w:sz w:val="20"/>
          <w:szCs w:val="20"/>
        </w:rPr>
        <w:t>using a</w:t>
      </w:r>
      <w:r w:rsidRPr="00E82725">
        <w:rPr>
          <w:rFonts w:ascii="Palatino Linotype" w:hAnsi="Palatino Linotype"/>
          <w:sz w:val="20"/>
          <w:szCs w:val="20"/>
        </w:rPr>
        <w:t xml:space="preserve"> vortex mixer for 1 min and sonication for 15 to 30 min between the addition of each vehicle component until a clear solution or homogeneous suspension was obtained.</w:t>
      </w:r>
    </w:p>
    <w:p w14:paraId="2CB26DCC" w14:textId="77777777" w:rsidR="009E144B" w:rsidRPr="009E144B" w:rsidRDefault="009E144B" w:rsidP="009E144B">
      <w:pPr>
        <w:pStyle w:val="NormalIndent"/>
        <w:spacing w:before="240" w:after="0" w:line="260" w:lineRule="atLeast"/>
        <w:ind w:left="0" w:firstLine="450"/>
        <w:jc w:val="both"/>
        <w:rPr>
          <w:rFonts w:ascii="Palatino Linotype" w:hAnsi="Palatino Linotype"/>
          <w:sz w:val="20"/>
          <w:szCs w:val="20"/>
        </w:rPr>
      </w:pPr>
    </w:p>
    <w:p w14:paraId="04D29E2F" w14:textId="70737C41" w:rsidR="00277B9E" w:rsidRPr="00E82725" w:rsidRDefault="00E82725" w:rsidP="00277B9E">
      <w:pPr>
        <w:pStyle w:val="NormalIndent"/>
        <w:ind w:left="0" w:firstLine="0"/>
        <w:rPr>
          <w:rFonts w:ascii="Palatino Linotype" w:hAnsi="Palatino Linotype"/>
          <w:i/>
        </w:rPr>
      </w:pPr>
      <w:r w:rsidRPr="00E82725">
        <w:rPr>
          <w:rFonts w:ascii="Palatino Linotype" w:hAnsi="Palatino Linotype"/>
          <w:i/>
        </w:rPr>
        <w:t>P</w:t>
      </w:r>
      <w:r w:rsidR="00277B9E" w:rsidRPr="00E82725">
        <w:rPr>
          <w:rFonts w:ascii="Palatino Linotype" w:hAnsi="Palatino Linotype"/>
          <w:i/>
        </w:rPr>
        <w:t xml:space="preserve">reparation of Bepridil, Sertraline and Toremifene for </w:t>
      </w:r>
      <w:r w:rsidRPr="00E82725">
        <w:rPr>
          <w:rFonts w:ascii="Palatino Linotype" w:hAnsi="Palatino Linotype"/>
          <w:i/>
        </w:rPr>
        <w:t>Stability, Efficacy, Pharmacokinetic, and Tolerability Studies</w:t>
      </w:r>
      <w:r>
        <w:rPr>
          <w:rFonts w:ascii="Palatino Linotype" w:hAnsi="Palatino Linotype"/>
          <w:i/>
        </w:rPr>
        <w:t xml:space="preserve"> in Vehicle 8</w:t>
      </w:r>
    </w:p>
    <w:p w14:paraId="28456557" w14:textId="0501EEE7" w:rsidR="00E82725" w:rsidRPr="009E144B" w:rsidRDefault="009E144B" w:rsidP="00E82725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Bepridil, sertraline and toremifene were prepared in </w:t>
      </w:r>
      <w:r w:rsidR="00E82725" w:rsidRPr="009E144B">
        <w:rPr>
          <w:rFonts w:ascii="Palatino Linotype" w:hAnsi="Palatino Linotype"/>
          <w:sz w:val="20"/>
          <w:szCs w:val="20"/>
        </w:rPr>
        <w:t>Vehicle 8 [80% PEG 400/20% of 0.1% Tween 20 in Water] as follows:</w:t>
      </w:r>
    </w:p>
    <w:p w14:paraId="063B665D" w14:textId="28866B58" w:rsidR="00277B9E" w:rsidRPr="009E144B" w:rsidRDefault="009E144B" w:rsidP="009E144B">
      <w:pPr>
        <w:ind w:firstLine="360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 xml:space="preserve">1. </w:t>
      </w:r>
      <w:r w:rsidR="00277B9E" w:rsidRPr="009E144B">
        <w:rPr>
          <w:rFonts w:ascii="Palatino Linotype" w:hAnsi="Palatino Linotype"/>
          <w:sz w:val="20"/>
          <w:szCs w:val="20"/>
        </w:rPr>
        <w:t>Prepare 0.1% Tween 20 in Water</w:t>
      </w:r>
    </w:p>
    <w:p w14:paraId="2FD2BD8D" w14:textId="77777777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Measure 49.95 mL sterile water into a bottle</w:t>
      </w:r>
    </w:p>
    <w:p w14:paraId="42BE93CD" w14:textId="77777777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 xml:space="preserve">Place water on magnetic stir plate, </w:t>
      </w:r>
    </w:p>
    <w:p w14:paraId="2439078D" w14:textId="77777777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Place magnetic stirrer in water and turn on the stirrer.</w:t>
      </w:r>
    </w:p>
    <w:p w14:paraId="3AE36B2A" w14:textId="77777777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 xml:space="preserve">Measure out 0.05 mL Tween 20 and add to the water while stirring. </w:t>
      </w:r>
    </w:p>
    <w:p w14:paraId="4192F3EA" w14:textId="3418A387" w:rsidR="00277B9E" w:rsidRPr="009E144B" w:rsidRDefault="009E144B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Stir for 10 min</w:t>
      </w:r>
      <w:r w:rsidR="00277B9E" w:rsidRPr="009E144B">
        <w:rPr>
          <w:rFonts w:ascii="Palatino Linotype" w:hAnsi="Palatino Linotype"/>
          <w:sz w:val="20"/>
          <w:szCs w:val="20"/>
        </w:rPr>
        <w:t xml:space="preserve"> </w:t>
      </w:r>
    </w:p>
    <w:p w14:paraId="3DA420B0" w14:textId="77777777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Solution should be clear. Set aside at room temperature and continue to step 2.</w:t>
      </w:r>
    </w:p>
    <w:p w14:paraId="5C86E11E" w14:textId="77777777" w:rsidR="00277B9E" w:rsidRPr="009E144B" w:rsidRDefault="00277B9E" w:rsidP="00277B9E">
      <w:pPr>
        <w:pStyle w:val="ListParagraph"/>
        <w:numPr>
          <w:ilvl w:val="0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Weigh out test articles (sertraline, bepridil and toremifene) into clear vials.</w:t>
      </w:r>
    </w:p>
    <w:p w14:paraId="3D772C4B" w14:textId="77777777" w:rsidR="00277B9E" w:rsidRPr="009E144B" w:rsidRDefault="00277B9E" w:rsidP="00277B9E">
      <w:pPr>
        <w:pStyle w:val="ListParagraph"/>
        <w:numPr>
          <w:ilvl w:val="0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 xml:space="preserve">Add 0.8 mL PEG 400 to each tube of test article. Cap the vials. </w:t>
      </w:r>
    </w:p>
    <w:p w14:paraId="1FEAFE68" w14:textId="70C285E2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Bepridil: Vortex for</w:t>
      </w:r>
      <w:r w:rsidR="009E144B">
        <w:rPr>
          <w:rFonts w:ascii="Palatino Linotype" w:hAnsi="Palatino Linotype"/>
          <w:sz w:val="20"/>
          <w:szCs w:val="20"/>
        </w:rPr>
        <w:t xml:space="preserve"> 1 min then sonicate for 15 min</w:t>
      </w:r>
    </w:p>
    <w:p w14:paraId="152EA85C" w14:textId="77777777" w:rsidR="00277B9E" w:rsidRPr="009E144B" w:rsidRDefault="00277B9E" w:rsidP="00277B9E">
      <w:pPr>
        <w:pStyle w:val="ListParagraph"/>
        <w:numPr>
          <w:ilvl w:val="2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Solution will be clear and slightly orange after this step</w:t>
      </w:r>
    </w:p>
    <w:p w14:paraId="39FD9D53" w14:textId="4EFEC0AB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Sertraline: Vortex for</w:t>
      </w:r>
      <w:r w:rsidR="009E144B">
        <w:rPr>
          <w:rFonts w:ascii="Palatino Linotype" w:hAnsi="Palatino Linotype"/>
          <w:sz w:val="20"/>
          <w:szCs w:val="20"/>
        </w:rPr>
        <w:t xml:space="preserve"> 1 min then sonicate for 15 min</w:t>
      </w:r>
    </w:p>
    <w:p w14:paraId="51895311" w14:textId="77777777" w:rsidR="00277B9E" w:rsidRPr="009E144B" w:rsidRDefault="00277B9E" w:rsidP="00277B9E">
      <w:pPr>
        <w:pStyle w:val="ListParagraph"/>
        <w:numPr>
          <w:ilvl w:val="2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Solution will be suspension after this step</w:t>
      </w:r>
    </w:p>
    <w:p w14:paraId="1C448BD2" w14:textId="0767E9BC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Toremifene: Vortex for</w:t>
      </w:r>
      <w:r w:rsidR="009E144B">
        <w:rPr>
          <w:rFonts w:ascii="Palatino Linotype" w:hAnsi="Palatino Linotype"/>
          <w:sz w:val="20"/>
          <w:szCs w:val="20"/>
        </w:rPr>
        <w:t xml:space="preserve"> 1 min then sonicate for 15 min</w:t>
      </w:r>
    </w:p>
    <w:p w14:paraId="0CB4A633" w14:textId="77777777" w:rsidR="00277B9E" w:rsidRPr="009E144B" w:rsidRDefault="00277B9E" w:rsidP="00277B9E">
      <w:pPr>
        <w:pStyle w:val="ListParagraph"/>
        <w:numPr>
          <w:ilvl w:val="2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 xml:space="preserve">Solution will be a white suspension after this step </w:t>
      </w:r>
    </w:p>
    <w:p w14:paraId="09589AC4" w14:textId="387E79D5" w:rsidR="00277B9E" w:rsidRPr="009E144B" w:rsidRDefault="00277B9E" w:rsidP="00277B9E">
      <w:pPr>
        <w:pStyle w:val="ListParagraph"/>
        <w:numPr>
          <w:ilvl w:val="0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To the test article</w:t>
      </w:r>
      <w:r w:rsidR="009E144B">
        <w:rPr>
          <w:rFonts w:ascii="Palatino Linotype" w:hAnsi="Palatino Linotype"/>
          <w:sz w:val="20"/>
          <w:szCs w:val="20"/>
        </w:rPr>
        <w:t xml:space="preserve"> </w:t>
      </w:r>
      <w:r w:rsidRPr="009E144B">
        <w:rPr>
          <w:rFonts w:ascii="Palatino Linotype" w:hAnsi="Palatino Linotype"/>
          <w:sz w:val="20"/>
          <w:szCs w:val="20"/>
        </w:rPr>
        <w:t xml:space="preserve">+ PEG 400, add 0.2 mL of the 0.1% Tween 20 in water prepared in Step 1. </w:t>
      </w:r>
    </w:p>
    <w:p w14:paraId="27361970" w14:textId="77777777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Bepridil: Vortex 1 min</w:t>
      </w:r>
    </w:p>
    <w:p w14:paraId="617A950F" w14:textId="77777777" w:rsidR="00277B9E" w:rsidRPr="009E144B" w:rsidRDefault="00277B9E" w:rsidP="00277B9E">
      <w:pPr>
        <w:pStyle w:val="ListParagraph"/>
        <w:numPr>
          <w:ilvl w:val="2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Solution should be clear orange after this step</w:t>
      </w:r>
    </w:p>
    <w:p w14:paraId="36B54335" w14:textId="1E0CC5DE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Sertraline: Vortex for 1 min</w:t>
      </w:r>
      <w:r w:rsidR="009E144B">
        <w:rPr>
          <w:rFonts w:ascii="Palatino Linotype" w:hAnsi="Palatino Linotype"/>
          <w:sz w:val="20"/>
          <w:szCs w:val="20"/>
        </w:rPr>
        <w:t>, then sonicate for 15 min</w:t>
      </w:r>
    </w:p>
    <w:p w14:paraId="62E00B2A" w14:textId="77777777" w:rsidR="00277B9E" w:rsidRPr="009E144B" w:rsidRDefault="00277B9E" w:rsidP="00277B9E">
      <w:pPr>
        <w:pStyle w:val="ListParagraph"/>
        <w:numPr>
          <w:ilvl w:val="2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Solution should be clear and colorless after this step</w:t>
      </w:r>
    </w:p>
    <w:p w14:paraId="48192BF7" w14:textId="0D174909" w:rsidR="00277B9E" w:rsidRPr="009E144B" w:rsidRDefault="00277B9E" w:rsidP="00277B9E">
      <w:pPr>
        <w:pStyle w:val="ListParagraph"/>
        <w:numPr>
          <w:ilvl w:val="1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Toremifene: Vortex for 1 min</w:t>
      </w:r>
      <w:r w:rsidR="009E144B">
        <w:rPr>
          <w:rFonts w:ascii="Palatino Linotype" w:hAnsi="Palatino Linotype"/>
          <w:sz w:val="20"/>
          <w:szCs w:val="20"/>
        </w:rPr>
        <w:t>,</w:t>
      </w:r>
      <w:r w:rsidRPr="009E144B">
        <w:rPr>
          <w:rFonts w:ascii="Palatino Linotype" w:hAnsi="Palatino Linotype"/>
          <w:sz w:val="20"/>
          <w:szCs w:val="20"/>
        </w:rPr>
        <w:t xml:space="preserve"> the</w:t>
      </w:r>
      <w:r w:rsidR="009E144B">
        <w:rPr>
          <w:rFonts w:ascii="Palatino Linotype" w:hAnsi="Palatino Linotype"/>
          <w:sz w:val="20"/>
          <w:szCs w:val="20"/>
        </w:rPr>
        <w:t>n sonicate for 30 min</w:t>
      </w:r>
    </w:p>
    <w:p w14:paraId="08B8772E" w14:textId="77777777" w:rsidR="00277B9E" w:rsidRPr="009E144B" w:rsidRDefault="00277B9E" w:rsidP="00277B9E">
      <w:pPr>
        <w:pStyle w:val="ListParagraph"/>
        <w:numPr>
          <w:ilvl w:val="2"/>
          <w:numId w:val="1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Solution should be clear and colorless after this step</w:t>
      </w:r>
    </w:p>
    <w:p w14:paraId="212B29EA" w14:textId="77777777" w:rsidR="009E144B" w:rsidRPr="009E144B" w:rsidRDefault="009E144B" w:rsidP="00277B9E">
      <w:pPr>
        <w:rPr>
          <w:rFonts w:ascii="Palatino Linotype" w:hAnsi="Palatino Linotype"/>
          <w:i/>
          <w:sz w:val="20"/>
          <w:szCs w:val="20"/>
        </w:rPr>
      </w:pPr>
      <w:r w:rsidRPr="009E144B">
        <w:rPr>
          <w:rFonts w:ascii="Palatino Linotype" w:hAnsi="Palatino Linotype"/>
          <w:i/>
          <w:sz w:val="20"/>
          <w:szCs w:val="20"/>
        </w:rPr>
        <w:lastRenderedPageBreak/>
        <w:t>Special Notes on Preparation of bepridil, sertraline and toremifene in Vehicle 8</w:t>
      </w:r>
    </w:p>
    <w:p w14:paraId="11C82B13" w14:textId="77777777" w:rsidR="009E144B" w:rsidRPr="009E144B" w:rsidRDefault="009E144B" w:rsidP="00277B9E">
      <w:pPr>
        <w:rPr>
          <w:rFonts w:ascii="Palatino Linotype" w:hAnsi="Palatino Linotype"/>
          <w:sz w:val="20"/>
          <w:szCs w:val="20"/>
        </w:rPr>
      </w:pPr>
    </w:p>
    <w:p w14:paraId="39F92BDA" w14:textId="7377B143" w:rsidR="00277B9E" w:rsidRPr="009E144B" w:rsidRDefault="009E144B" w:rsidP="00277B9E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Unless stated, preparations of </w:t>
      </w:r>
      <w:r w:rsidRPr="00F23459">
        <w:rPr>
          <w:rFonts w:ascii="Palatino Linotype" w:hAnsi="Palatino Linotype"/>
          <w:sz w:val="20"/>
          <w:szCs w:val="20"/>
        </w:rPr>
        <w:t>bepridil, sertraline and toremifene in Vehicle 8</w:t>
      </w:r>
      <w:r w:rsidR="00F23459" w:rsidRPr="00F23459">
        <w:rPr>
          <w:rFonts w:ascii="Palatino Linotype" w:hAnsi="Palatino Linotype"/>
          <w:sz w:val="20"/>
          <w:szCs w:val="20"/>
        </w:rPr>
        <w:t xml:space="preserve"> were always </w:t>
      </w:r>
      <w:r w:rsidRPr="00F23459">
        <w:rPr>
          <w:rFonts w:ascii="Palatino Linotype" w:hAnsi="Palatino Linotype"/>
          <w:sz w:val="20"/>
          <w:szCs w:val="20"/>
        </w:rPr>
        <w:t>prepared fresh on day 0 (d0) of a study and then stored at 4</w:t>
      </w:r>
      <w:r w:rsidR="000B1D3C" w:rsidRPr="00E82725">
        <w:rPr>
          <w:rFonts w:ascii="Palatino Linotype" w:hAnsi="Palatino Linotype" w:cs="Times New Roman"/>
          <w:sz w:val="20"/>
          <w:szCs w:val="20"/>
        </w:rPr>
        <w:t>°</w:t>
      </w:r>
      <w:r w:rsidRPr="00F23459">
        <w:rPr>
          <w:rFonts w:ascii="Palatino Linotype" w:hAnsi="Palatino Linotype"/>
          <w:sz w:val="20"/>
          <w:szCs w:val="20"/>
        </w:rPr>
        <w:t>C.</w:t>
      </w:r>
      <w:r>
        <w:rPr>
          <w:rFonts w:ascii="Palatino Linotype" w:hAnsi="Palatino Linotype"/>
          <w:i/>
          <w:sz w:val="20"/>
          <w:szCs w:val="20"/>
        </w:rPr>
        <w:t xml:space="preserve"> </w:t>
      </w:r>
      <w:r w:rsidR="00277B9E" w:rsidRPr="009E144B">
        <w:rPr>
          <w:rFonts w:ascii="Palatino Linotype" w:hAnsi="Palatino Linotype"/>
          <w:sz w:val="20"/>
          <w:szCs w:val="20"/>
        </w:rPr>
        <w:t xml:space="preserve">Sertraline and </w:t>
      </w:r>
      <w:r>
        <w:rPr>
          <w:rFonts w:ascii="Palatino Linotype" w:hAnsi="Palatino Linotype"/>
          <w:sz w:val="20"/>
          <w:szCs w:val="20"/>
        </w:rPr>
        <w:t>t</w:t>
      </w:r>
      <w:r w:rsidR="00277B9E" w:rsidRPr="009E144B">
        <w:rPr>
          <w:rFonts w:ascii="Palatino Linotype" w:hAnsi="Palatino Linotype"/>
          <w:sz w:val="20"/>
          <w:szCs w:val="20"/>
        </w:rPr>
        <w:t>oremifene</w:t>
      </w:r>
      <w:r>
        <w:rPr>
          <w:rFonts w:ascii="Palatino Linotype" w:hAnsi="Palatino Linotype"/>
          <w:sz w:val="20"/>
          <w:szCs w:val="20"/>
        </w:rPr>
        <w:t xml:space="preserve"> were </w:t>
      </w:r>
      <w:r w:rsidR="00277B9E" w:rsidRPr="009E144B">
        <w:rPr>
          <w:rFonts w:ascii="Palatino Linotype" w:hAnsi="Palatino Linotype"/>
          <w:sz w:val="20"/>
          <w:szCs w:val="20"/>
        </w:rPr>
        <w:t>always usable directly from the refrigerator (i.e. no precipitates, not solid)</w:t>
      </w:r>
      <w:r>
        <w:rPr>
          <w:rFonts w:ascii="Palatino Linotype" w:hAnsi="Palatino Linotype"/>
          <w:sz w:val="20"/>
          <w:szCs w:val="20"/>
        </w:rPr>
        <w:t>. In contrast, w</w:t>
      </w:r>
      <w:r w:rsidR="00277B9E" w:rsidRPr="009E144B">
        <w:rPr>
          <w:rFonts w:ascii="Palatino Linotype" w:hAnsi="Palatino Linotype"/>
          <w:sz w:val="20"/>
          <w:szCs w:val="20"/>
        </w:rPr>
        <w:t xml:space="preserve">hen removed from the refrigerator, bepridil was </w:t>
      </w:r>
      <w:r w:rsidR="00F42115">
        <w:rPr>
          <w:rFonts w:ascii="Palatino Linotype" w:hAnsi="Palatino Linotype"/>
          <w:sz w:val="20"/>
          <w:szCs w:val="20"/>
        </w:rPr>
        <w:t xml:space="preserve">always solid (as if it had </w:t>
      </w:r>
      <w:r w:rsidR="00277B9E" w:rsidRPr="009E144B">
        <w:rPr>
          <w:rFonts w:ascii="Palatino Linotype" w:hAnsi="Palatino Linotype"/>
          <w:sz w:val="20"/>
          <w:szCs w:val="20"/>
        </w:rPr>
        <w:t xml:space="preserve">frozen) and </w:t>
      </w:r>
      <w:r w:rsidR="00F42115">
        <w:rPr>
          <w:rFonts w:ascii="Palatino Linotype" w:hAnsi="Palatino Linotype"/>
          <w:sz w:val="20"/>
          <w:szCs w:val="20"/>
        </w:rPr>
        <w:t>contained</w:t>
      </w:r>
      <w:r w:rsidR="00277B9E" w:rsidRPr="009E144B">
        <w:rPr>
          <w:rFonts w:ascii="Palatino Linotype" w:hAnsi="Palatino Linotype"/>
          <w:sz w:val="20"/>
          <w:szCs w:val="20"/>
        </w:rPr>
        <w:t xml:space="preserve"> precipitate. </w:t>
      </w:r>
      <w:r>
        <w:rPr>
          <w:rFonts w:ascii="Palatino Linotype" w:hAnsi="Palatino Linotype"/>
          <w:sz w:val="20"/>
          <w:szCs w:val="20"/>
        </w:rPr>
        <w:t>Th</w:t>
      </w:r>
      <w:r w:rsidR="00523CE2">
        <w:rPr>
          <w:rFonts w:ascii="Palatino Linotype" w:hAnsi="Palatino Linotype"/>
          <w:sz w:val="20"/>
          <w:szCs w:val="20"/>
        </w:rPr>
        <w:t>ree full cycles of the</w:t>
      </w:r>
      <w:r>
        <w:rPr>
          <w:rFonts w:ascii="Palatino Linotype" w:hAnsi="Palatino Linotype"/>
          <w:sz w:val="20"/>
          <w:szCs w:val="20"/>
        </w:rPr>
        <w:t xml:space="preserve"> following </w:t>
      </w:r>
      <w:r w:rsidR="00523CE2">
        <w:rPr>
          <w:rFonts w:ascii="Palatino Linotype" w:hAnsi="Palatino Linotype"/>
          <w:sz w:val="20"/>
          <w:szCs w:val="20"/>
        </w:rPr>
        <w:t xml:space="preserve">three </w:t>
      </w:r>
      <w:r>
        <w:rPr>
          <w:rFonts w:ascii="Palatino Linotype" w:hAnsi="Palatino Linotype"/>
          <w:sz w:val="20"/>
          <w:szCs w:val="20"/>
        </w:rPr>
        <w:t>steps were always performed to resolubilize bepridil</w:t>
      </w:r>
      <w:r w:rsidR="00277B9E" w:rsidRPr="009E144B">
        <w:rPr>
          <w:rFonts w:ascii="Palatino Linotype" w:hAnsi="Palatino Linotype"/>
          <w:sz w:val="20"/>
          <w:szCs w:val="20"/>
        </w:rPr>
        <w:t>:</w:t>
      </w:r>
    </w:p>
    <w:p w14:paraId="27142D54" w14:textId="4E46F080" w:rsidR="00277B9E" w:rsidRPr="009E144B" w:rsidRDefault="00277B9E" w:rsidP="00277B9E">
      <w:pPr>
        <w:pStyle w:val="ListParagraph"/>
        <w:numPr>
          <w:ilvl w:val="0"/>
          <w:numId w:val="2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Incubate 5</w:t>
      </w:r>
      <w:r w:rsidR="000B1D3C">
        <w:rPr>
          <w:rFonts w:ascii="Palatino Linotype" w:hAnsi="Palatino Linotype"/>
          <w:sz w:val="20"/>
          <w:szCs w:val="20"/>
        </w:rPr>
        <w:t xml:space="preserve"> </w:t>
      </w:r>
      <w:r w:rsidRPr="009E144B">
        <w:rPr>
          <w:rFonts w:ascii="Palatino Linotype" w:hAnsi="Palatino Linotype"/>
          <w:sz w:val="20"/>
          <w:szCs w:val="20"/>
        </w:rPr>
        <w:t>min at 37</w:t>
      </w:r>
      <w:r w:rsidR="000B1D3C" w:rsidRPr="00E82725">
        <w:rPr>
          <w:rFonts w:ascii="Palatino Linotype" w:hAnsi="Palatino Linotype" w:cs="Times New Roman"/>
          <w:sz w:val="20"/>
          <w:szCs w:val="20"/>
        </w:rPr>
        <w:t>°</w:t>
      </w:r>
      <w:r w:rsidRPr="009E144B">
        <w:rPr>
          <w:rFonts w:ascii="Palatino Linotype" w:hAnsi="Palatino Linotype"/>
          <w:sz w:val="20"/>
          <w:szCs w:val="20"/>
        </w:rPr>
        <w:t>C</w:t>
      </w:r>
    </w:p>
    <w:p w14:paraId="4C1BAEE8" w14:textId="77777777" w:rsidR="00277B9E" w:rsidRPr="009E144B" w:rsidRDefault="00277B9E" w:rsidP="00277B9E">
      <w:pPr>
        <w:pStyle w:val="ListParagraph"/>
        <w:numPr>
          <w:ilvl w:val="0"/>
          <w:numId w:val="2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Sonicate for 15 min</w:t>
      </w:r>
    </w:p>
    <w:p w14:paraId="5D11C762" w14:textId="77777777" w:rsidR="00277B9E" w:rsidRPr="009E144B" w:rsidRDefault="00277B9E" w:rsidP="00277B9E">
      <w:pPr>
        <w:pStyle w:val="ListParagraph"/>
        <w:numPr>
          <w:ilvl w:val="0"/>
          <w:numId w:val="2"/>
        </w:numPr>
        <w:spacing w:after="160" w:line="259" w:lineRule="auto"/>
        <w:rPr>
          <w:rFonts w:ascii="Palatino Linotype" w:hAnsi="Palatino Linotype"/>
          <w:sz w:val="20"/>
          <w:szCs w:val="20"/>
        </w:rPr>
      </w:pPr>
      <w:r w:rsidRPr="009E144B">
        <w:rPr>
          <w:rFonts w:ascii="Palatino Linotype" w:hAnsi="Palatino Linotype"/>
          <w:sz w:val="20"/>
          <w:szCs w:val="20"/>
        </w:rPr>
        <w:t>Vortex 1min</w:t>
      </w:r>
    </w:p>
    <w:p w14:paraId="2E1E55BD" w14:textId="4E3848D3" w:rsidR="00277B9E" w:rsidRPr="009E144B" w:rsidRDefault="00523CE2" w:rsidP="00277B9E">
      <w:pPr>
        <w:rPr>
          <w:rFonts w:ascii="Palatino Linotype" w:hAnsi="Palatino Linotype"/>
          <w:sz w:val="20"/>
          <w:szCs w:val="20"/>
        </w:rPr>
      </w:pPr>
      <w:r w:rsidRPr="00F05EDB">
        <w:rPr>
          <w:rFonts w:ascii="Palatino Linotype" w:hAnsi="Palatino Linotype"/>
          <w:sz w:val="20"/>
          <w:szCs w:val="20"/>
        </w:rPr>
        <w:t xml:space="preserve">Sonication was done </w:t>
      </w:r>
      <w:r w:rsidR="00AD6B6A">
        <w:rPr>
          <w:rFonts w:ascii="Palatino Linotype" w:hAnsi="Palatino Linotype"/>
          <w:sz w:val="20"/>
          <w:szCs w:val="20"/>
        </w:rPr>
        <w:t>using</w:t>
      </w:r>
      <w:r w:rsidRPr="00F05EDB">
        <w:rPr>
          <w:rFonts w:ascii="Palatino Linotype" w:hAnsi="Palatino Linotype"/>
          <w:sz w:val="20"/>
          <w:szCs w:val="20"/>
        </w:rPr>
        <w:t xml:space="preserve"> a bath sonicator (Branson #2510), which has no specific energy settings. No heat was applied during drug preparation.  O</w:t>
      </w:r>
      <w:r w:rsidR="00277B9E" w:rsidRPr="00F05EDB">
        <w:rPr>
          <w:rFonts w:ascii="Palatino Linotype" w:hAnsi="Palatino Linotype"/>
          <w:sz w:val="20"/>
          <w:szCs w:val="20"/>
        </w:rPr>
        <w:t xml:space="preserve">nce resolubilized, </w:t>
      </w:r>
      <w:r w:rsidRPr="00F05EDB">
        <w:rPr>
          <w:rFonts w:ascii="Palatino Linotype" w:hAnsi="Palatino Linotype"/>
          <w:sz w:val="20"/>
          <w:szCs w:val="20"/>
        </w:rPr>
        <w:t>b</w:t>
      </w:r>
      <w:r w:rsidR="00277B9E" w:rsidRPr="00F05EDB">
        <w:rPr>
          <w:rFonts w:ascii="Palatino Linotype" w:hAnsi="Palatino Linotype"/>
          <w:sz w:val="20"/>
          <w:szCs w:val="20"/>
        </w:rPr>
        <w:t xml:space="preserve">epridil should be used </w:t>
      </w:r>
      <w:r w:rsidR="0060784D" w:rsidRPr="00F05EDB">
        <w:rPr>
          <w:rFonts w:ascii="Palatino Linotype" w:hAnsi="Palatino Linotype"/>
          <w:sz w:val="20"/>
          <w:szCs w:val="20"/>
        </w:rPr>
        <w:t>as soon as possible</w:t>
      </w:r>
      <w:r w:rsidR="00277B9E" w:rsidRPr="00F05EDB">
        <w:rPr>
          <w:rFonts w:ascii="Palatino Linotype" w:hAnsi="Palatino Linotype"/>
          <w:sz w:val="20"/>
          <w:szCs w:val="20"/>
        </w:rPr>
        <w:t xml:space="preserve">. </w:t>
      </w:r>
      <w:r w:rsidR="0060784D" w:rsidRPr="00F05EDB">
        <w:rPr>
          <w:rFonts w:ascii="Palatino Linotype" w:hAnsi="Palatino Linotype"/>
          <w:sz w:val="20"/>
          <w:szCs w:val="20"/>
        </w:rPr>
        <w:t>If delayed and</w:t>
      </w:r>
      <w:r w:rsidR="00277B9E" w:rsidRPr="00F05EDB">
        <w:rPr>
          <w:rFonts w:ascii="Palatino Linotype" w:hAnsi="Palatino Linotype"/>
          <w:sz w:val="20"/>
          <w:szCs w:val="20"/>
        </w:rPr>
        <w:t xml:space="preserve"> the bepridil re-solidifie</w:t>
      </w:r>
      <w:r w:rsidR="0060784D" w:rsidRPr="00F05EDB">
        <w:rPr>
          <w:rFonts w:ascii="Palatino Linotype" w:hAnsi="Palatino Linotype"/>
          <w:sz w:val="20"/>
          <w:szCs w:val="20"/>
        </w:rPr>
        <w:t xml:space="preserve">s, </w:t>
      </w:r>
      <w:r w:rsidR="00277B9E" w:rsidRPr="00F05EDB">
        <w:rPr>
          <w:rFonts w:ascii="Palatino Linotype" w:hAnsi="Palatino Linotype"/>
          <w:sz w:val="20"/>
          <w:szCs w:val="20"/>
        </w:rPr>
        <w:t>repeat</w:t>
      </w:r>
      <w:r w:rsidR="0060784D" w:rsidRPr="00F05EDB">
        <w:rPr>
          <w:rFonts w:ascii="Palatino Linotype" w:hAnsi="Palatino Linotype"/>
          <w:sz w:val="20"/>
          <w:szCs w:val="20"/>
        </w:rPr>
        <w:t xml:space="preserve"> the above</w:t>
      </w:r>
      <w:r w:rsidR="0060784D">
        <w:rPr>
          <w:rFonts w:ascii="Palatino Linotype" w:hAnsi="Palatino Linotype"/>
          <w:sz w:val="20"/>
          <w:szCs w:val="20"/>
        </w:rPr>
        <w:t xml:space="preserve"> three steps</w:t>
      </w:r>
      <w:r w:rsidR="00277B9E" w:rsidRPr="009E144B">
        <w:rPr>
          <w:rFonts w:ascii="Palatino Linotype" w:hAnsi="Palatino Linotype"/>
          <w:sz w:val="20"/>
          <w:szCs w:val="20"/>
        </w:rPr>
        <w:t xml:space="preserve"> (2 </w:t>
      </w:r>
      <w:r w:rsidR="0060784D">
        <w:rPr>
          <w:rFonts w:ascii="Palatino Linotype" w:hAnsi="Palatino Linotype"/>
          <w:sz w:val="20"/>
          <w:szCs w:val="20"/>
        </w:rPr>
        <w:t>or 3 full cycles</w:t>
      </w:r>
      <w:r w:rsidR="00277B9E" w:rsidRPr="009E144B">
        <w:rPr>
          <w:rFonts w:ascii="Palatino Linotype" w:hAnsi="Palatino Linotype"/>
          <w:sz w:val="20"/>
          <w:szCs w:val="20"/>
        </w:rPr>
        <w:t>) to get bepridil back into solution.</w:t>
      </w:r>
    </w:p>
    <w:p w14:paraId="78225912" w14:textId="77777777" w:rsidR="00277B9E" w:rsidRDefault="00277B9E" w:rsidP="00277B9E"/>
    <w:p w14:paraId="7CB6123C" w14:textId="638445BA" w:rsidR="00D459B7" w:rsidRPr="00F23459" w:rsidRDefault="00D459B7" w:rsidP="001A55FD">
      <w:pPr>
        <w:tabs>
          <w:tab w:val="left" w:pos="1008"/>
        </w:tabs>
        <w:rPr>
          <w:rFonts w:ascii="Palatino Linotype" w:hAnsi="Palatino Linotype" w:cs="Times New Roman"/>
          <w:i/>
          <w:color w:val="A6A6A6" w:themeColor="background1" w:themeShade="A6"/>
          <w:sz w:val="20"/>
          <w:szCs w:val="20"/>
        </w:rPr>
      </w:pPr>
      <w:r w:rsidRPr="00F23459">
        <w:rPr>
          <w:rFonts w:ascii="Palatino Linotype" w:hAnsi="Palatino Linotype" w:cs="Times New Roman"/>
          <w:i/>
          <w:sz w:val="20"/>
          <w:szCs w:val="20"/>
        </w:rPr>
        <w:t>Sources of Drugs for Cell-Based Infection Tests</w:t>
      </w:r>
    </w:p>
    <w:p w14:paraId="011DDE0C" w14:textId="77777777" w:rsidR="00D459B7" w:rsidRDefault="00D459B7" w:rsidP="001A55FD">
      <w:pPr>
        <w:tabs>
          <w:tab w:val="left" w:pos="1008"/>
        </w:tabs>
        <w:rPr>
          <w:rFonts w:ascii="Times New Roman" w:hAnsi="Times New Roman" w:cs="Times New Roman"/>
          <w:b/>
        </w:rPr>
      </w:pPr>
    </w:p>
    <w:tbl>
      <w:tblPr>
        <w:tblW w:w="8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5"/>
        <w:gridCol w:w="3060"/>
        <w:gridCol w:w="2223"/>
      </w:tblGrid>
      <w:tr w:rsidR="00D459B7" w:rsidRPr="00CB6C9E" w14:paraId="073115CC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FCDBF" w14:textId="77777777" w:rsidR="00D459B7" w:rsidRPr="00CB6C9E" w:rsidRDefault="00D459B7" w:rsidP="00E82725">
            <w:pPr>
              <w:keepNext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50303" w14:textId="77777777" w:rsidR="00D459B7" w:rsidRPr="00CB6C9E" w:rsidRDefault="00D459B7" w:rsidP="00E82725">
            <w:pPr>
              <w:keepNext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Supplier</w:t>
            </w:r>
          </w:p>
        </w:tc>
        <w:tc>
          <w:tcPr>
            <w:tcW w:w="2223" w:type="dxa"/>
            <w:vAlign w:val="bottom"/>
          </w:tcPr>
          <w:p w14:paraId="64114FD9" w14:textId="77777777" w:rsidR="00D459B7" w:rsidRPr="00CB6C9E" w:rsidRDefault="00D459B7" w:rsidP="00E82725">
            <w:pPr>
              <w:keepNext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Cat. #</w:t>
            </w:r>
          </w:p>
        </w:tc>
      </w:tr>
      <w:tr w:rsidR="00D459B7" w:rsidRPr="00CB6C9E" w14:paraId="7F89D15D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0F17C4" w14:textId="6414F96E" w:rsidR="00D459B7" w:rsidRPr="00CB6C9E" w:rsidRDefault="00D459B7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Amodiaquine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F6D14" w14:textId="560F10A9" w:rsidR="00D459B7" w:rsidRPr="00CB6C9E" w:rsidRDefault="002006F4" w:rsidP="00E82725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Sigma</w:t>
            </w:r>
          </w:p>
        </w:tc>
        <w:tc>
          <w:tcPr>
            <w:tcW w:w="2223" w:type="dxa"/>
            <w:vAlign w:val="bottom"/>
          </w:tcPr>
          <w:p w14:paraId="0FD87EEC" w14:textId="55AFA772" w:rsidR="00D459B7" w:rsidRPr="00CB6C9E" w:rsidRDefault="002006F4" w:rsidP="002006F4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A2799-5G</w:t>
            </w:r>
          </w:p>
        </w:tc>
      </w:tr>
      <w:tr w:rsidR="00D70206" w:rsidRPr="00CB6C9E" w14:paraId="297ACBAB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6877B" w14:textId="66E430CB" w:rsidR="00D70206" w:rsidRPr="00CB6C9E" w:rsidRDefault="00D70206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Apilimod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F83D31" w14:textId="45E1F684" w:rsidR="00D70206" w:rsidRPr="00CB6C9E" w:rsidRDefault="00636E61" w:rsidP="00636E6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CB6C9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Axon Medchem</w:t>
            </w:r>
          </w:p>
        </w:tc>
        <w:tc>
          <w:tcPr>
            <w:tcW w:w="2223" w:type="dxa"/>
            <w:vAlign w:val="bottom"/>
          </w:tcPr>
          <w:p w14:paraId="005073E5" w14:textId="306975E3" w:rsidR="00D70206" w:rsidRPr="00CB6C9E" w:rsidRDefault="004945AF" w:rsidP="004945AF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>1369</w:t>
            </w:r>
          </w:p>
        </w:tc>
      </w:tr>
      <w:tr w:rsidR="00D459B7" w:rsidRPr="00CB6C9E" w14:paraId="41F1DAB4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B8E58" w14:textId="12A953EF" w:rsidR="00D459B7" w:rsidRPr="00CB6C9E" w:rsidRDefault="00D459B7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Aripiprazole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08D26" w14:textId="1AFF0FD1" w:rsidR="00D459B7" w:rsidRPr="00CB6C9E" w:rsidRDefault="002006F4" w:rsidP="00E82725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Selleck</w:t>
            </w:r>
          </w:p>
        </w:tc>
        <w:tc>
          <w:tcPr>
            <w:tcW w:w="2223" w:type="dxa"/>
            <w:vAlign w:val="bottom"/>
          </w:tcPr>
          <w:p w14:paraId="6DA3DA12" w14:textId="5F76E15A" w:rsidR="00D459B7" w:rsidRPr="00CB6C9E" w:rsidRDefault="002006F4" w:rsidP="002006F4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S1975</w:t>
            </w:r>
          </w:p>
        </w:tc>
      </w:tr>
      <w:tr w:rsidR="00D459B7" w:rsidRPr="00CB6C9E" w14:paraId="027AE3C2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F3269" w14:textId="0398BA04" w:rsidR="00D459B7" w:rsidRPr="00CB6C9E" w:rsidRDefault="00D459B7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Bepridil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1DAE27" w14:textId="460E9865" w:rsidR="00D459B7" w:rsidRPr="00CB6C9E" w:rsidRDefault="002006F4" w:rsidP="00E82725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Sigma</w:t>
            </w:r>
          </w:p>
        </w:tc>
        <w:tc>
          <w:tcPr>
            <w:tcW w:w="2223" w:type="dxa"/>
            <w:vAlign w:val="bottom"/>
          </w:tcPr>
          <w:p w14:paraId="44AED700" w14:textId="00E92492" w:rsidR="00D459B7" w:rsidRPr="00CB6C9E" w:rsidRDefault="002006F4" w:rsidP="002006F4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B5016-100MG</w:t>
            </w:r>
          </w:p>
        </w:tc>
      </w:tr>
      <w:tr w:rsidR="00D459B7" w:rsidRPr="00CB6C9E" w14:paraId="34EF292A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0C093" w14:textId="560AFF15" w:rsidR="00D459B7" w:rsidRPr="00CB6C9E" w:rsidRDefault="00D459B7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Favipiravir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4882AC" w14:textId="38F941DE" w:rsidR="00D459B7" w:rsidRPr="00CB6C9E" w:rsidRDefault="002006F4" w:rsidP="00E82725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Selleck</w:t>
            </w:r>
          </w:p>
        </w:tc>
        <w:tc>
          <w:tcPr>
            <w:tcW w:w="2223" w:type="dxa"/>
            <w:vAlign w:val="bottom"/>
          </w:tcPr>
          <w:p w14:paraId="0CC9CDF7" w14:textId="4E76F3F6" w:rsidR="00D459B7" w:rsidRPr="00CB6C9E" w:rsidRDefault="002006F4" w:rsidP="002006F4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S7975</w:t>
            </w:r>
          </w:p>
        </w:tc>
      </w:tr>
      <w:tr w:rsidR="00D459B7" w:rsidRPr="00CB6C9E" w14:paraId="51B71B7F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1B09C" w14:textId="78A6C7AD" w:rsidR="00D459B7" w:rsidRPr="00CB6C9E" w:rsidRDefault="00D459B7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Piperacetazine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112B0" w14:textId="4D60C00F" w:rsidR="00D459B7" w:rsidRPr="00CB6C9E" w:rsidRDefault="002006F4" w:rsidP="00E82725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USP</w:t>
            </w:r>
          </w:p>
        </w:tc>
        <w:tc>
          <w:tcPr>
            <w:tcW w:w="2223" w:type="dxa"/>
            <w:vAlign w:val="bottom"/>
          </w:tcPr>
          <w:p w14:paraId="0FC69E64" w14:textId="237BCF54" w:rsidR="00D459B7" w:rsidRPr="00CB6C9E" w:rsidRDefault="00895D12" w:rsidP="00E82725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na</w:t>
            </w:r>
          </w:p>
        </w:tc>
      </w:tr>
      <w:tr w:rsidR="00D459B7" w:rsidRPr="00CB6C9E" w14:paraId="572DC698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84B380" w14:textId="12289E6C" w:rsidR="00D459B7" w:rsidRPr="00CB6C9E" w:rsidRDefault="00D459B7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Sertraline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6E54D" w14:textId="18D726DF" w:rsidR="00D459B7" w:rsidRPr="00CB6C9E" w:rsidRDefault="00895D12" w:rsidP="00895D12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Toronto Research Chemicals</w:t>
            </w:r>
          </w:p>
        </w:tc>
        <w:tc>
          <w:tcPr>
            <w:tcW w:w="2223" w:type="dxa"/>
            <w:vAlign w:val="bottom"/>
          </w:tcPr>
          <w:p w14:paraId="41F7B6D4" w14:textId="23739084" w:rsidR="00D459B7" w:rsidRPr="00CB6C9E" w:rsidRDefault="00895D12" w:rsidP="00895D12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S280000</w:t>
            </w:r>
          </w:p>
        </w:tc>
      </w:tr>
      <w:tr w:rsidR="00D459B7" w:rsidRPr="00CB6C9E" w14:paraId="65770405" w14:textId="77777777" w:rsidTr="00972D84">
        <w:trPr>
          <w:cantSplit/>
          <w:trHeight w:val="432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2C9996" w14:textId="21E22928" w:rsidR="00D459B7" w:rsidRPr="00CB6C9E" w:rsidRDefault="00D459B7" w:rsidP="00D459B7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Toremifene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0CFDB5" w14:textId="083F6AD2" w:rsidR="00D459B7" w:rsidRPr="00CB6C9E" w:rsidRDefault="00AF34A9" w:rsidP="00AF34A9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Selleck</w:t>
            </w:r>
          </w:p>
        </w:tc>
        <w:tc>
          <w:tcPr>
            <w:tcW w:w="2223" w:type="dxa"/>
            <w:vAlign w:val="bottom"/>
          </w:tcPr>
          <w:p w14:paraId="3C6E1060" w14:textId="198CC007" w:rsidR="00D459B7" w:rsidRPr="00CB6C9E" w:rsidRDefault="00AF34A9" w:rsidP="00AF34A9">
            <w:pPr>
              <w:keepNext/>
              <w:jc w:val="center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Cs/>
                <w:sz w:val="20"/>
                <w:szCs w:val="20"/>
              </w:rPr>
              <w:t>S1176</w:t>
            </w:r>
          </w:p>
        </w:tc>
      </w:tr>
    </w:tbl>
    <w:p w14:paraId="77C91BE3" w14:textId="77777777" w:rsidR="00D459B7" w:rsidRPr="00CB6C9E" w:rsidRDefault="00D459B7" w:rsidP="001A55FD">
      <w:pPr>
        <w:tabs>
          <w:tab w:val="left" w:pos="1008"/>
        </w:tabs>
        <w:rPr>
          <w:rFonts w:ascii="Palatino Linotype" w:hAnsi="Palatino Linotype" w:cs="Times New Roman"/>
          <w:b/>
          <w:sz w:val="20"/>
          <w:szCs w:val="20"/>
        </w:rPr>
      </w:pPr>
    </w:p>
    <w:p w14:paraId="7A6C54C6" w14:textId="77777777" w:rsidR="00D459B7" w:rsidRPr="00CB6C9E" w:rsidRDefault="00D459B7" w:rsidP="001A55FD">
      <w:pPr>
        <w:tabs>
          <w:tab w:val="left" w:pos="1008"/>
        </w:tabs>
        <w:rPr>
          <w:rFonts w:ascii="Palatino Linotype" w:hAnsi="Palatino Linotype" w:cs="Times New Roman"/>
          <w:b/>
          <w:sz w:val="20"/>
          <w:szCs w:val="20"/>
        </w:rPr>
      </w:pPr>
    </w:p>
    <w:p w14:paraId="38EFFDEA" w14:textId="6473DB91" w:rsidR="008506FD" w:rsidRPr="00F23459" w:rsidRDefault="00D459B7" w:rsidP="001A55FD">
      <w:pPr>
        <w:tabs>
          <w:tab w:val="left" w:pos="1008"/>
        </w:tabs>
        <w:rPr>
          <w:rFonts w:ascii="Palatino Linotype" w:hAnsi="Palatino Linotype" w:cs="Times New Roman"/>
          <w:i/>
          <w:sz w:val="20"/>
          <w:szCs w:val="20"/>
        </w:rPr>
      </w:pPr>
      <w:r w:rsidRPr="00F23459">
        <w:rPr>
          <w:rFonts w:ascii="Palatino Linotype" w:hAnsi="Palatino Linotype" w:cs="Times New Roman"/>
          <w:i/>
          <w:sz w:val="20"/>
          <w:szCs w:val="20"/>
        </w:rPr>
        <w:t>Sources of Drugs for Formulation Tests</w:t>
      </w:r>
    </w:p>
    <w:p w14:paraId="69ECD0D9" w14:textId="77777777" w:rsidR="008506FD" w:rsidRPr="00D853A5" w:rsidRDefault="008506FD" w:rsidP="008506FD">
      <w:pPr>
        <w:tabs>
          <w:tab w:val="left" w:pos="1008"/>
        </w:tabs>
        <w:rPr>
          <w:rFonts w:ascii="Times New Roman" w:hAnsi="Times New Roman" w:cs="Times New Roman"/>
        </w:rPr>
      </w:pPr>
    </w:p>
    <w:tbl>
      <w:tblPr>
        <w:tblW w:w="8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5"/>
        <w:gridCol w:w="3060"/>
        <w:gridCol w:w="2223"/>
      </w:tblGrid>
      <w:tr w:rsidR="008506FD" w:rsidRPr="00D853A5" w14:paraId="1A67EB1A" w14:textId="77777777" w:rsidTr="008506FD">
        <w:trPr>
          <w:cantSplit/>
          <w:trHeight w:val="486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502AD" w14:textId="77777777" w:rsidR="008506FD" w:rsidRPr="00CB6C9E" w:rsidRDefault="008506FD" w:rsidP="00E8272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48BA0" w14:textId="77777777" w:rsidR="008506FD" w:rsidRPr="00CB6C9E" w:rsidRDefault="008506FD" w:rsidP="00E8272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Supplier</w:t>
            </w:r>
          </w:p>
        </w:tc>
        <w:tc>
          <w:tcPr>
            <w:tcW w:w="2223" w:type="dxa"/>
            <w:vAlign w:val="bottom"/>
          </w:tcPr>
          <w:p w14:paraId="313D5EBB" w14:textId="77777777" w:rsidR="008506FD" w:rsidRPr="00CB6C9E" w:rsidRDefault="008506FD" w:rsidP="00E8272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Cat. #</w:t>
            </w:r>
          </w:p>
        </w:tc>
      </w:tr>
      <w:tr w:rsidR="008506FD" w:rsidRPr="00D853A5" w14:paraId="7DA82FFB" w14:textId="77777777" w:rsidTr="008506FD">
        <w:trPr>
          <w:cantSplit/>
          <w:trHeight w:val="421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B2FCA5" w14:textId="77777777" w:rsidR="008506FD" w:rsidRPr="00CB6C9E" w:rsidRDefault="008506FD" w:rsidP="00E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Bepridil Hydrochloride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930243" w14:textId="77777777" w:rsidR="008506FD" w:rsidRPr="00CB6C9E" w:rsidRDefault="008506FD" w:rsidP="00E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Sigma-Aldrich</w:t>
            </w:r>
          </w:p>
        </w:tc>
        <w:tc>
          <w:tcPr>
            <w:tcW w:w="2223" w:type="dxa"/>
            <w:vAlign w:val="bottom"/>
          </w:tcPr>
          <w:p w14:paraId="12CA8049" w14:textId="77777777" w:rsidR="008506FD" w:rsidRPr="00CB6C9E" w:rsidRDefault="008506FD" w:rsidP="00E82725">
            <w:pPr>
              <w:ind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B5016</w:t>
            </w:r>
          </w:p>
        </w:tc>
      </w:tr>
      <w:tr w:rsidR="008506FD" w:rsidRPr="00D853A5" w14:paraId="4588B9B4" w14:textId="77777777" w:rsidTr="008506FD">
        <w:trPr>
          <w:cantSplit/>
          <w:trHeight w:val="421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45AA9E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Clomiphene Citrate Salt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F41BE" w14:textId="77777777" w:rsidR="008506FD" w:rsidRPr="00CB6C9E" w:rsidRDefault="008506FD" w:rsidP="00E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Sigma-Aldrich</w:t>
            </w:r>
          </w:p>
        </w:tc>
        <w:tc>
          <w:tcPr>
            <w:tcW w:w="2223" w:type="dxa"/>
            <w:vAlign w:val="bottom"/>
          </w:tcPr>
          <w:p w14:paraId="557A07C3" w14:textId="77777777" w:rsidR="008506FD" w:rsidRPr="00CB6C9E" w:rsidRDefault="008506FD" w:rsidP="00E82725">
            <w:pPr>
              <w:ind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C6272</w:t>
            </w:r>
          </w:p>
        </w:tc>
      </w:tr>
      <w:tr w:rsidR="008506FD" w:rsidRPr="00D853A5" w14:paraId="6808AFE8" w14:textId="77777777" w:rsidTr="008506FD">
        <w:trPr>
          <w:cantSplit/>
          <w:trHeight w:val="421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8FD84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Toremifene Citrate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28399" w14:textId="77777777" w:rsidR="008506FD" w:rsidRPr="00CB6C9E" w:rsidRDefault="008506FD" w:rsidP="00E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Carbosynth</w:t>
            </w:r>
          </w:p>
        </w:tc>
        <w:tc>
          <w:tcPr>
            <w:tcW w:w="2223" w:type="dxa"/>
            <w:vAlign w:val="bottom"/>
          </w:tcPr>
          <w:p w14:paraId="5CEF6BD5" w14:textId="77777777" w:rsidR="008506FD" w:rsidRPr="00CB6C9E" w:rsidRDefault="008506FD" w:rsidP="00E82725">
            <w:pPr>
              <w:ind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FT28330</w:t>
            </w:r>
          </w:p>
        </w:tc>
      </w:tr>
      <w:tr w:rsidR="008506FD" w:rsidRPr="00D853A5" w14:paraId="767825FA" w14:textId="77777777" w:rsidTr="008506FD">
        <w:trPr>
          <w:cantSplit/>
          <w:trHeight w:val="421"/>
        </w:trPr>
        <w:tc>
          <w:tcPr>
            <w:tcW w:w="3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5135D8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Sertraline Hydrochloride</w:t>
            </w:r>
          </w:p>
        </w:tc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8B5BC9" w14:textId="77777777" w:rsidR="008506FD" w:rsidRPr="00CB6C9E" w:rsidRDefault="008506FD" w:rsidP="00E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Toronto Research Chemicals</w:t>
            </w:r>
          </w:p>
        </w:tc>
        <w:tc>
          <w:tcPr>
            <w:tcW w:w="2223" w:type="dxa"/>
            <w:vAlign w:val="bottom"/>
          </w:tcPr>
          <w:p w14:paraId="1B4D1054" w14:textId="77777777" w:rsidR="008506FD" w:rsidRPr="00CB6C9E" w:rsidRDefault="008506FD" w:rsidP="00E82725">
            <w:pPr>
              <w:ind w:right="2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C9E">
              <w:rPr>
                <w:rFonts w:ascii="Times New Roman" w:hAnsi="Times New Roman" w:cs="Times New Roman"/>
                <w:sz w:val="20"/>
                <w:szCs w:val="20"/>
              </w:rPr>
              <w:t>S280000</w:t>
            </w:r>
          </w:p>
        </w:tc>
      </w:tr>
    </w:tbl>
    <w:p w14:paraId="7A55E240" w14:textId="77777777" w:rsidR="008506FD" w:rsidRDefault="008506FD" w:rsidP="008506FD">
      <w:pPr>
        <w:tabs>
          <w:tab w:val="left" w:pos="720"/>
        </w:tabs>
        <w:rPr>
          <w:rFonts w:ascii="Times New Roman" w:hAnsi="Times New Roman" w:cs="Times New Roman"/>
        </w:rPr>
      </w:pPr>
    </w:p>
    <w:p w14:paraId="5EE60DD2" w14:textId="77777777" w:rsidR="008506FD" w:rsidRDefault="008506FD" w:rsidP="008506FD">
      <w:pPr>
        <w:pStyle w:val="NormalIndent"/>
        <w:ind w:left="0" w:firstLine="0"/>
        <w:rPr>
          <w:rFonts w:cs="Times New Roman"/>
        </w:rPr>
      </w:pPr>
    </w:p>
    <w:p w14:paraId="3AAD07C2" w14:textId="650B4DC9" w:rsidR="008506FD" w:rsidRPr="006000CD" w:rsidRDefault="00CB6C9E" w:rsidP="001A55FD">
      <w:pPr>
        <w:tabs>
          <w:tab w:val="left" w:pos="1008"/>
        </w:tabs>
        <w:rPr>
          <w:rFonts w:ascii="Palatino Linotype" w:hAnsi="Palatino Linotype" w:cs="Times New Roman"/>
          <w:i/>
          <w:sz w:val="20"/>
          <w:szCs w:val="20"/>
        </w:rPr>
      </w:pPr>
      <w:r w:rsidRPr="006000CD">
        <w:rPr>
          <w:rFonts w:ascii="Palatino Linotype" w:hAnsi="Palatino Linotype" w:cs="Times New Roman"/>
          <w:i/>
          <w:sz w:val="20"/>
          <w:szCs w:val="20"/>
        </w:rPr>
        <w:t xml:space="preserve">Sources of </w:t>
      </w:r>
      <w:r w:rsidR="008506FD" w:rsidRPr="006000CD">
        <w:rPr>
          <w:rFonts w:ascii="Palatino Linotype" w:hAnsi="Palatino Linotype" w:cs="Times New Roman"/>
          <w:i/>
          <w:sz w:val="20"/>
          <w:szCs w:val="20"/>
        </w:rPr>
        <w:t>Vehicle Components</w:t>
      </w:r>
      <w:r w:rsidRPr="006000CD">
        <w:rPr>
          <w:rFonts w:ascii="Palatino Linotype" w:hAnsi="Palatino Linotype" w:cs="Times New Roman"/>
          <w:i/>
          <w:sz w:val="20"/>
          <w:szCs w:val="20"/>
        </w:rPr>
        <w:t xml:space="preserve"> for Formulation Tests</w:t>
      </w:r>
    </w:p>
    <w:p w14:paraId="1B0F687B" w14:textId="77777777" w:rsidR="008506FD" w:rsidRDefault="008506FD" w:rsidP="00D459B7">
      <w:pPr>
        <w:tabs>
          <w:tab w:val="left" w:pos="1008"/>
        </w:tabs>
        <w:rPr>
          <w:rFonts w:ascii="Times New Roman" w:hAnsi="Times New Roman" w:cs="Times New Roman"/>
        </w:rPr>
      </w:pP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5"/>
        <w:gridCol w:w="2790"/>
        <w:gridCol w:w="1468"/>
      </w:tblGrid>
      <w:tr w:rsidR="008506FD" w:rsidRPr="00D853A5" w14:paraId="7B2FBBC3" w14:textId="77777777" w:rsidTr="008506FD">
        <w:trPr>
          <w:cantSplit/>
          <w:trHeight w:val="455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809B4" w14:textId="77777777" w:rsidR="008506FD" w:rsidRPr="00CB6C9E" w:rsidRDefault="008506FD" w:rsidP="00E82725">
            <w:pPr>
              <w:keepNext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9221F" w14:textId="77777777" w:rsidR="008506FD" w:rsidRPr="00CB6C9E" w:rsidRDefault="008506FD" w:rsidP="00E82725">
            <w:pPr>
              <w:keepNext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Supplier</w:t>
            </w:r>
          </w:p>
        </w:tc>
        <w:tc>
          <w:tcPr>
            <w:tcW w:w="1468" w:type="dxa"/>
            <w:vAlign w:val="bottom"/>
          </w:tcPr>
          <w:p w14:paraId="096ED00A" w14:textId="77777777" w:rsidR="008506FD" w:rsidRPr="00CB6C9E" w:rsidRDefault="008506FD" w:rsidP="00E82725">
            <w:pPr>
              <w:keepNext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Cat. #</w:t>
            </w:r>
          </w:p>
        </w:tc>
      </w:tr>
      <w:tr w:rsidR="008506FD" w:rsidRPr="00D853A5" w14:paraId="71C34A43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32784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Benzyl alcohol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4FE093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Sigma-Aldrich</w:t>
            </w:r>
          </w:p>
        </w:tc>
        <w:tc>
          <w:tcPr>
            <w:tcW w:w="1468" w:type="dxa"/>
            <w:vAlign w:val="bottom"/>
          </w:tcPr>
          <w:p w14:paraId="6B673759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305197</w:t>
            </w:r>
          </w:p>
        </w:tc>
      </w:tr>
      <w:tr w:rsidR="008506FD" w:rsidRPr="00D853A5" w14:paraId="56284DEB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04F322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Capmul MCM NF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056DD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ABITEC Corporation</w:t>
            </w:r>
          </w:p>
        </w:tc>
        <w:tc>
          <w:tcPr>
            <w:tcW w:w="1468" w:type="dxa"/>
            <w:vAlign w:val="bottom"/>
          </w:tcPr>
          <w:p w14:paraId="63412B55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N/A</w:t>
            </w:r>
          </w:p>
        </w:tc>
      </w:tr>
      <w:tr w:rsidR="008506FD" w:rsidRPr="00D853A5" w14:paraId="54B4EE2D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21BBE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Captisol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F2D06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Captisol</w:t>
            </w:r>
          </w:p>
        </w:tc>
        <w:tc>
          <w:tcPr>
            <w:tcW w:w="1468" w:type="dxa"/>
            <w:vAlign w:val="bottom"/>
          </w:tcPr>
          <w:p w14:paraId="7EDF39AF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N/A</w:t>
            </w:r>
          </w:p>
        </w:tc>
      </w:tr>
      <w:tr w:rsidR="008506FD" w:rsidRPr="00D853A5" w14:paraId="46C2E56A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21B13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Carboxymethylcellulose Sodium, High Viscosity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582DF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4E2A45C1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CA194</w:t>
            </w:r>
          </w:p>
        </w:tc>
      </w:tr>
      <w:tr w:rsidR="008506FD" w:rsidRPr="00D853A5" w14:paraId="01A4561F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7E75A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Ethanol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A34B5B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078E8581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EI068</w:t>
            </w:r>
          </w:p>
        </w:tc>
      </w:tr>
      <w:tr w:rsidR="008506FD" w:rsidRPr="00D853A5" w14:paraId="7A884F0B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895D7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NMP (1-Methyl-2-pyrrolidinone)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E923E2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Sigma-Aldrich</w:t>
            </w:r>
          </w:p>
        </w:tc>
        <w:tc>
          <w:tcPr>
            <w:tcW w:w="1468" w:type="dxa"/>
            <w:vAlign w:val="bottom"/>
          </w:tcPr>
          <w:p w14:paraId="6D128514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328634</w:t>
            </w:r>
          </w:p>
        </w:tc>
      </w:tr>
      <w:tr w:rsidR="008506FD" w:rsidRPr="00D853A5" w14:paraId="7D54B68B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4D3FB9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PEG 300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2773E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6DF579F6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PO108</w:t>
            </w:r>
          </w:p>
        </w:tc>
      </w:tr>
      <w:tr w:rsidR="008506FD" w:rsidRPr="00D853A5" w14:paraId="21250BFC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BED28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PEG 400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F5D858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10798662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PO138</w:t>
            </w:r>
          </w:p>
        </w:tc>
      </w:tr>
      <w:tr w:rsidR="008506FD" w:rsidRPr="00D853A5" w14:paraId="633D16EF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4986BC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Polysorbate 20 (Tween 20)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C29904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1474E335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PO132</w:t>
            </w:r>
          </w:p>
        </w:tc>
      </w:tr>
      <w:tr w:rsidR="008506FD" w:rsidRPr="00D853A5" w14:paraId="700A57BF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5AEE2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Polysorbate 80 (Tween 80)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2E8B3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5015D146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PO138</w:t>
            </w:r>
          </w:p>
        </w:tc>
      </w:tr>
      <w:tr w:rsidR="008506FD" w:rsidRPr="00D853A5" w14:paraId="75355DBF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53B1D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Propylene Glycol (PG)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49A3C6" w14:textId="77777777" w:rsidR="008506FD" w:rsidRPr="00CB6C9E" w:rsidRDefault="008506FD" w:rsidP="00E82725">
            <w:pPr>
              <w:pStyle w:val="ListParagraph"/>
              <w:tabs>
                <w:tab w:val="left" w:pos="1008"/>
              </w:tabs>
              <w:ind w:left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661CAD68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PR130</w:t>
            </w:r>
          </w:p>
        </w:tc>
      </w:tr>
      <w:tr w:rsidR="008506FD" w:rsidRPr="00D853A5" w14:paraId="5999CFB6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A68F7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Sodium Chloride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999E1" w14:textId="77777777" w:rsidR="008506FD" w:rsidRPr="00CB6C9E" w:rsidRDefault="008506FD" w:rsidP="00E82725">
            <w:pPr>
              <w:pStyle w:val="ListParagraph"/>
              <w:tabs>
                <w:tab w:val="left" w:pos="1008"/>
              </w:tabs>
              <w:ind w:left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Spectrum Chemicals</w:t>
            </w:r>
          </w:p>
        </w:tc>
        <w:tc>
          <w:tcPr>
            <w:tcW w:w="1468" w:type="dxa"/>
            <w:vAlign w:val="bottom"/>
          </w:tcPr>
          <w:p w14:paraId="321137E3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SO155</w:t>
            </w:r>
          </w:p>
        </w:tc>
      </w:tr>
      <w:tr w:rsidR="008506FD" w:rsidRPr="00D853A5" w14:paraId="7DB44A03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C2678F" w14:textId="77777777" w:rsidR="008506FD" w:rsidRPr="00CB6C9E" w:rsidRDefault="008506FD" w:rsidP="00E82725">
            <w:pPr>
              <w:tabs>
                <w:tab w:val="left" w:pos="1008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Sterile Water for Injection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0BCF1C" w14:textId="77777777" w:rsidR="008506FD" w:rsidRPr="00CB6C9E" w:rsidRDefault="008506FD" w:rsidP="00E82725">
            <w:pPr>
              <w:pStyle w:val="ListParagraph"/>
              <w:tabs>
                <w:tab w:val="left" w:pos="1008"/>
              </w:tabs>
              <w:ind w:left="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Henry Schein Vet</w:t>
            </w:r>
          </w:p>
        </w:tc>
        <w:tc>
          <w:tcPr>
            <w:tcW w:w="1468" w:type="dxa"/>
            <w:vAlign w:val="bottom"/>
          </w:tcPr>
          <w:p w14:paraId="6515503E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002488</w:t>
            </w:r>
          </w:p>
        </w:tc>
      </w:tr>
      <w:tr w:rsidR="008506FD" w:rsidRPr="00D853A5" w14:paraId="1D7E054E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886016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Solutol (Kolliphore HS 15)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ADD5E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Sigma-Aldrich</w:t>
            </w:r>
          </w:p>
        </w:tc>
        <w:tc>
          <w:tcPr>
            <w:tcW w:w="1468" w:type="dxa"/>
            <w:vAlign w:val="bottom"/>
          </w:tcPr>
          <w:p w14:paraId="516B53E3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42966</w:t>
            </w:r>
          </w:p>
        </w:tc>
      </w:tr>
      <w:tr w:rsidR="008506FD" w:rsidRPr="00D853A5" w14:paraId="09190562" w14:textId="77777777" w:rsidTr="008506FD">
        <w:trPr>
          <w:cantSplit/>
          <w:trHeight w:val="394"/>
        </w:trPr>
        <w:tc>
          <w:tcPr>
            <w:tcW w:w="47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E5303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Vegetable Oil (Crisco Pure Vegetable Oil)</w:t>
            </w:r>
          </w:p>
        </w:tc>
        <w:tc>
          <w:tcPr>
            <w:tcW w:w="27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E34D1F" w14:textId="77777777" w:rsidR="008506FD" w:rsidRPr="00CB6C9E" w:rsidRDefault="008506FD" w:rsidP="00E8272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The J.M. Smucker Company</w:t>
            </w:r>
          </w:p>
        </w:tc>
        <w:tc>
          <w:tcPr>
            <w:tcW w:w="1468" w:type="dxa"/>
            <w:vAlign w:val="bottom"/>
          </w:tcPr>
          <w:p w14:paraId="6512461F" w14:textId="77777777" w:rsidR="008506FD" w:rsidRPr="00CB6C9E" w:rsidRDefault="008506FD" w:rsidP="00E82725">
            <w:pPr>
              <w:ind w:right="23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6C9E">
              <w:rPr>
                <w:rFonts w:ascii="Palatino Linotype" w:hAnsi="Palatino Linotype" w:cs="Times New Roman"/>
                <w:sz w:val="20"/>
                <w:szCs w:val="20"/>
              </w:rPr>
              <w:t>N/A</w:t>
            </w:r>
          </w:p>
        </w:tc>
      </w:tr>
    </w:tbl>
    <w:p w14:paraId="1FF03D39" w14:textId="77777777" w:rsidR="008506FD" w:rsidRPr="00D853A5" w:rsidRDefault="008506FD" w:rsidP="008506FD">
      <w:pPr>
        <w:tabs>
          <w:tab w:val="left" w:pos="1008"/>
        </w:tabs>
        <w:rPr>
          <w:rFonts w:ascii="Times New Roman" w:hAnsi="Times New Roman" w:cs="Times New Roman"/>
        </w:rPr>
      </w:pPr>
    </w:p>
    <w:p w14:paraId="0C5AAB3E" w14:textId="77777777" w:rsidR="00413740" w:rsidRDefault="00413740"/>
    <w:sectPr w:rsidR="00413740" w:rsidSect="0041374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7E587F9" w15:done="0"/>
  <w15:commentEx w15:paraId="56796A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5303A" w16cex:dateUtc="2021-01-22T16:06:00Z"/>
  <w16cex:commentExtensible w16cex:durableId="23B530DE" w16cex:dateUtc="2021-01-22T1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E587F9" w16cid:durableId="23B5303A"/>
  <w16cid:commentId w16cid:paraId="56796AEB" w16cid:durableId="23B530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E265C"/>
    <w:multiLevelType w:val="hybridMultilevel"/>
    <w:tmpl w:val="7EFCF24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147AB"/>
    <w:multiLevelType w:val="hybridMultilevel"/>
    <w:tmpl w:val="7A720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elson, Elizabeth (en2b)">
    <w15:presenceInfo w15:providerId="AD" w15:userId="S::en2b@virginia.edu::2111b3f0-e935-4fc2-bda9-7b13a88bae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40"/>
    <w:rsid w:val="000751E3"/>
    <w:rsid w:val="000B1D3C"/>
    <w:rsid w:val="000B6E25"/>
    <w:rsid w:val="001A55FD"/>
    <w:rsid w:val="001D63B7"/>
    <w:rsid w:val="002006F4"/>
    <w:rsid w:val="00272915"/>
    <w:rsid w:val="00277B9E"/>
    <w:rsid w:val="00344411"/>
    <w:rsid w:val="00413740"/>
    <w:rsid w:val="00471B79"/>
    <w:rsid w:val="004945AF"/>
    <w:rsid w:val="00523CE2"/>
    <w:rsid w:val="005D73B5"/>
    <w:rsid w:val="006000CD"/>
    <w:rsid w:val="0060784D"/>
    <w:rsid w:val="00636E61"/>
    <w:rsid w:val="006A2593"/>
    <w:rsid w:val="007058CC"/>
    <w:rsid w:val="007E6BB9"/>
    <w:rsid w:val="008506FD"/>
    <w:rsid w:val="00875387"/>
    <w:rsid w:val="00895D12"/>
    <w:rsid w:val="00972D84"/>
    <w:rsid w:val="009A7F37"/>
    <w:rsid w:val="009E144B"/>
    <w:rsid w:val="009F11CA"/>
    <w:rsid w:val="00A91720"/>
    <w:rsid w:val="00A94BD7"/>
    <w:rsid w:val="00AD6B6A"/>
    <w:rsid w:val="00AF34A9"/>
    <w:rsid w:val="00BB27F9"/>
    <w:rsid w:val="00CB6C9E"/>
    <w:rsid w:val="00D20A2A"/>
    <w:rsid w:val="00D459B7"/>
    <w:rsid w:val="00D70206"/>
    <w:rsid w:val="00E82725"/>
    <w:rsid w:val="00F05EDB"/>
    <w:rsid w:val="00F1254F"/>
    <w:rsid w:val="00F23459"/>
    <w:rsid w:val="00F4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982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8506FD"/>
    <w:pPr>
      <w:tabs>
        <w:tab w:val="center" w:pos="4680"/>
        <w:tab w:val="right" w:pos="9360"/>
      </w:tabs>
    </w:pPr>
    <w:rPr>
      <w:rFonts w:ascii="Calibri" w:eastAsiaTheme="minorHAns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8506FD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506FD"/>
    <w:pPr>
      <w:ind w:left="720"/>
      <w:contextualSpacing/>
    </w:pPr>
    <w:rPr>
      <w:rFonts w:ascii="Calibri" w:eastAsiaTheme="minorHAnsi" w:hAnsi="Calibri" w:cs="Calibri"/>
      <w:sz w:val="22"/>
      <w:szCs w:val="22"/>
    </w:rPr>
  </w:style>
  <w:style w:type="paragraph" w:styleId="NormalIndent">
    <w:name w:val="Normal Indent"/>
    <w:basedOn w:val="Normal"/>
    <w:uiPriority w:val="99"/>
    <w:unhideWhenUsed/>
    <w:qFormat/>
    <w:rsid w:val="008506FD"/>
    <w:pPr>
      <w:tabs>
        <w:tab w:val="left" w:pos="720"/>
        <w:tab w:val="left" w:pos="1440"/>
      </w:tabs>
      <w:spacing w:after="240"/>
      <w:ind w:left="720" w:firstLine="720"/>
    </w:pPr>
    <w:rPr>
      <w:rFonts w:ascii="Times New Roman" w:eastAsiaTheme="minorHAnsi" w:hAnsi="Times New Roman"/>
    </w:rPr>
  </w:style>
  <w:style w:type="paragraph" w:customStyle="1" w:styleId="ReportNormal">
    <w:name w:val="ReportNormal"/>
    <w:basedOn w:val="Normal"/>
    <w:qFormat/>
    <w:rsid w:val="00D20A2A"/>
    <w:pPr>
      <w:spacing w:after="240"/>
      <w:ind w:firstLine="720"/>
    </w:pPr>
    <w:rPr>
      <w:rFonts w:ascii="Times New Roman" w:eastAsia="MS Gothic" w:hAnsi="Times New Roman" w:cs="Times New Roman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B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7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1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B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B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B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8506FD"/>
    <w:pPr>
      <w:tabs>
        <w:tab w:val="center" w:pos="4680"/>
        <w:tab w:val="right" w:pos="9360"/>
      </w:tabs>
    </w:pPr>
    <w:rPr>
      <w:rFonts w:ascii="Calibri" w:eastAsiaTheme="minorHAns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8506FD"/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506FD"/>
    <w:pPr>
      <w:ind w:left="720"/>
      <w:contextualSpacing/>
    </w:pPr>
    <w:rPr>
      <w:rFonts w:ascii="Calibri" w:eastAsiaTheme="minorHAnsi" w:hAnsi="Calibri" w:cs="Calibri"/>
      <w:sz w:val="22"/>
      <w:szCs w:val="22"/>
    </w:rPr>
  </w:style>
  <w:style w:type="paragraph" w:styleId="NormalIndent">
    <w:name w:val="Normal Indent"/>
    <w:basedOn w:val="Normal"/>
    <w:uiPriority w:val="99"/>
    <w:unhideWhenUsed/>
    <w:qFormat/>
    <w:rsid w:val="008506FD"/>
    <w:pPr>
      <w:tabs>
        <w:tab w:val="left" w:pos="720"/>
        <w:tab w:val="left" w:pos="1440"/>
      </w:tabs>
      <w:spacing w:after="240"/>
      <w:ind w:left="720" w:firstLine="720"/>
    </w:pPr>
    <w:rPr>
      <w:rFonts w:ascii="Times New Roman" w:eastAsiaTheme="minorHAnsi" w:hAnsi="Times New Roman"/>
    </w:rPr>
  </w:style>
  <w:style w:type="paragraph" w:customStyle="1" w:styleId="ReportNormal">
    <w:name w:val="ReportNormal"/>
    <w:basedOn w:val="Normal"/>
    <w:qFormat/>
    <w:rsid w:val="00D20A2A"/>
    <w:pPr>
      <w:spacing w:after="240"/>
      <w:ind w:firstLine="720"/>
    </w:pPr>
    <w:rPr>
      <w:rFonts w:ascii="Times New Roman" w:eastAsia="MS Gothic" w:hAnsi="Times New Roman" w:cs="Times New Roman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B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B7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1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B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B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B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commentsExtended" Target="commentsExtended.xml"/><Relationship Id="rId9" Type="http://schemas.microsoft.com/office/2016/09/relationships/commentsIds" Target="commentsIds.xml"/><Relationship Id="rId10" Type="http://schemas.microsoft.com/office/2018/08/relationships/commentsExtensible" Target="commentsExtensible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1026</Words>
  <Characters>5850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Virginia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White</dc:creator>
  <cp:keywords/>
  <dc:description/>
  <cp:lastModifiedBy>Judith White</cp:lastModifiedBy>
  <cp:revision>16</cp:revision>
  <dcterms:created xsi:type="dcterms:W3CDTF">2021-01-22T16:07:00Z</dcterms:created>
  <dcterms:modified xsi:type="dcterms:W3CDTF">2021-01-28T13:02:00Z</dcterms:modified>
</cp:coreProperties>
</file>