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24" w:rsidRPr="00F86224" w:rsidRDefault="00F86224" w:rsidP="00F86224">
      <w:pPr>
        <w:adjustRightInd w:val="0"/>
        <w:snapToGrid w:val="0"/>
        <w:spacing w:before="240" w:after="60" w:line="228" w:lineRule="auto"/>
        <w:outlineLvl w:val="0"/>
        <w:rPr>
          <w:rFonts w:ascii="Palatino Linotype" w:eastAsia="Calibri" w:hAnsi="Palatino Linotype" w:cs="Times New Roman"/>
          <w:b/>
          <w:snapToGrid w:val="0"/>
          <w:color w:val="000000"/>
          <w:sz w:val="20"/>
          <w:szCs w:val="22"/>
          <w:lang w:eastAsia="de-DE" w:bidi="en-US"/>
        </w:rPr>
      </w:pPr>
      <w:r w:rsidRPr="00F86224">
        <w:rPr>
          <w:rFonts w:ascii="Palatino Linotype" w:eastAsia="Calibri" w:hAnsi="Palatino Linotype" w:cs="Times New Roman"/>
          <w:b/>
          <w:snapToGrid w:val="0"/>
          <w:color w:val="000000"/>
          <w:sz w:val="20"/>
          <w:szCs w:val="22"/>
          <w:lang w:eastAsia="de-DE" w:bidi="en-US"/>
        </w:rPr>
        <w:t>Supplementary Materials</w:t>
      </w:r>
    </w:p>
    <w:p w:rsidR="00F86224" w:rsidRPr="00F86224" w:rsidRDefault="00F86224" w:rsidP="00F86224">
      <w:pPr>
        <w:adjustRightInd w:val="0"/>
        <w:snapToGrid w:val="0"/>
        <w:spacing w:before="240" w:after="120" w:line="228" w:lineRule="auto"/>
        <w:rPr>
          <w:rFonts w:ascii="Palatino Linotype" w:eastAsia="Calibri" w:hAnsi="Palatino Linotype" w:cs="Cordia New"/>
          <w:b/>
          <w:color w:val="000000"/>
          <w:sz w:val="18"/>
          <w:szCs w:val="22"/>
          <w:lang w:eastAsia="de-DE" w:bidi="en-US"/>
        </w:rPr>
      </w:pPr>
      <w:r w:rsidRPr="00F86224">
        <w:rPr>
          <w:rFonts w:ascii="Palatino Linotype" w:eastAsia="Calibri" w:hAnsi="Palatino Linotype" w:cs="Cordia New"/>
          <w:b/>
          <w:color w:val="000000"/>
          <w:sz w:val="18"/>
          <w:szCs w:val="22"/>
          <w:lang w:eastAsia="de-DE" w:bidi="en-US"/>
        </w:rPr>
        <w:t xml:space="preserve">Supplementary Table S1 </w:t>
      </w:r>
      <w:r w:rsidRPr="00F86224">
        <w:rPr>
          <w:rFonts w:ascii="Palatino Linotype" w:eastAsia="Calibri" w:hAnsi="Palatino Linotype" w:cs="Cordia New"/>
          <w:color w:val="000000"/>
          <w:sz w:val="18"/>
          <w:szCs w:val="22"/>
          <w:lang w:eastAsia="de-DE" w:bidi="en-US"/>
        </w:rPr>
        <w:t>Summary of family members WGS was performed on, including personal data and the consideration of being a carrier of the cancer-causing mutation. CRC – colorectal cancer, CRP – colorectal polyps.</w:t>
      </w:r>
    </w:p>
    <w:tbl>
      <w:tblPr>
        <w:tblW w:w="9082" w:type="dxa"/>
        <w:tblBorders>
          <w:top w:val="single" w:sz="8" w:space="0" w:color="4472C4"/>
          <w:bottom w:val="single" w:sz="8" w:space="0" w:color="4472C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709"/>
        <w:gridCol w:w="992"/>
        <w:gridCol w:w="1134"/>
        <w:gridCol w:w="1134"/>
        <w:gridCol w:w="1134"/>
        <w:gridCol w:w="2268"/>
      </w:tblGrid>
      <w:tr w:rsidR="00F86224" w:rsidRPr="00F86224" w:rsidTr="00F86224">
        <w:trPr>
          <w:trHeight w:val="309"/>
        </w:trPr>
        <w:tc>
          <w:tcPr>
            <w:tcW w:w="1711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Classification</w:t>
            </w:r>
          </w:p>
        </w:tc>
        <w:tc>
          <w:tcPr>
            <w:tcW w:w="7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ID</w:t>
            </w:r>
          </w:p>
        </w:tc>
        <w:tc>
          <w:tcPr>
            <w:tcW w:w="992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Sex</w:t>
            </w:r>
          </w:p>
        </w:tc>
        <w:tc>
          <w:tcPr>
            <w:tcW w:w="113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Age at recruitment</w:t>
            </w:r>
          </w:p>
        </w:tc>
        <w:tc>
          <w:tcPr>
            <w:tcW w:w="113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Diagnosis</w:t>
            </w:r>
          </w:p>
        </w:tc>
        <w:tc>
          <w:tcPr>
            <w:tcW w:w="1134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Age of onset</w:t>
            </w:r>
          </w:p>
        </w:tc>
        <w:tc>
          <w:tcPr>
            <w:tcW w:w="2268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Considered as a carrier</w:t>
            </w:r>
          </w:p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of the mutation?</w:t>
            </w:r>
          </w:p>
        </w:tc>
      </w:tr>
      <w:tr w:rsidR="00F86224" w:rsidRPr="00F86224" w:rsidTr="00F86224">
        <w:trPr>
          <w:trHeight w:val="309"/>
        </w:trPr>
        <w:tc>
          <w:tcPr>
            <w:tcW w:w="1711" w:type="dxa"/>
            <w:tcBorders>
              <w:right w:val="single" w:sz="8" w:space="0" w:color="4472C4"/>
            </w:tcBorders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Cases</w:t>
            </w:r>
          </w:p>
        </w:tc>
        <w:tc>
          <w:tcPr>
            <w:tcW w:w="709" w:type="dxa"/>
            <w:tcBorders>
              <w:left w:val="single" w:sz="8" w:space="0" w:color="4472C4"/>
              <w:right w:val="nil"/>
            </w:tcBorders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III-1</w:t>
            </w:r>
          </w:p>
        </w:tc>
        <w:tc>
          <w:tcPr>
            <w:tcW w:w="992" w:type="dxa"/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77</w:t>
            </w:r>
          </w:p>
        </w:tc>
        <w:tc>
          <w:tcPr>
            <w:tcW w:w="1134" w:type="dxa"/>
            <w:shd w:val="clear" w:color="auto" w:fill="C6D2EB"/>
            <w:noWrap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CRC, CRP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57, 60</w:t>
            </w:r>
          </w:p>
        </w:tc>
        <w:tc>
          <w:tcPr>
            <w:tcW w:w="2268" w:type="dxa"/>
            <w:shd w:val="clear" w:color="auto" w:fill="C6D2EB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Yes</w:t>
            </w:r>
          </w:p>
        </w:tc>
      </w:tr>
      <w:tr w:rsidR="00F86224" w:rsidRPr="00F86224" w:rsidTr="00F86224">
        <w:trPr>
          <w:trHeight w:val="309"/>
        </w:trPr>
        <w:tc>
          <w:tcPr>
            <w:tcW w:w="1711" w:type="dxa"/>
            <w:tcBorders>
              <w:right w:val="single" w:sz="8" w:space="0" w:color="4472C4"/>
            </w:tcBorders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709" w:type="dxa"/>
            <w:tcBorders>
              <w:left w:val="single" w:sz="8" w:space="0" w:color="4472C4"/>
            </w:tcBorders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IV-8</w:t>
            </w:r>
          </w:p>
        </w:tc>
        <w:tc>
          <w:tcPr>
            <w:tcW w:w="992" w:type="dxa"/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male</w:t>
            </w:r>
          </w:p>
        </w:tc>
        <w:tc>
          <w:tcPr>
            <w:tcW w:w="1134" w:type="dxa"/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54</w:t>
            </w:r>
          </w:p>
        </w:tc>
        <w:tc>
          <w:tcPr>
            <w:tcW w:w="1134" w:type="dxa"/>
            <w:shd w:val="clear" w:color="auto" w:fill="C6D2EB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CRC</w:t>
            </w:r>
          </w:p>
        </w:tc>
        <w:tc>
          <w:tcPr>
            <w:tcW w:w="1134" w:type="dxa"/>
            <w:shd w:val="clear" w:color="auto" w:fill="C6D2EB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23</w:t>
            </w:r>
          </w:p>
        </w:tc>
        <w:tc>
          <w:tcPr>
            <w:tcW w:w="2268" w:type="dxa"/>
            <w:shd w:val="clear" w:color="auto" w:fill="C6D2EB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Yes</w:t>
            </w:r>
          </w:p>
        </w:tc>
      </w:tr>
      <w:tr w:rsidR="00F86224" w:rsidRPr="00F86224" w:rsidTr="00F86224">
        <w:trPr>
          <w:trHeight w:val="309"/>
        </w:trPr>
        <w:tc>
          <w:tcPr>
            <w:tcW w:w="1711" w:type="dxa"/>
            <w:tcBorders>
              <w:right w:val="single" w:sz="8" w:space="0" w:color="4472C4"/>
            </w:tcBorders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Possible carrier</w:t>
            </w:r>
          </w:p>
        </w:tc>
        <w:tc>
          <w:tcPr>
            <w:tcW w:w="709" w:type="dxa"/>
            <w:tcBorders>
              <w:left w:val="single" w:sz="8" w:space="0" w:color="4472C4"/>
              <w:right w:val="nil"/>
            </w:tcBorders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IV-7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female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40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Yes/No</w:t>
            </w:r>
          </w:p>
        </w:tc>
      </w:tr>
    </w:tbl>
    <w:p w:rsidR="00541AF4" w:rsidRDefault="00541AF4" w:rsidP="00541AF4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41AF4" w:rsidRDefault="00F86224" w:rsidP="00541AF4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  <w:r w:rsidRPr="00F86224">
        <w:rPr>
          <w:rFonts w:ascii="Palatino Linotype" w:eastAsia="Calibri" w:hAnsi="Palatino Linotype" w:cs="Cordia New"/>
          <w:b/>
          <w:color w:val="000000"/>
          <w:sz w:val="18"/>
          <w:szCs w:val="22"/>
          <w:lang w:eastAsia="de-DE" w:bidi="en-US"/>
        </w:rPr>
        <w:t xml:space="preserve">Supplementary Table S2. </w:t>
      </w:r>
      <w:r w:rsidRPr="00F86224">
        <w:rPr>
          <w:rFonts w:ascii="Palatino Linotype" w:eastAsia="Calibri" w:hAnsi="Palatino Linotype" w:cs="Cordia New"/>
          <w:color w:val="000000"/>
          <w:sz w:val="18"/>
          <w:szCs w:val="22"/>
          <w:lang w:eastAsia="de-DE" w:bidi="en-US"/>
        </w:rPr>
        <w:t>Alphabetical list of qPCR primers with respective forward and reverse sequences.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3559"/>
        <w:gridCol w:w="3559"/>
      </w:tblGrid>
      <w:tr w:rsidR="00F86224" w:rsidRPr="00F86224" w:rsidTr="00F86224">
        <w:trPr>
          <w:trHeight w:val="300"/>
        </w:trPr>
        <w:tc>
          <w:tcPr>
            <w:tcW w:w="1968" w:type="dxa"/>
            <w:tcBorders>
              <w:top w:val="single" w:sz="8" w:space="0" w:color="4F81BD"/>
              <w:right w:val="single" w:sz="8" w:space="0" w:color="4F81BD"/>
            </w:tcBorders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Gene</w:t>
            </w:r>
          </w:p>
        </w:tc>
        <w:tc>
          <w:tcPr>
            <w:tcW w:w="3559" w:type="dxa"/>
            <w:tcBorders>
              <w:top w:val="single" w:sz="8" w:space="0" w:color="4F81BD"/>
              <w:left w:val="single" w:sz="8" w:space="0" w:color="4F81BD"/>
            </w:tcBorders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Forward primer sequence</w:t>
            </w:r>
          </w:p>
        </w:tc>
        <w:tc>
          <w:tcPr>
            <w:tcW w:w="3559" w:type="dxa"/>
            <w:tcBorders>
              <w:top w:val="single" w:sz="8" w:space="0" w:color="4F81BD"/>
            </w:tcBorders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Reverse primer sequence</w:t>
            </w:r>
          </w:p>
        </w:tc>
      </w:tr>
      <w:tr w:rsidR="00F86224" w:rsidRPr="00F86224" w:rsidTr="00F86224">
        <w:trPr>
          <w:trHeight w:val="300"/>
        </w:trPr>
        <w:tc>
          <w:tcPr>
            <w:tcW w:w="1968" w:type="dxa"/>
            <w:tcBorders>
              <w:right w:val="single" w:sz="8" w:space="0" w:color="4F81BD"/>
            </w:tcBorders>
            <w:shd w:val="clear" w:color="auto" w:fill="C6D2EB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AKT</w:t>
            </w:r>
          </w:p>
        </w:tc>
        <w:tc>
          <w:tcPr>
            <w:tcW w:w="7118" w:type="dxa"/>
            <w:gridSpan w:val="2"/>
            <w:tcBorders>
              <w:left w:val="single" w:sz="8" w:space="0" w:color="4F81BD"/>
            </w:tcBorders>
            <w:shd w:val="clear" w:color="auto" w:fill="C6D2EB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Quantitect</w:t>
            </w:r>
            <w:proofErr w:type="spellEnd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primer assay purchased from Qiagen</w:t>
            </w:r>
          </w:p>
        </w:tc>
      </w:tr>
      <w:tr w:rsidR="00F86224" w:rsidRPr="00F86224" w:rsidTr="00F86224">
        <w:trPr>
          <w:trHeight w:val="300"/>
        </w:trPr>
        <w:tc>
          <w:tcPr>
            <w:tcW w:w="1968" w:type="dxa"/>
            <w:tcBorders>
              <w:right w:val="single" w:sz="8" w:space="0" w:color="4F81BD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CTNNB</w:t>
            </w:r>
          </w:p>
        </w:tc>
        <w:tc>
          <w:tcPr>
            <w:tcW w:w="3559" w:type="dxa"/>
            <w:tcBorders>
              <w:left w:val="single" w:sz="8" w:space="0" w:color="4F81BD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CACAAGCAGAGTGCTGAAGGTG</w:t>
            </w:r>
          </w:p>
        </w:tc>
        <w:tc>
          <w:tcPr>
            <w:tcW w:w="3559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GATTCCTGAGAGTCCAAAGACAG</w:t>
            </w:r>
          </w:p>
        </w:tc>
      </w:tr>
      <w:tr w:rsidR="00F86224" w:rsidRPr="00F86224" w:rsidTr="00F86224">
        <w:trPr>
          <w:trHeight w:val="300"/>
        </w:trPr>
        <w:tc>
          <w:tcPr>
            <w:tcW w:w="1968" w:type="dxa"/>
            <w:tcBorders>
              <w:right w:val="single" w:sz="8" w:space="0" w:color="4F81BD"/>
            </w:tcBorders>
            <w:shd w:val="clear" w:color="auto" w:fill="C6D2EB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HPRT</w:t>
            </w:r>
          </w:p>
        </w:tc>
        <w:tc>
          <w:tcPr>
            <w:tcW w:w="7118" w:type="dxa"/>
            <w:gridSpan w:val="2"/>
            <w:tcBorders>
              <w:left w:val="single" w:sz="8" w:space="0" w:color="4F81BD"/>
            </w:tcBorders>
            <w:shd w:val="clear" w:color="auto" w:fill="C6D2EB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Quantitect</w:t>
            </w:r>
            <w:proofErr w:type="spellEnd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primer assay purchased from Qiagen</w:t>
            </w:r>
          </w:p>
        </w:tc>
      </w:tr>
      <w:tr w:rsidR="00F86224" w:rsidRPr="00F86224" w:rsidTr="00F86224">
        <w:trPr>
          <w:trHeight w:val="300"/>
        </w:trPr>
        <w:tc>
          <w:tcPr>
            <w:tcW w:w="1968" w:type="dxa"/>
            <w:tcBorders>
              <w:right w:val="single" w:sz="8" w:space="0" w:color="4F81BD"/>
            </w:tcBorders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PXN</w:t>
            </w:r>
          </w:p>
        </w:tc>
        <w:tc>
          <w:tcPr>
            <w:tcW w:w="3559" w:type="dxa"/>
            <w:tcBorders>
              <w:left w:val="single" w:sz="8" w:space="0" w:color="4F81BD"/>
            </w:tcBorders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CTGATGGCTTCGCTGTCGGATT</w:t>
            </w:r>
          </w:p>
        </w:tc>
        <w:tc>
          <w:tcPr>
            <w:tcW w:w="3559" w:type="dxa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GCTTGTTCAGGTCAGACTGCAG</w:t>
            </w:r>
          </w:p>
        </w:tc>
      </w:tr>
      <w:tr w:rsidR="00F86224" w:rsidRPr="00F86224" w:rsidTr="00F86224">
        <w:trPr>
          <w:trHeight w:val="360"/>
        </w:trPr>
        <w:tc>
          <w:tcPr>
            <w:tcW w:w="1968" w:type="dxa"/>
            <w:tcBorders>
              <w:right w:val="single" w:sz="8" w:space="0" w:color="4F81BD"/>
            </w:tcBorders>
            <w:shd w:val="clear" w:color="auto" w:fill="C6D2EB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STAT3</w:t>
            </w:r>
          </w:p>
        </w:tc>
        <w:tc>
          <w:tcPr>
            <w:tcW w:w="3559" w:type="dxa"/>
            <w:tcBorders>
              <w:left w:val="single" w:sz="8" w:space="0" w:color="4F81BD"/>
            </w:tcBorders>
            <w:shd w:val="clear" w:color="auto" w:fill="C6D2EB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CTTTGAGACCGAGGTGTATCACC</w:t>
            </w:r>
          </w:p>
        </w:tc>
        <w:tc>
          <w:tcPr>
            <w:tcW w:w="3559" w:type="dxa"/>
            <w:shd w:val="clear" w:color="auto" w:fill="C6D2EB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GGTCAGCATGTTGTACCACAGG</w:t>
            </w:r>
          </w:p>
        </w:tc>
      </w:tr>
    </w:tbl>
    <w:p w:rsidR="00541AF4" w:rsidRDefault="00541AF4" w:rsidP="00541AF4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41AF4" w:rsidRPr="00310158" w:rsidRDefault="00F86224" w:rsidP="00541AF4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  <w:r w:rsidRPr="00F86224">
        <w:rPr>
          <w:rFonts w:ascii="Palatino Linotype" w:eastAsia="Calibri" w:hAnsi="Palatino Linotype" w:cs="Cordia New"/>
          <w:b/>
          <w:color w:val="000000"/>
          <w:sz w:val="18"/>
          <w:szCs w:val="22"/>
          <w:lang w:eastAsia="de-DE" w:bidi="en-US"/>
        </w:rPr>
        <w:t>Supplementary Table S3.</w:t>
      </w:r>
      <w:r w:rsidRPr="00F86224">
        <w:rPr>
          <w:rFonts w:ascii="Palatino Linotype" w:eastAsia="SimSun" w:hAnsi="Palatino Linotype" w:cs="Times New Roman"/>
          <w:b/>
          <w:noProof/>
          <w:color w:val="000000"/>
          <w:sz w:val="20"/>
          <w:szCs w:val="20"/>
          <w:lang w:eastAsia="zh-CN"/>
        </w:rPr>
        <w:t xml:space="preserve"> </w:t>
      </w:r>
      <w:r w:rsidRPr="00F86224">
        <w:rPr>
          <w:rFonts w:ascii="Palatino Linotype" w:eastAsia="Calibri" w:hAnsi="Palatino Linotype" w:cs="Cordia New"/>
          <w:color w:val="000000"/>
          <w:sz w:val="18"/>
          <w:szCs w:val="22"/>
          <w:lang w:eastAsia="de-DE" w:bidi="en-US"/>
        </w:rPr>
        <w:t>Alphabetical list of primary and secondary antibodies with respective product details and dilution conditions.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942"/>
        <w:gridCol w:w="1134"/>
        <w:gridCol w:w="2551"/>
        <w:gridCol w:w="1560"/>
        <w:gridCol w:w="1417"/>
      </w:tblGrid>
      <w:tr w:rsidR="00F86224" w:rsidRPr="00F86224" w:rsidTr="007243DD">
        <w:trPr>
          <w:trHeight w:val="300"/>
        </w:trPr>
        <w:tc>
          <w:tcPr>
            <w:tcW w:w="9322" w:type="dxa"/>
            <w:gridSpan w:val="6"/>
            <w:tcBorders>
              <w:bottom w:val="single" w:sz="8" w:space="0" w:color="4472C4"/>
            </w:tcBorders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PRIMARY ANTIBODIES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top w:val="single" w:sz="8" w:space="0" w:color="4472C4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Protein target</w:t>
            </w:r>
          </w:p>
        </w:tc>
        <w:tc>
          <w:tcPr>
            <w:tcW w:w="942" w:type="dxa"/>
            <w:tcBorders>
              <w:top w:val="single" w:sz="8" w:space="0" w:color="4472C4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Host</w:t>
            </w:r>
          </w:p>
        </w:tc>
        <w:tc>
          <w:tcPr>
            <w:tcW w:w="1134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Catalog Number</w:t>
            </w:r>
          </w:p>
        </w:tc>
        <w:tc>
          <w:tcPr>
            <w:tcW w:w="2551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Company</w:t>
            </w:r>
          </w:p>
        </w:tc>
        <w:tc>
          <w:tcPr>
            <w:tcW w:w="1560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Dilution buffer</w:t>
            </w:r>
          </w:p>
        </w:tc>
        <w:tc>
          <w:tcPr>
            <w:tcW w:w="1417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Dilution factor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top w:val="single" w:sz="8" w:space="0" w:color="4F81BD"/>
              <w:bottom w:val="nil"/>
              <w:right w:val="single" w:sz="8" w:space="0" w:color="4F81BD"/>
            </w:tcBorders>
            <w:shd w:val="clear" w:color="auto" w:fill="BAC7E5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β-Actin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nil"/>
            </w:tcBorders>
            <w:shd w:val="clear" w:color="auto" w:fill="BAC7E5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Rabbit </w:t>
            </w:r>
          </w:p>
        </w:tc>
        <w:tc>
          <w:tcPr>
            <w:tcW w:w="1134" w:type="dxa"/>
            <w:tcBorders>
              <w:top w:val="single" w:sz="8" w:space="0" w:color="4F81BD"/>
              <w:bottom w:val="nil"/>
            </w:tcBorders>
            <w:shd w:val="clear" w:color="auto" w:fill="BAC7E5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ab119716</w:t>
            </w:r>
          </w:p>
        </w:tc>
        <w:tc>
          <w:tcPr>
            <w:tcW w:w="2551" w:type="dxa"/>
            <w:tcBorders>
              <w:top w:val="single" w:sz="8" w:space="0" w:color="4F81BD"/>
              <w:bottom w:val="nil"/>
            </w:tcBorders>
            <w:shd w:val="clear" w:color="auto" w:fill="BAC7E5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Abcam</w:t>
            </w:r>
          </w:p>
        </w:tc>
        <w:tc>
          <w:tcPr>
            <w:tcW w:w="1560" w:type="dxa"/>
            <w:tcBorders>
              <w:top w:val="single" w:sz="8" w:space="0" w:color="4F81BD"/>
              <w:bottom w:val="nil"/>
            </w:tcBorders>
            <w:shd w:val="clear" w:color="auto" w:fill="BAC7E5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tcBorders>
              <w:top w:val="single" w:sz="8" w:space="0" w:color="4F81BD"/>
              <w:bottom w:val="nil"/>
            </w:tcBorders>
            <w:shd w:val="clear" w:color="auto" w:fill="BAC7E5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1:4000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top w:val="nil"/>
              <w:right w:val="single" w:sz="8" w:space="0" w:color="4F81BD"/>
            </w:tcBorders>
            <w:shd w:val="clear" w:color="auto" w:fill="auto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CCND1</w:t>
            </w:r>
          </w:p>
        </w:tc>
        <w:tc>
          <w:tcPr>
            <w:tcW w:w="942" w:type="dxa"/>
            <w:tcBorders>
              <w:top w:val="nil"/>
              <w:left w:val="single" w:sz="8" w:space="0" w:color="4F81BD"/>
            </w:tcBorders>
            <w:shd w:val="clear" w:color="auto" w:fill="auto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Rabbit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ab134175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Abcam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1:3000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top w:val="nil"/>
              <w:right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CREB</w:t>
            </w:r>
          </w:p>
        </w:tc>
        <w:tc>
          <w:tcPr>
            <w:tcW w:w="942" w:type="dxa"/>
            <w:tcBorders>
              <w:top w:val="nil"/>
              <w:left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Mouse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86B10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Cell Signaling Technology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1:1000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right w:val="single" w:sz="8" w:space="0" w:color="4F81BD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pERK</w:t>
            </w:r>
            <w:proofErr w:type="spellEnd"/>
          </w:p>
        </w:tc>
        <w:tc>
          <w:tcPr>
            <w:tcW w:w="942" w:type="dxa"/>
            <w:tcBorders>
              <w:left w:val="single" w:sz="8" w:space="0" w:color="4F81BD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Rabbit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PA5-37823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ThermoFisher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5% milk in TBST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1:500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right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GAPDH</w:t>
            </w:r>
          </w:p>
        </w:tc>
        <w:tc>
          <w:tcPr>
            <w:tcW w:w="942" w:type="dxa"/>
            <w:tcBorders>
              <w:left w:val="single" w:sz="8" w:space="0" w:color="4472C4"/>
            </w:tcBorders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Mouse</w:t>
            </w:r>
          </w:p>
        </w:tc>
        <w:tc>
          <w:tcPr>
            <w:tcW w:w="1134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CB1001</w:t>
            </w:r>
          </w:p>
        </w:tc>
        <w:tc>
          <w:tcPr>
            <w:tcW w:w="2551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Millipore</w:t>
            </w:r>
          </w:p>
        </w:tc>
        <w:tc>
          <w:tcPr>
            <w:tcW w:w="1560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1:3000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right w:val="single" w:sz="8" w:space="0" w:color="4F81BD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p53</w:t>
            </w:r>
          </w:p>
        </w:tc>
        <w:tc>
          <w:tcPr>
            <w:tcW w:w="942" w:type="dxa"/>
            <w:tcBorders>
              <w:left w:val="single" w:sz="8" w:space="0" w:color="4F81BD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Mouse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1C12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Cell Signaling Technology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1:1000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</w:pPr>
            <w:proofErr w:type="spellStart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pSRC</w:t>
            </w:r>
            <w:proofErr w:type="spellEnd"/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(Y419)</w:t>
            </w:r>
          </w:p>
        </w:tc>
        <w:tc>
          <w:tcPr>
            <w:tcW w:w="942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Rabbit</w:t>
            </w:r>
          </w:p>
        </w:tc>
        <w:tc>
          <w:tcPr>
            <w:tcW w:w="1134" w:type="dxa"/>
            <w:tcBorders>
              <w:bottom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ab185617</w:t>
            </w:r>
          </w:p>
        </w:tc>
        <w:tc>
          <w:tcPr>
            <w:tcW w:w="2551" w:type="dxa"/>
            <w:tcBorders>
              <w:bottom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Abcam</w:t>
            </w:r>
          </w:p>
        </w:tc>
        <w:tc>
          <w:tcPr>
            <w:tcW w:w="1560" w:type="dxa"/>
            <w:tcBorders>
              <w:bottom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4% BSA in TBST</w:t>
            </w:r>
          </w:p>
        </w:tc>
        <w:tc>
          <w:tcPr>
            <w:tcW w:w="1417" w:type="dxa"/>
            <w:tcBorders>
              <w:bottom w:val="single" w:sz="8" w:space="0" w:color="4F81BD"/>
            </w:tcBorders>
            <w:shd w:val="clear" w:color="auto" w:fill="ABBBDE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1:5000</w:t>
            </w:r>
          </w:p>
        </w:tc>
      </w:tr>
      <w:tr w:rsidR="00F86224" w:rsidRPr="00F86224" w:rsidTr="007243DD">
        <w:trPr>
          <w:trHeight w:val="300"/>
        </w:trPr>
        <w:tc>
          <w:tcPr>
            <w:tcW w:w="9322" w:type="dxa"/>
            <w:gridSpan w:val="6"/>
            <w:tcBorders>
              <w:top w:val="single" w:sz="8" w:space="0" w:color="4F81BD"/>
              <w:bottom w:val="single" w:sz="8" w:space="0" w:color="4472C4"/>
            </w:tcBorders>
            <w:shd w:val="clear" w:color="auto" w:fill="auto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SECONDARY ANTIBODIES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top w:val="single" w:sz="8" w:space="0" w:color="4472C4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Species reactivity</w:t>
            </w:r>
          </w:p>
        </w:tc>
        <w:tc>
          <w:tcPr>
            <w:tcW w:w="942" w:type="dxa"/>
            <w:tcBorders>
              <w:top w:val="single" w:sz="8" w:space="0" w:color="4472C4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Class</w:t>
            </w:r>
          </w:p>
        </w:tc>
        <w:tc>
          <w:tcPr>
            <w:tcW w:w="1134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Catalog number</w:t>
            </w:r>
          </w:p>
        </w:tc>
        <w:tc>
          <w:tcPr>
            <w:tcW w:w="2551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Company</w:t>
            </w:r>
          </w:p>
        </w:tc>
        <w:tc>
          <w:tcPr>
            <w:tcW w:w="1560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Dilution buffer</w:t>
            </w:r>
          </w:p>
        </w:tc>
        <w:tc>
          <w:tcPr>
            <w:tcW w:w="1417" w:type="dxa"/>
            <w:tcBorders>
              <w:top w:val="single" w:sz="8" w:space="0" w:color="4472C4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sz w:val="20"/>
                <w:szCs w:val="20"/>
                <w:lang w:eastAsia="de-DE" w:bidi="en-US"/>
              </w:rPr>
              <w:t>Dilution factor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B4C6E7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Mouse</w:t>
            </w:r>
          </w:p>
        </w:tc>
        <w:tc>
          <w:tcPr>
            <w:tcW w:w="942" w:type="dxa"/>
            <w:tcBorders>
              <w:left w:val="single" w:sz="8" w:space="0" w:color="4472C4"/>
            </w:tcBorders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Horse</w:t>
            </w:r>
          </w:p>
        </w:tc>
        <w:tc>
          <w:tcPr>
            <w:tcW w:w="1134" w:type="dxa"/>
            <w:shd w:val="clear" w:color="auto" w:fill="B4C6E7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7076s</w:t>
            </w:r>
          </w:p>
        </w:tc>
        <w:tc>
          <w:tcPr>
            <w:tcW w:w="2551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Cell Signaling Technology</w:t>
            </w:r>
          </w:p>
        </w:tc>
        <w:tc>
          <w:tcPr>
            <w:tcW w:w="1560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shd w:val="clear" w:color="auto" w:fill="B4C6E7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1:5000</w:t>
            </w:r>
          </w:p>
        </w:tc>
      </w:tr>
      <w:tr w:rsidR="00F86224" w:rsidRPr="00F86224" w:rsidTr="007243DD">
        <w:trPr>
          <w:trHeight w:val="300"/>
        </w:trPr>
        <w:tc>
          <w:tcPr>
            <w:tcW w:w="1718" w:type="dxa"/>
            <w:tcBorders>
              <w:right w:val="single" w:sz="8" w:space="0" w:color="4F81BD"/>
            </w:tcBorders>
            <w:shd w:val="clear" w:color="auto" w:fill="FFFFFF"/>
            <w:noWrap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Rabbit</w:t>
            </w:r>
          </w:p>
        </w:tc>
        <w:tc>
          <w:tcPr>
            <w:tcW w:w="942" w:type="dxa"/>
            <w:tcBorders>
              <w:left w:val="single" w:sz="8" w:space="0" w:color="4472C4"/>
            </w:tcBorders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Goat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7074s</w:t>
            </w:r>
          </w:p>
        </w:tc>
        <w:tc>
          <w:tcPr>
            <w:tcW w:w="2551" w:type="dxa"/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Cell Signaling Technology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5% milk in TBST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F86224" w:rsidRPr="00F86224" w:rsidRDefault="00F86224" w:rsidP="00F86224">
            <w:pPr>
              <w:adjustRightInd w:val="0"/>
              <w:snapToGrid w:val="0"/>
              <w:spacing w:line="260" w:lineRule="atLeast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F86224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1:5000</w:t>
            </w:r>
          </w:p>
        </w:tc>
      </w:tr>
    </w:tbl>
    <w:p w:rsidR="00541AF4" w:rsidRPr="003F6DCA" w:rsidRDefault="00541AF4" w:rsidP="00541AF4">
      <w:pPr>
        <w:spacing w:after="20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41AF4" w:rsidRPr="00B86364" w:rsidRDefault="00541AF4" w:rsidP="00541AF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en-US"/>
        </w:rPr>
        <w:lastRenderedPageBreak/>
        <w:drawing>
          <wp:inline distT="0" distB="0" distL="0" distR="0" wp14:anchorId="56B55AD4" wp14:editId="066A5CD9">
            <wp:extent cx="5757507" cy="6934319"/>
            <wp:effectExtent l="0" t="0" r="0" b="0"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C multiple sequence alignment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" t="6334" r="-1278" b="8544"/>
                    <a:stretch/>
                  </pic:blipFill>
                  <pic:spPr bwMode="auto">
                    <a:xfrm>
                      <a:off x="0" y="0"/>
                      <a:ext cx="5757998" cy="693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46B26" w:rsidRPr="006327FC" w:rsidRDefault="00F86224" w:rsidP="006327FC">
      <w:pPr>
        <w:adjustRightInd w:val="0"/>
        <w:snapToGrid w:val="0"/>
        <w:spacing w:before="120" w:after="240" w:line="228" w:lineRule="auto"/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eastAsia="de-DE" w:bidi="en-US"/>
        </w:rPr>
      </w:pPr>
      <w:r w:rsidRPr="00F86224"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eastAsia="de-DE" w:bidi="en-US"/>
        </w:rPr>
        <w:t xml:space="preserve">Supplementary </w:t>
      </w:r>
      <w:r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eastAsia="de-DE" w:bidi="en-US"/>
        </w:rPr>
        <w:t>F</w:t>
      </w:r>
      <w:r w:rsidRPr="00F86224"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eastAsia="de-DE" w:bidi="en-US"/>
        </w:rPr>
        <w:t>igure S1</w:t>
      </w:r>
      <w:r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eastAsia="de-DE" w:bidi="en-US"/>
        </w:rPr>
        <w:t xml:space="preserve">. </w:t>
      </w:r>
      <w:r w:rsidRPr="00F86224">
        <w:rPr>
          <w:rFonts w:ascii="Palatino Linotype" w:eastAsia="Times New Roman" w:hAnsi="Palatino Linotype" w:cs="Times New Roman"/>
          <w:bCs/>
          <w:color w:val="000000"/>
          <w:sz w:val="18"/>
          <w:szCs w:val="20"/>
          <w:lang w:eastAsia="de-DE" w:bidi="en-US"/>
        </w:rPr>
        <w:t>Alignment of multiple SRC protein sequences</w:t>
      </w:r>
      <w:r w:rsidRPr="00F86224">
        <w:rPr>
          <w:rFonts w:ascii="Palatino Linotype" w:eastAsia="Times New Roman" w:hAnsi="Palatino Linotype" w:cs="Times New Roman"/>
          <w:bCs/>
          <w:color w:val="000000"/>
          <w:sz w:val="18"/>
          <w:szCs w:val="20"/>
          <w:lang w:eastAsia="de-DE" w:bidi="en-US"/>
        </w:rPr>
        <w:t>.</w:t>
      </w:r>
      <w:r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eastAsia="de-DE" w:bidi="en-US"/>
        </w:rPr>
        <w:t xml:space="preserve"> </w:t>
      </w:r>
      <w:r w:rsidRPr="00F86224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 xml:space="preserve">SRC protein sequences were downloaded from </w:t>
      </w:r>
      <w:proofErr w:type="spellStart"/>
      <w:r w:rsidRPr="00F86224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>Ensembl</w:t>
      </w:r>
      <w:proofErr w:type="spellEnd"/>
      <w:r w:rsidRPr="00F86224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 xml:space="preserve"> (GRCh37/hg19) for human (ENST00000373578.2), cow (ENSBTAT00000011767.3), mouse (ENSMUST00000029175.7), chicken (ENSGALT00000006127.2), cat (ENSFCAT00000006993.2) and </w:t>
      </w:r>
      <w:r w:rsidR="006327FC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>z</w:t>
      </w:r>
      <w:r w:rsidRPr="00F86224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 xml:space="preserve">ebra fish (ENSDART00000102843.4) and respectively aligned. Sequence alignment indicates an overall strong conservation of SRC across the species. The amino acid residue affected by the </w:t>
      </w:r>
      <w:r w:rsidRPr="00F86224">
        <w:rPr>
          <w:rFonts w:ascii="Palatino Linotype" w:eastAsia="Times New Roman" w:hAnsi="Palatino Linotype" w:cs="Times New Roman"/>
          <w:i/>
          <w:color w:val="000000"/>
          <w:sz w:val="18"/>
          <w:szCs w:val="20"/>
          <w:lang w:eastAsia="de-DE" w:bidi="en-US"/>
        </w:rPr>
        <w:t>SRC</w:t>
      </w:r>
      <w:r w:rsidRPr="00F86224">
        <w:rPr>
          <w:rFonts w:ascii="Palatino Linotype" w:eastAsia="Times New Roman" w:hAnsi="Palatino Linotype" w:cs="Times New Roman"/>
          <w:i/>
          <w:color w:val="000000"/>
          <w:sz w:val="18"/>
          <w:szCs w:val="20"/>
          <w:vertAlign w:val="superscript"/>
          <w:lang w:eastAsia="de-DE" w:bidi="en-US"/>
        </w:rPr>
        <w:t>V177M</w:t>
      </w:r>
      <w:r w:rsidRPr="00F86224"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  <w:t xml:space="preserve"> variant is colored in red.</w:t>
      </w:r>
    </w:p>
    <w:sectPr w:rsidR="00F46B26" w:rsidRPr="006327FC" w:rsidSect="0078067E">
      <w:pgSz w:w="11900" w:h="16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AF4"/>
    <w:rsid w:val="00541AF4"/>
    <w:rsid w:val="006327FC"/>
    <w:rsid w:val="00783D0B"/>
    <w:rsid w:val="00935EFE"/>
    <w:rsid w:val="00F46B26"/>
    <w:rsid w:val="00F8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782809"/>
  <w14:defaultImageDpi w14:val="300"/>
  <w15:docId w15:val="{115FBE83-3576-5749-8209-1A4A5AD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AF4"/>
    <w:rPr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541A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AF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AF4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Obul Bandapalli</dc:creator>
  <cp:keywords/>
  <dc:description/>
  <cp:lastModifiedBy>Diamanto Skopelitou</cp:lastModifiedBy>
  <cp:revision>2</cp:revision>
  <dcterms:created xsi:type="dcterms:W3CDTF">2020-10-29T09:59:00Z</dcterms:created>
  <dcterms:modified xsi:type="dcterms:W3CDTF">2021-02-25T20:22:00Z</dcterms:modified>
</cp:coreProperties>
</file>