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F79F0" w14:textId="4BC74CD9" w:rsidR="00586BAD" w:rsidRPr="00BA43B4" w:rsidRDefault="007A1BA9" w:rsidP="00BA43B4">
      <w:pPr>
        <w:rPr>
          <w:b/>
          <w:bCs/>
          <w:lang w:val="en-US"/>
        </w:rPr>
      </w:pPr>
      <w:r w:rsidRPr="00BA43B4">
        <w:rPr>
          <w:b/>
          <w:bCs/>
          <w:lang w:val="en-US"/>
        </w:rPr>
        <w:t xml:space="preserve">Supplement to Zapata </w:t>
      </w:r>
      <w:r w:rsidR="00BA43B4" w:rsidRPr="00BA43B4">
        <w:rPr>
          <w:b/>
          <w:bCs/>
          <w:lang w:val="en-US"/>
        </w:rPr>
        <w:t>et al.:</w:t>
      </w:r>
      <w:r w:rsidRPr="00BA43B4">
        <w:rPr>
          <w:b/>
          <w:bCs/>
          <w:lang w:val="en-US"/>
        </w:rPr>
        <w:t xml:space="preserve"> «</w:t>
      </w:r>
      <w:r w:rsidR="00BA43B4" w:rsidRPr="00BA43B4">
        <w:rPr>
          <w:b/>
          <w:bCs/>
          <w:lang w:val="en-US"/>
        </w:rPr>
        <w:t xml:space="preserve"> </w:t>
      </w:r>
      <w:r w:rsidR="00BA43B4" w:rsidRPr="00BA43B4">
        <w:rPr>
          <w:b/>
          <w:bCs/>
          <w:i/>
          <w:iCs/>
          <w:lang w:val="en-US"/>
        </w:rPr>
        <w:t>Combining business model innovation and system dynamics under deep uncertainty of low-carbon transitions – a case study on industrial electrification and power grid management</w:t>
      </w:r>
      <w:r w:rsidRPr="00BA43B4">
        <w:rPr>
          <w:b/>
          <w:bCs/>
          <w:lang w:val="en-US"/>
        </w:rPr>
        <w:t>» - Extended methods</w:t>
      </w:r>
    </w:p>
    <w:p w14:paraId="7175D8BF" w14:textId="5C2FB86B" w:rsidR="007A1BA9" w:rsidRPr="007A1BA9" w:rsidRDefault="004B6612" w:rsidP="004B6612">
      <w:pPr>
        <w:pStyle w:val="berschrift1"/>
        <w:ind w:left="360"/>
        <w:rPr>
          <w:lang w:val="en-US"/>
        </w:rPr>
      </w:pPr>
      <w:r>
        <w:rPr>
          <w:lang w:val="en-US"/>
        </w:rPr>
        <w:t xml:space="preserve">S1. </w:t>
      </w:r>
      <w:r w:rsidR="007A1BA9">
        <w:rPr>
          <w:lang w:val="en-US"/>
        </w:rPr>
        <w:t>Definition of use cases for flexible electrification technologies</w:t>
      </w:r>
    </w:p>
    <w:p w14:paraId="5945CE6B" w14:textId="0CB0CFB8" w:rsidR="009E2253" w:rsidRDefault="007505AE" w:rsidP="007505AE">
      <w:pPr>
        <w:rPr>
          <w:rFonts w:eastAsiaTheme="minorEastAsia"/>
          <w:lang w:val="en-US"/>
        </w:rPr>
      </w:pPr>
      <w:r>
        <w:rPr>
          <w:lang w:val="en-US"/>
        </w:rPr>
        <w:t>For all use cases, the payback period [years] is calculated by dividing the investment cost [€] by the annual cash flow [€/year], i.e. the sum of costs and revenues</w:t>
      </w:r>
      <w:r w:rsidR="00394F2D">
        <w:rPr>
          <w:lang w:val="en-US"/>
        </w:rPr>
        <w:t xml:space="preserve"> from the flexibility technolog</w:t>
      </w:r>
      <w:r w:rsidR="00922925">
        <w:rPr>
          <w:lang w:val="en-US"/>
        </w:rPr>
        <w:t>y.</w:t>
      </w:r>
      <w:r w:rsidR="009E2253">
        <w:rPr>
          <w:lang w:val="en-US"/>
        </w:rPr>
        <w:t xml:space="preserve"> The investment costs for the three technologies are given in Table </w:t>
      </w:r>
      <w:r w:rsidR="00BA43B4">
        <w:rPr>
          <w:lang w:val="en-US"/>
        </w:rPr>
        <w:t>2</w:t>
      </w:r>
      <w:r w:rsidR="009E2253">
        <w:rPr>
          <w:lang w:val="en-US"/>
        </w:rPr>
        <w:t xml:space="preserve"> of the main document. In addition, customers subscribing to the Power Alliance offer pay the installation costs of the smart control system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inv,smart</m:t>
            </m:r>
          </m:sub>
        </m:sSub>
      </m:oMath>
      <w:r w:rsidR="009E2253">
        <w:rPr>
          <w:rFonts w:eastAsiaTheme="minorEastAsia"/>
          <w:lang w:val="en-US"/>
        </w:rPr>
        <w:t>, set to a default v</w:t>
      </w:r>
      <w:proofErr w:type="spellStart"/>
      <w:r w:rsidR="009E2253">
        <w:rPr>
          <w:rFonts w:eastAsiaTheme="minorEastAsia"/>
          <w:lang w:val="en-US"/>
        </w:rPr>
        <w:t>alue</w:t>
      </w:r>
      <w:proofErr w:type="spellEnd"/>
      <w:r w:rsidR="009E2253">
        <w:rPr>
          <w:rFonts w:eastAsiaTheme="minorEastAsia"/>
          <w:lang w:val="en-US"/>
        </w:rPr>
        <w:t xml:space="preserve"> of €300.</w:t>
      </w:r>
    </w:p>
    <w:p w14:paraId="660CBDBA" w14:textId="77777777" w:rsidR="007505AE" w:rsidRDefault="00922925" w:rsidP="007505AE">
      <w:pPr>
        <w:rPr>
          <w:lang w:val="en-US"/>
        </w:rPr>
      </w:pPr>
      <w:r>
        <w:rPr>
          <w:lang w:val="en-US"/>
        </w:rPr>
        <w:t xml:space="preserve"> In all cases, the</w:t>
      </w:r>
      <w:r w:rsidR="00605DDA">
        <w:rPr>
          <w:lang w:val="en-US"/>
        </w:rPr>
        <w:t xml:space="preserve"> annual</w:t>
      </w:r>
      <w:r>
        <w:rPr>
          <w:lang w:val="en-US"/>
        </w:rPr>
        <w:t xml:space="preserve"> costs are </w:t>
      </w:r>
      <w:r w:rsidR="00AB0ACC">
        <w:rPr>
          <w:lang w:val="en-US"/>
        </w:rPr>
        <w:t xml:space="preserve">the sum of operational expenditures (assumed to be 2% of investment costs annually) and the per-capacity grid tariff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grid,cap</m:t>
            </m:r>
          </m:sub>
        </m:sSub>
      </m:oMath>
      <w:r w:rsidR="00AB0ACC">
        <w:rPr>
          <w:lang w:val="en-US"/>
        </w:rPr>
        <w:t>, which is defined as follows:</w:t>
      </w:r>
    </w:p>
    <w:p w14:paraId="11D78721" w14:textId="5BFA176D" w:rsidR="00AB0ACC" w:rsidRDefault="004B6612" w:rsidP="007505AE">
      <w:pPr>
        <w:rPr>
          <w:rFonts w:eastAsiaTheme="minorEastAsia"/>
          <w:lang w:val="en-US"/>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grid,cap</m:t>
            </m:r>
          </m:sub>
        </m:sSub>
        <m:r>
          <w:rPr>
            <w:rFonts w:ascii="Cambria Math" w:hAnsi="Cambria Math"/>
            <w:lang w:val="en-US"/>
          </w:rPr>
          <m:t>=C×</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grid,ST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PAT</m:t>
            </m:r>
          </m:sub>
        </m:sSub>
      </m:oMath>
      <w:r w:rsidR="00AB0ACC">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1</w:t>
      </w:r>
      <w:r w:rsidR="00BA43B4" w:rsidRPr="00BA43B4">
        <w:rPr>
          <w:rFonts w:eastAsiaTheme="minorEastAsia"/>
          <w:lang w:val="en-US"/>
        </w:rPr>
        <w:fldChar w:fldCharType="end"/>
      </w:r>
      <w:r w:rsidR="00BA43B4" w:rsidRPr="00BA43B4">
        <w:rPr>
          <w:rFonts w:eastAsiaTheme="minorEastAsia"/>
          <w:lang w:val="en-US"/>
        </w:rPr>
        <w:t>)</w:t>
      </w:r>
    </w:p>
    <w:p w14:paraId="1467A873" w14:textId="714AF921" w:rsidR="00AB0ACC" w:rsidRDefault="00AB0ACC" w:rsidP="007505AE">
      <w:pPr>
        <w:rPr>
          <w:lang w:val="en-US"/>
        </w:rPr>
      </w:pPr>
      <w:r>
        <w:rPr>
          <w:rFonts w:eastAsiaTheme="minorEastAsia"/>
          <w:lang w:val="en-US"/>
        </w:rPr>
        <w:t xml:space="preserve">where </w:t>
      </w:r>
      <m:oMath>
        <m:r>
          <w:rPr>
            <w:rFonts w:ascii="Cambria Math" w:hAnsi="Cambria Math"/>
            <w:lang w:val="en-US"/>
          </w:rPr>
          <m:t>C</m:t>
        </m:r>
      </m:oMath>
      <w:r>
        <w:rPr>
          <w:rFonts w:eastAsiaTheme="minorEastAsia"/>
          <w:lang w:val="en-US"/>
        </w:rPr>
        <w:t xml:space="preserve"> is the capacity of the flexibility installation (set to 500 kW for all three technologies, see Table </w:t>
      </w:r>
      <w:r w:rsidR="00BA43B4">
        <w:rPr>
          <w:rFonts w:eastAsiaTheme="minorEastAsia"/>
          <w:lang w:val="en-US"/>
        </w:rPr>
        <w:t>2</w:t>
      </w:r>
      <w:r>
        <w:rPr>
          <w:rFonts w:eastAsiaTheme="minorEastAsia"/>
          <w:lang w:val="en-US"/>
        </w:rPr>
        <w:t xml:space="preserve"> in the main document),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grid,ST</m:t>
            </m:r>
          </m:sub>
        </m:sSub>
      </m:oMath>
      <w:r>
        <w:rPr>
          <w:rFonts w:eastAsiaTheme="minorEastAsia"/>
          <w:lang w:val="en-US"/>
        </w:rPr>
        <w:t xml:space="preserve"> the standard </w:t>
      </w:r>
      <w:r w:rsidR="0075573D">
        <w:rPr>
          <w:rFonts w:eastAsiaTheme="minorEastAsia"/>
          <w:lang w:val="en-US"/>
        </w:rPr>
        <w:t xml:space="preserve">per-capacity grid tariff (set to a default value of 70 €/kW) and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PAT</m:t>
            </m:r>
          </m:sub>
        </m:sSub>
      </m:oMath>
      <w:r w:rsidR="0075573D">
        <w:rPr>
          <w:rFonts w:eastAsiaTheme="minorEastAsia"/>
          <w:lang w:val="en-US"/>
        </w:rPr>
        <w:t xml:space="preserve"> [-] the fraction of grid tariff paid by the users subscribing to the Power Alliance offer. For customers that are not subscribing to this offer,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PAT</m:t>
            </m:r>
          </m:sub>
        </m:sSub>
      </m:oMath>
      <w:r w:rsidR="0075573D">
        <w:rPr>
          <w:rFonts w:eastAsiaTheme="minorEastAsia"/>
          <w:lang w:val="en-US"/>
        </w:rPr>
        <w:t xml:space="preserve"> equals 1, whereas for the Power Alliance customers,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PAT</m:t>
            </m:r>
          </m:sub>
        </m:sSub>
      </m:oMath>
      <w:r w:rsidR="0075573D">
        <w:rPr>
          <w:rFonts w:eastAsiaTheme="minorEastAsia"/>
          <w:lang w:val="en-US"/>
        </w:rPr>
        <w:t xml:space="preserve"> is set to a default value of 0.1.</w:t>
      </w:r>
    </w:p>
    <w:p w14:paraId="67B604BD" w14:textId="64444ADE" w:rsidR="007505AE" w:rsidRDefault="007505AE" w:rsidP="007505AE">
      <w:pPr>
        <w:pStyle w:val="Untertitel"/>
        <w:rPr>
          <w:lang w:val="en-US"/>
        </w:rPr>
      </w:pPr>
      <w:r>
        <w:rPr>
          <w:lang w:val="en-US"/>
        </w:rPr>
        <w:t>Power-to-Heat (</w:t>
      </w:r>
      <w:proofErr w:type="spellStart"/>
      <w:r>
        <w:rPr>
          <w:lang w:val="en-US"/>
        </w:rPr>
        <w:t>PtH</w:t>
      </w:r>
      <w:proofErr w:type="spellEnd"/>
      <w:r>
        <w:rPr>
          <w:lang w:val="en-US"/>
        </w:rPr>
        <w:t>)</w:t>
      </w:r>
    </w:p>
    <w:p w14:paraId="4CE0B302" w14:textId="2AF9056F" w:rsidR="007505AE" w:rsidRDefault="007505AE" w:rsidP="007505AE">
      <w:pPr>
        <w:rPr>
          <w:lang w:val="en-US"/>
        </w:rPr>
      </w:pPr>
      <w:r>
        <w:rPr>
          <w:lang w:val="en-US"/>
        </w:rPr>
        <w:t xml:space="preserve">The </w:t>
      </w:r>
      <w:proofErr w:type="spellStart"/>
      <w:r>
        <w:rPr>
          <w:lang w:val="en-US"/>
        </w:rPr>
        <w:t>PtH</w:t>
      </w:r>
      <w:proofErr w:type="spellEnd"/>
      <w:r>
        <w:rPr>
          <w:lang w:val="en-US"/>
        </w:rPr>
        <w:t xml:space="preserve"> use case considers a system with a time-invariant investment cost of € 50’000</w:t>
      </w:r>
      <w:r w:rsidR="00922925">
        <w:rPr>
          <w:lang w:val="en-US"/>
        </w:rPr>
        <w:t xml:space="preserve">, used to replace a gas boiler for the paper industry. </w:t>
      </w:r>
      <w:r w:rsidR="009E2253">
        <w:rPr>
          <w:lang w:val="en-US"/>
        </w:rPr>
        <w:t xml:space="preserve">The yearly revenues of this investment </w:t>
      </w:r>
      <w:r w:rsidR="000415F3">
        <w:rPr>
          <w:lang w:val="en-US"/>
        </w:rPr>
        <w:t xml:space="preserve">are given by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saved</m:t>
            </m:r>
          </m:sub>
        </m:sSub>
      </m:oMath>
      <w:r w:rsidR="000415F3">
        <w:rPr>
          <w:rFonts w:eastAsiaTheme="minorEastAsia"/>
          <w:lang w:val="en-US"/>
        </w:rPr>
        <w:t>,</w:t>
      </w:r>
      <w:r w:rsidR="009E2253">
        <w:rPr>
          <w:lang w:val="en-US"/>
        </w:rPr>
        <w:t xml:space="preserve"> the amount of money saved in comparison to the reference case, i.e. if the customer covered 100% of their heat demand with the gas boiler</w:t>
      </w:r>
      <w:r w:rsidR="000415F3">
        <w:rPr>
          <w:lang w:val="en-US"/>
        </w:rPr>
        <w:t>:</w:t>
      </w:r>
    </w:p>
    <w:p w14:paraId="6340203A" w14:textId="24618E56" w:rsidR="000415F3" w:rsidRDefault="004B6612" w:rsidP="007505AE">
      <w:pPr>
        <w:rPr>
          <w:rFonts w:eastAsiaTheme="minorEastAsia"/>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saved, PtH</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boiler</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PtH</m:t>
            </m:r>
          </m:sub>
        </m:sSub>
      </m:oMath>
      <w:r w:rsidR="0081785B">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673E8F">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2</w:t>
      </w:r>
      <w:r w:rsidR="00BA43B4" w:rsidRPr="00BA43B4">
        <w:rPr>
          <w:rFonts w:eastAsiaTheme="minorEastAsia"/>
          <w:lang w:val="en-US"/>
        </w:rPr>
        <w:fldChar w:fldCharType="end"/>
      </w:r>
      <w:r w:rsidR="00BA43B4" w:rsidRPr="00BA43B4">
        <w:rPr>
          <w:rFonts w:eastAsiaTheme="minorEastAsia"/>
          <w:lang w:val="en-US"/>
        </w:rPr>
        <w:t>)</w:t>
      </w:r>
    </w:p>
    <w:p w14:paraId="2E213C5E" w14:textId="55B014EB" w:rsidR="008660FA" w:rsidRDefault="000415F3" w:rsidP="007505AE">
      <w:pPr>
        <w:rPr>
          <w:rFonts w:eastAsiaTheme="minorEastAsia"/>
          <w:lang w:val="en-US"/>
        </w:rPr>
      </w:pPr>
      <w:r>
        <w:rPr>
          <w:rFonts w:eastAsiaTheme="minorEastAsia"/>
          <w:lang w:val="en-US"/>
        </w:rPr>
        <w:t xml:space="preserve">where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PtH</m:t>
            </m:r>
          </m:sub>
        </m:sSub>
      </m:oMath>
      <w:r>
        <w:rPr>
          <w:rFonts w:eastAsiaTheme="minorEastAsia"/>
          <w:lang w:val="en-US"/>
        </w:rPr>
        <w:t xml:space="preserve"> is the cost of producing heat with the PtH system</w:t>
      </w:r>
      <w:r w:rsidR="008660FA">
        <w:rPr>
          <w:rFonts w:eastAsiaTheme="minorEastAsia"/>
          <w:lang w:val="en-US"/>
        </w:rPr>
        <w:t>, and</w:t>
      </w:r>
      <w:r>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boiler</m:t>
            </m:r>
          </m:sub>
        </m:sSub>
      </m:oMath>
      <w:r>
        <w:rPr>
          <w:rFonts w:eastAsiaTheme="minorEastAsia"/>
          <w:lang w:val="en-US"/>
        </w:rPr>
        <w:t xml:space="preserve"> </w:t>
      </w:r>
      <w:r w:rsidR="008660FA">
        <w:rPr>
          <w:rFonts w:eastAsiaTheme="minorEastAsia"/>
          <w:lang w:val="en-US"/>
        </w:rPr>
        <w:t>is</w:t>
      </w:r>
      <w:r>
        <w:rPr>
          <w:rFonts w:eastAsiaTheme="minorEastAsia"/>
          <w:lang w:val="en-US"/>
        </w:rPr>
        <w:t xml:space="preserve"> the cost to produce the same amount of heat as with the </w:t>
      </w:r>
      <w:r w:rsidR="008660FA">
        <w:rPr>
          <w:rFonts w:eastAsiaTheme="minorEastAsia"/>
          <w:lang w:val="en-US"/>
        </w:rPr>
        <w:t xml:space="preserve">gas boiler. The amount of heat replaced by the </w:t>
      </w:r>
      <w:proofErr w:type="spellStart"/>
      <w:r w:rsidR="008660FA">
        <w:rPr>
          <w:rFonts w:eastAsiaTheme="minorEastAsia"/>
          <w:lang w:val="en-US"/>
        </w:rPr>
        <w:t>P</w:t>
      </w:r>
      <w:r w:rsidR="00673E8F">
        <w:rPr>
          <w:rFonts w:eastAsiaTheme="minorEastAsia"/>
          <w:lang w:val="en-US"/>
        </w:rPr>
        <w:t>t</w:t>
      </w:r>
      <w:r w:rsidR="008660FA">
        <w:rPr>
          <w:rFonts w:eastAsiaTheme="minorEastAsia"/>
          <w:lang w:val="en-US"/>
        </w:rPr>
        <w:t>H</w:t>
      </w:r>
      <w:proofErr w:type="spellEnd"/>
      <w:r w:rsidR="008660FA">
        <w:rPr>
          <w:rFonts w:eastAsiaTheme="minorEastAsia"/>
          <w:lang w:val="en-US"/>
        </w:rPr>
        <w:t xml:space="preserve"> system (</w:t>
      </w:r>
      <m:oMath>
        <m:sSub>
          <m:sSubPr>
            <m:ctrlPr>
              <w:rPr>
                <w:rFonts w:ascii="Cambria Math" w:eastAsiaTheme="minorEastAsia" w:hAnsi="Cambria Math"/>
                <w:i/>
                <w:lang w:val="en-US"/>
              </w:rPr>
            </m:ctrlPr>
          </m:sSubPr>
          <m:e>
            <m:r>
              <w:rPr>
                <w:rFonts w:ascii="Cambria Math" w:eastAsiaTheme="minorEastAsia" w:hAnsi="Cambria Math"/>
                <w:lang w:val="en-US"/>
              </w:rPr>
              <m:t>E</m:t>
            </m:r>
          </m:e>
          <m:sub>
            <m:r>
              <w:rPr>
                <w:rFonts w:ascii="Cambria Math" w:eastAsiaTheme="minorEastAsia" w:hAnsi="Cambria Math"/>
                <w:lang w:val="en-US"/>
              </w:rPr>
              <m:t>PtH</m:t>
            </m:r>
          </m:sub>
        </m:sSub>
      </m:oMath>
      <w:r w:rsidR="008660FA">
        <w:rPr>
          <w:rFonts w:eastAsiaTheme="minorEastAsia"/>
          <w:lang w:val="en-US"/>
        </w:rPr>
        <w:t xml:space="preserve"> [kWh/year]) depends on its installed capacity </w:t>
      </w:r>
      <m:oMath>
        <m:r>
          <w:rPr>
            <w:rFonts w:ascii="Cambria Math" w:hAnsi="Cambria Math"/>
            <w:lang w:val="en-US"/>
          </w:rPr>
          <m:t>C</m:t>
        </m:r>
      </m:oMath>
      <w:r w:rsidR="008660FA">
        <w:rPr>
          <w:rFonts w:eastAsiaTheme="minorEastAsia"/>
          <w:lang w:val="en-US"/>
        </w:rPr>
        <w:t xml:space="preserve"> [kW] (see Table </w:t>
      </w:r>
      <w:r w:rsidR="00673E8F">
        <w:rPr>
          <w:rFonts w:eastAsiaTheme="minorEastAsia"/>
          <w:lang w:val="en-US"/>
        </w:rPr>
        <w:t>2</w:t>
      </w:r>
      <w:r w:rsidR="008660FA">
        <w:rPr>
          <w:rFonts w:eastAsiaTheme="minorEastAsia"/>
          <w:lang w:val="en-US"/>
        </w:rPr>
        <w:t xml:space="preserve"> of the main document), running time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running</m:t>
            </m:r>
          </m:sub>
        </m:sSub>
      </m:oMath>
      <w:r w:rsidR="008660FA">
        <w:rPr>
          <w:rFonts w:eastAsiaTheme="minorEastAsia"/>
          <w:lang w:val="en-US"/>
        </w:rPr>
        <w:t xml:space="preserve"> (default value 6’000 hours/year) and efficiency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PtH</m:t>
            </m:r>
          </m:sub>
        </m:sSub>
      </m:oMath>
      <w:r w:rsidR="008660FA">
        <w:rPr>
          <w:rFonts w:eastAsiaTheme="minorEastAsia"/>
          <w:lang w:val="en-US"/>
        </w:rPr>
        <w:t xml:space="preserve"> (default value 97%):</w:t>
      </w:r>
    </w:p>
    <w:p w14:paraId="4C15C02F" w14:textId="4D9E35A2" w:rsidR="008660FA" w:rsidRDefault="004B6612" w:rsidP="007505AE">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E</m:t>
            </m:r>
          </m:e>
          <m:sub>
            <m:r>
              <w:rPr>
                <w:rFonts w:ascii="Cambria Math" w:eastAsiaTheme="minorEastAsia" w:hAnsi="Cambria Math"/>
                <w:lang w:val="en-US"/>
              </w:rPr>
              <m:t>PtH</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C×</m:t>
            </m:r>
            <m:sSub>
              <m:sSubPr>
                <m:ctrlPr>
                  <w:rPr>
                    <w:rFonts w:ascii="Cambria Math" w:eastAsiaTheme="minorEastAsia" w:hAnsi="Cambria Math"/>
                    <w:i/>
                    <w:lang w:val="en-US"/>
                  </w:rPr>
                </m:ctrlPr>
              </m:sSubPr>
              <m:e>
                <m:r>
                  <w:rPr>
                    <w:rFonts w:ascii="Cambria Math" w:eastAsiaTheme="minorEastAsia" w:hAnsi="Cambria Math"/>
                    <w:lang w:val="en-US"/>
                  </w:rPr>
                  <m:t>H</m:t>
                </m:r>
              </m:e>
              <m:sub>
                <m:r>
                  <w:rPr>
                    <w:rFonts w:ascii="Cambria Math" w:eastAsiaTheme="minorEastAsia" w:hAnsi="Cambria Math"/>
                    <w:lang w:val="en-US"/>
                  </w:rPr>
                  <m:t>running</m:t>
                </m:r>
              </m:sub>
            </m:sSub>
          </m:num>
          <m:den>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PtH</m:t>
                </m:r>
              </m:sub>
            </m:sSub>
          </m:den>
        </m:f>
      </m:oMath>
      <w:r w:rsidR="0081785B">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3</w:t>
      </w:r>
      <w:r w:rsidR="00BA43B4" w:rsidRPr="00BA43B4">
        <w:rPr>
          <w:rFonts w:eastAsiaTheme="minorEastAsia"/>
          <w:lang w:val="en-US"/>
        </w:rPr>
        <w:fldChar w:fldCharType="end"/>
      </w:r>
      <w:r w:rsidR="00BA43B4" w:rsidRPr="00BA43B4">
        <w:rPr>
          <w:rFonts w:eastAsiaTheme="minorEastAsia"/>
          <w:lang w:val="en-US"/>
        </w:rPr>
        <w:t>)</w:t>
      </w:r>
    </w:p>
    <w:p w14:paraId="797AA356" w14:textId="517C6B18" w:rsidR="000415F3" w:rsidRDefault="0081785B" w:rsidP="007505AE">
      <w:pPr>
        <w:rPr>
          <w:lang w:val="en-US"/>
        </w:rPr>
      </w:pPr>
      <w:r>
        <w:rPr>
          <w:rFonts w:eastAsiaTheme="minorEastAsia"/>
          <w:lang w:val="en-US"/>
        </w:rPr>
        <w:t xml:space="preserve">The cost for producing this energy with the </w:t>
      </w:r>
      <w:proofErr w:type="spellStart"/>
      <w:r>
        <w:rPr>
          <w:rFonts w:eastAsiaTheme="minorEastAsia"/>
          <w:lang w:val="en-US"/>
        </w:rPr>
        <w:t>PtH</w:t>
      </w:r>
      <w:proofErr w:type="spellEnd"/>
      <w:r>
        <w:rPr>
          <w:rFonts w:eastAsiaTheme="minorEastAsia"/>
          <w:lang w:val="en-US"/>
        </w:rPr>
        <w:t xml:space="preserve"> system further depends on the</w:t>
      </w:r>
      <w:r w:rsidR="008660FA">
        <w:rPr>
          <w:rFonts w:eastAsiaTheme="minorEastAsia"/>
          <w:lang w:val="en-US"/>
        </w:rPr>
        <w:t xml:space="preserve"> electricity price</w:t>
      </w:r>
      <w:r w:rsidR="00BF09EF">
        <w:rPr>
          <w:rFonts w:eastAsiaTheme="minorEastAsia"/>
          <w:lang w:val="en-US"/>
        </w:rPr>
        <w:t xml:space="preserve"> effectively paid by the customer,</w:t>
      </w:r>
      <w:r w:rsidR="008660FA">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 eff</m:t>
            </m:r>
          </m:sub>
        </m:sSub>
      </m:oMath>
      <w:r w:rsidR="008660FA">
        <w:rPr>
          <w:rFonts w:eastAsiaTheme="minorEastAsia"/>
          <w:lang w:val="en-US"/>
        </w:rPr>
        <w:t xml:space="preserve"> </w:t>
      </w:r>
      <w:r w:rsidR="008660FA">
        <w:rPr>
          <w:lang w:val="en-US"/>
        </w:rPr>
        <w:t>[€/kWh]</w:t>
      </w:r>
      <w:r w:rsidR="00BF09EF">
        <w:rPr>
          <w:lang w:val="en-US"/>
        </w:rPr>
        <w:t>:</w:t>
      </w:r>
    </w:p>
    <w:p w14:paraId="70D91965" w14:textId="332F40ED" w:rsidR="0081785B" w:rsidRDefault="004B6612" w:rsidP="007505AE">
      <w:pPr>
        <w:rPr>
          <w:rFonts w:eastAsiaTheme="minorEastAsia"/>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PtH</m:t>
            </m:r>
          </m:sub>
        </m:sSub>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E</m:t>
            </m:r>
          </m:e>
          <m:sub>
            <m:r>
              <w:rPr>
                <w:rFonts w:ascii="Cambria Math" w:eastAsiaTheme="minorEastAsia" w:hAnsi="Cambria Math"/>
                <w:lang w:val="en-US"/>
              </w:rPr>
              <m:t>PtH</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el,eff</m:t>
            </m:r>
          </m:sub>
        </m:sSub>
      </m:oMath>
      <w:r w:rsidR="0081785B">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673E8F">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4</w:t>
      </w:r>
      <w:r w:rsidR="00BA43B4" w:rsidRPr="00BA43B4">
        <w:rPr>
          <w:rFonts w:eastAsiaTheme="minorEastAsia"/>
          <w:lang w:val="en-US"/>
        </w:rPr>
        <w:fldChar w:fldCharType="end"/>
      </w:r>
      <w:r w:rsidR="00BA43B4" w:rsidRPr="00BA43B4">
        <w:rPr>
          <w:rFonts w:eastAsiaTheme="minorEastAsia"/>
          <w:lang w:val="en-US"/>
        </w:rPr>
        <w:t>)</w:t>
      </w:r>
    </w:p>
    <w:p w14:paraId="53B01AF8" w14:textId="4A360E37" w:rsidR="0081785B" w:rsidRDefault="005861B7" w:rsidP="007505AE">
      <w:pPr>
        <w:rPr>
          <w:rFonts w:eastAsiaTheme="minorEastAsia"/>
          <w:lang w:val="en-US"/>
        </w:rPr>
      </w:pPr>
      <w:r>
        <w:rPr>
          <w:lang w:val="en-US"/>
        </w:rPr>
        <w:t xml:space="preserve">The effective electricity price corresponds to the wholesale electricity price (see Sect. </w:t>
      </w:r>
      <w:r w:rsidR="002C06D5">
        <w:rPr>
          <w:lang w:val="en-US"/>
        </w:rPr>
        <w:t xml:space="preserve">S3 </w:t>
      </w:r>
      <w:r>
        <w:rPr>
          <w:lang w:val="en-US"/>
        </w:rPr>
        <w:t xml:space="preserve">below), minus the fraction of electricity consumption coming from own renewable sources, which is assumed to come at no cost. </w:t>
      </w:r>
      <w:r w:rsidR="0081785B">
        <w:rPr>
          <w:rFonts w:eastAsiaTheme="minorEastAsia"/>
          <w:lang w:val="en-US"/>
        </w:rPr>
        <w:t>The cost for producing the same amount of energy with the gas boiler is given by:</w:t>
      </w:r>
    </w:p>
    <w:p w14:paraId="26078FDC" w14:textId="460CBA55" w:rsidR="0081785B" w:rsidRDefault="004B6612" w:rsidP="007505AE">
      <w:pPr>
        <w:rPr>
          <w:rFonts w:eastAsiaTheme="minorEastAsia"/>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boiler</m:t>
            </m:r>
          </m:sub>
        </m:sSub>
        <m:r>
          <w:rPr>
            <w:rFonts w:ascii="Cambria Math"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E</m:t>
                </m:r>
              </m:e>
              <m:sub>
                <m:r>
                  <w:rPr>
                    <w:rFonts w:ascii="Cambria Math" w:eastAsiaTheme="minorEastAsia" w:hAnsi="Cambria Math"/>
                    <w:lang w:val="en-US"/>
                  </w:rPr>
                  <m:t>PtH</m:t>
                </m:r>
              </m:sub>
            </m:sSub>
          </m:num>
          <m:den>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boiler</m:t>
                </m:r>
              </m:sub>
            </m:sSub>
          </m:den>
        </m:f>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gas</m:t>
            </m:r>
          </m:sub>
        </m:sSub>
      </m:oMath>
      <w:r w:rsidR="0081785B">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673E8F">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5</w:t>
      </w:r>
      <w:r w:rsidR="00BA43B4" w:rsidRPr="00BA43B4">
        <w:rPr>
          <w:rFonts w:eastAsiaTheme="minorEastAsia"/>
          <w:lang w:val="en-US"/>
        </w:rPr>
        <w:fldChar w:fldCharType="end"/>
      </w:r>
      <w:r w:rsidR="00BA43B4" w:rsidRPr="00BA43B4">
        <w:rPr>
          <w:rFonts w:eastAsiaTheme="minorEastAsia"/>
          <w:lang w:val="en-US"/>
        </w:rPr>
        <w:t>)</w:t>
      </w:r>
    </w:p>
    <w:p w14:paraId="0B26B6C1" w14:textId="3A56B31F" w:rsidR="008660FA" w:rsidRDefault="0081785B" w:rsidP="007505AE">
      <w:pPr>
        <w:rPr>
          <w:lang w:val="en-US"/>
        </w:rPr>
      </w:pPr>
      <w:r>
        <w:rPr>
          <w:rFonts w:eastAsiaTheme="minorEastAsia"/>
          <w:lang w:val="en-US"/>
        </w:rPr>
        <w:t xml:space="preserve">where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boiler</m:t>
            </m:r>
          </m:sub>
        </m:sSub>
      </m:oMath>
      <w:r>
        <w:rPr>
          <w:rFonts w:eastAsiaTheme="minorEastAsia"/>
          <w:lang w:val="en-US"/>
        </w:rPr>
        <w:t xml:space="preserve"> is the boiler efficiency (set to 95%)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gas</m:t>
            </m:r>
          </m:sub>
        </m:sSub>
      </m:oMath>
      <w:r>
        <w:rPr>
          <w:rFonts w:eastAsiaTheme="minorEastAsia"/>
          <w:lang w:val="en-US"/>
        </w:rPr>
        <w:t xml:space="preserve"> is the price of gas </w:t>
      </w:r>
      <w:r>
        <w:rPr>
          <w:lang w:val="en-US"/>
        </w:rPr>
        <w:t xml:space="preserve">[€/kWh] </w:t>
      </w:r>
      <w:r>
        <w:rPr>
          <w:rFonts w:eastAsiaTheme="minorEastAsia"/>
          <w:lang w:val="en-US"/>
        </w:rPr>
        <w:t xml:space="preserve">(see </w:t>
      </w:r>
      <w:r w:rsidR="00BF09EF">
        <w:rPr>
          <w:rFonts w:eastAsiaTheme="minorEastAsia"/>
          <w:lang w:val="en-US"/>
        </w:rPr>
        <w:t>Sect. 3.2.1 of the main document</w:t>
      </w:r>
      <w:r>
        <w:rPr>
          <w:rFonts w:eastAsiaTheme="minorEastAsia"/>
          <w:lang w:val="en-US"/>
        </w:rPr>
        <w:t>).</w:t>
      </w:r>
    </w:p>
    <w:p w14:paraId="673DB6B2" w14:textId="213F4B87" w:rsidR="007505AE" w:rsidRDefault="007505AE" w:rsidP="007505AE">
      <w:pPr>
        <w:pStyle w:val="Untertitel"/>
        <w:rPr>
          <w:lang w:val="en-US"/>
        </w:rPr>
      </w:pPr>
      <w:r>
        <w:rPr>
          <w:lang w:val="en-US"/>
        </w:rPr>
        <w:t>Power-to-Hydrogen (PtH</w:t>
      </w:r>
      <w:r w:rsidRPr="00673E8F">
        <w:rPr>
          <w:vertAlign w:val="subscript"/>
          <w:lang w:val="en-US"/>
        </w:rPr>
        <w:t>2</w:t>
      </w:r>
      <w:r>
        <w:rPr>
          <w:lang w:val="en-US"/>
        </w:rPr>
        <w:t>)</w:t>
      </w:r>
    </w:p>
    <w:p w14:paraId="4596A76D" w14:textId="4A571B2B" w:rsidR="007505AE" w:rsidRDefault="0081785B" w:rsidP="007505AE">
      <w:pPr>
        <w:rPr>
          <w:rFonts w:eastAsiaTheme="minorEastAsia"/>
          <w:lang w:val="en-US"/>
        </w:rPr>
      </w:pPr>
      <w:r>
        <w:rPr>
          <w:lang w:val="en-US"/>
        </w:rPr>
        <w:lastRenderedPageBreak/>
        <w:t>In the PtH</w:t>
      </w:r>
      <w:r w:rsidRPr="00673E8F">
        <w:rPr>
          <w:vertAlign w:val="subscript"/>
          <w:lang w:val="en-US"/>
        </w:rPr>
        <w:t>2</w:t>
      </w:r>
      <w:r>
        <w:rPr>
          <w:lang w:val="en-US"/>
        </w:rPr>
        <w:t xml:space="preserve"> case, the yearly revenues are calculated in a similar way as for </w:t>
      </w:r>
      <w:proofErr w:type="spellStart"/>
      <w:r>
        <w:rPr>
          <w:lang w:val="en-US"/>
        </w:rPr>
        <w:t>PtH</w:t>
      </w:r>
      <w:proofErr w:type="spellEnd"/>
      <w:r>
        <w:rPr>
          <w:lang w:val="en-US"/>
        </w:rPr>
        <w:t xml:space="preserve">. Here, the reference case is </w:t>
      </w:r>
      <w:r w:rsidR="008D633E">
        <w:rPr>
          <w:lang w:val="en-US"/>
        </w:rPr>
        <w:t xml:space="preserve">to buy hydrogen obtained via steam-methane reforming (SMR). The money sums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saved, PtH2</m:t>
            </m:r>
          </m:sub>
        </m:sSub>
      </m:oMath>
      <w:r w:rsidR="008D633E">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SMR</m:t>
            </m:r>
          </m:sub>
        </m:sSub>
      </m:oMath>
      <w:r w:rsidR="008D633E">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PtH2</m:t>
            </m:r>
          </m:sub>
        </m:sSub>
      </m:oMath>
      <w:r w:rsidR="008D633E">
        <w:rPr>
          <w:rFonts w:eastAsiaTheme="minorEastAsia"/>
          <w:lang w:val="en-US"/>
        </w:rPr>
        <w:t xml:space="preserve"> are analogous to the terms in Eq</w:t>
      </w:r>
      <w:r w:rsidR="00673E8F">
        <w:rPr>
          <w:rFonts w:eastAsiaTheme="minorEastAsia"/>
          <w:lang w:val="en-US"/>
        </w:rPr>
        <w:t>s</w:t>
      </w:r>
      <w:r w:rsidR="008D633E">
        <w:rPr>
          <w:rFonts w:eastAsiaTheme="minorEastAsia"/>
          <w:lang w:val="en-US"/>
        </w:rPr>
        <w:t xml:space="preserve">. </w:t>
      </w:r>
      <w:r w:rsidR="00673E8F">
        <w:rPr>
          <w:rFonts w:eastAsiaTheme="minorEastAsia"/>
          <w:lang w:val="en-US"/>
        </w:rPr>
        <w:t>S2, S4 and S5</w:t>
      </w:r>
      <w:r w:rsidR="008D633E">
        <w:rPr>
          <w:rFonts w:eastAsiaTheme="minorEastAsia"/>
          <w:lang w:val="en-US"/>
        </w:rPr>
        <w:t>. The amount of hydrogen produced annually with the PtH2 system (</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P2H2</m:t>
            </m:r>
          </m:sub>
        </m:sSub>
      </m:oMath>
      <w:r w:rsidR="0042049C">
        <w:rPr>
          <w:rFonts w:eastAsiaTheme="minorEastAsia"/>
          <w:lang w:val="en-US"/>
        </w:rPr>
        <w:t xml:space="preserve"> [kg/year]</w:t>
      </w:r>
      <w:r w:rsidR="008D633E">
        <w:rPr>
          <w:rFonts w:eastAsiaTheme="minorEastAsia"/>
          <w:lang w:val="en-US"/>
        </w:rPr>
        <w:t>)</w:t>
      </w:r>
      <w:r w:rsidR="0042049C">
        <w:rPr>
          <w:rFonts w:eastAsiaTheme="minorEastAsia"/>
          <w:lang w:val="en-US"/>
        </w:rPr>
        <w:t xml:space="preserve"> is a function of its installed capacity </w:t>
      </w:r>
      <m:oMath>
        <m:r>
          <w:rPr>
            <w:rFonts w:ascii="Cambria Math" w:hAnsi="Cambria Math"/>
            <w:lang w:val="en-US"/>
          </w:rPr>
          <m:t>C</m:t>
        </m:r>
      </m:oMath>
      <w:r w:rsidR="0042049C">
        <w:rPr>
          <w:rFonts w:eastAsiaTheme="minorEastAsia"/>
          <w:lang w:val="en-US"/>
        </w:rPr>
        <w:t xml:space="preserve"> [kW] (see Table </w:t>
      </w:r>
      <w:r w:rsidR="00673E8F">
        <w:rPr>
          <w:rFonts w:eastAsiaTheme="minorEastAsia"/>
          <w:lang w:val="en-US"/>
        </w:rPr>
        <w:t>2</w:t>
      </w:r>
      <w:r w:rsidR="0042049C">
        <w:rPr>
          <w:rFonts w:eastAsiaTheme="minorEastAsia"/>
          <w:lang w:val="en-US"/>
        </w:rPr>
        <w:t xml:space="preserve"> of the main document), running time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running</m:t>
            </m:r>
          </m:sub>
        </m:sSub>
      </m:oMath>
      <w:r w:rsidR="0042049C">
        <w:rPr>
          <w:rFonts w:eastAsiaTheme="minorEastAsia"/>
          <w:lang w:val="en-US"/>
        </w:rPr>
        <w:t xml:space="preserve"> (default value 6’000 hours/year) and efficiency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PtH2</m:t>
            </m:r>
          </m:sub>
        </m:sSub>
      </m:oMath>
      <w:r w:rsidR="0042049C">
        <w:rPr>
          <w:rFonts w:eastAsiaTheme="minorEastAsia"/>
          <w:lang w:val="en-US"/>
        </w:rPr>
        <w:t xml:space="preserve"> (default value 55 kWh/kg):</w:t>
      </w:r>
    </w:p>
    <w:p w14:paraId="3FA1D57E" w14:textId="34944699" w:rsidR="0042049C" w:rsidRDefault="004B6612" w:rsidP="0042049C">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PtH2</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C×</m:t>
            </m:r>
            <m:sSub>
              <m:sSubPr>
                <m:ctrlPr>
                  <w:rPr>
                    <w:rFonts w:ascii="Cambria Math" w:eastAsiaTheme="minorEastAsia" w:hAnsi="Cambria Math"/>
                    <w:i/>
                    <w:lang w:val="en-US"/>
                  </w:rPr>
                </m:ctrlPr>
              </m:sSubPr>
              <m:e>
                <m:r>
                  <w:rPr>
                    <w:rFonts w:ascii="Cambria Math" w:eastAsiaTheme="minorEastAsia" w:hAnsi="Cambria Math"/>
                    <w:lang w:val="en-US"/>
                  </w:rPr>
                  <m:t>H</m:t>
                </m:r>
              </m:e>
              <m:sub>
                <m:r>
                  <w:rPr>
                    <w:rFonts w:ascii="Cambria Math" w:eastAsiaTheme="minorEastAsia" w:hAnsi="Cambria Math"/>
                    <w:lang w:val="en-US"/>
                  </w:rPr>
                  <m:t>running</m:t>
                </m:r>
              </m:sub>
            </m:sSub>
          </m:num>
          <m:den>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PtH2</m:t>
                </m:r>
              </m:sub>
            </m:sSub>
          </m:den>
        </m:f>
      </m:oMath>
      <w:r w:rsidR="0042049C">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6</w:t>
      </w:r>
      <w:r w:rsidR="00BA43B4" w:rsidRPr="00BA43B4">
        <w:rPr>
          <w:rFonts w:eastAsiaTheme="minorEastAsia"/>
          <w:lang w:val="en-US"/>
        </w:rPr>
        <w:fldChar w:fldCharType="end"/>
      </w:r>
      <w:r w:rsidR="00BA43B4" w:rsidRPr="00BA43B4">
        <w:rPr>
          <w:rFonts w:eastAsiaTheme="minorEastAsia"/>
          <w:lang w:val="en-US"/>
        </w:rPr>
        <w:t>)</w:t>
      </w:r>
    </w:p>
    <w:p w14:paraId="3E8814E5" w14:textId="168DD999" w:rsidR="0042049C" w:rsidRDefault="0042049C" w:rsidP="0042049C">
      <w:pPr>
        <w:rPr>
          <w:lang w:val="en-US"/>
        </w:rPr>
      </w:pPr>
      <w:r>
        <w:rPr>
          <w:rFonts w:eastAsiaTheme="minorEastAsia"/>
          <w:lang w:val="en-US"/>
        </w:rPr>
        <w:t xml:space="preserve">The cost for producing this amount of hydrogen with the PtH2 system further depends on the electricity price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el,eff</m:t>
            </m:r>
          </m:sub>
        </m:sSub>
      </m:oMath>
      <w:r>
        <w:rPr>
          <w:rFonts w:eastAsiaTheme="minorEastAsia"/>
          <w:lang w:val="en-US"/>
        </w:rPr>
        <w:t xml:space="preserve"> </w:t>
      </w:r>
      <w:r>
        <w:rPr>
          <w:lang w:val="en-US"/>
        </w:rPr>
        <w:t>[€/kWh] (</w:t>
      </w:r>
      <w:r w:rsidR="00BF09EF">
        <w:rPr>
          <w:lang w:val="en-US"/>
        </w:rPr>
        <w:t xml:space="preserve">same definition as in the </w:t>
      </w:r>
      <w:proofErr w:type="spellStart"/>
      <w:r w:rsidR="00BF09EF">
        <w:rPr>
          <w:lang w:val="en-US"/>
        </w:rPr>
        <w:t>PtH</w:t>
      </w:r>
      <w:proofErr w:type="spellEnd"/>
      <w:r w:rsidR="00BF09EF">
        <w:rPr>
          <w:lang w:val="en-US"/>
        </w:rPr>
        <w:t xml:space="preserve"> case above</w:t>
      </w:r>
      <w:r>
        <w:rPr>
          <w:lang w:val="en-US"/>
        </w:rPr>
        <w:t>):</w:t>
      </w:r>
    </w:p>
    <w:p w14:paraId="05967208" w14:textId="1ADA91DC" w:rsidR="0042049C" w:rsidRDefault="004B6612" w:rsidP="0042049C">
      <w:pPr>
        <w:rPr>
          <w:rFonts w:eastAsiaTheme="minorEastAsia"/>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PtH2</m:t>
            </m:r>
          </m:sub>
        </m:sSub>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PtH2</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PtH2</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el,eff</m:t>
            </m:r>
          </m:sub>
        </m:sSub>
      </m:oMath>
      <w:r w:rsidR="0042049C">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7</w:t>
      </w:r>
      <w:r w:rsidR="00BA43B4" w:rsidRPr="00BA43B4">
        <w:rPr>
          <w:rFonts w:eastAsiaTheme="minorEastAsia"/>
          <w:lang w:val="en-US"/>
        </w:rPr>
        <w:fldChar w:fldCharType="end"/>
      </w:r>
      <w:r w:rsidR="00BA43B4" w:rsidRPr="00BA43B4">
        <w:rPr>
          <w:rFonts w:eastAsiaTheme="minorEastAsia"/>
          <w:lang w:val="en-US"/>
        </w:rPr>
        <w:t>)</w:t>
      </w:r>
    </w:p>
    <w:p w14:paraId="77A15267" w14:textId="77777777" w:rsidR="0042049C" w:rsidRDefault="0042049C" w:rsidP="0042049C">
      <w:pPr>
        <w:rPr>
          <w:rFonts w:eastAsiaTheme="minorEastAsia"/>
          <w:lang w:val="en-US"/>
        </w:rPr>
      </w:pPr>
      <w:r>
        <w:rPr>
          <w:rFonts w:eastAsiaTheme="minorEastAsia"/>
          <w:lang w:val="en-US"/>
        </w:rPr>
        <w:t>The cost for producing the same amount of hydrogen with SMR is given by:</w:t>
      </w:r>
    </w:p>
    <w:p w14:paraId="02E32DC9" w14:textId="7EA64462" w:rsidR="0042049C" w:rsidRDefault="004B6612" w:rsidP="0042049C">
      <w:pPr>
        <w:rPr>
          <w:rFonts w:eastAsiaTheme="minorEastAsia"/>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boiler</m:t>
            </m:r>
          </m:sub>
        </m:sSub>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PtH2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gas</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gas,SMR</m:t>
            </m:r>
          </m:sub>
        </m:sSub>
      </m:oMath>
      <w:r w:rsidR="0042049C">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8</w:t>
      </w:r>
      <w:r w:rsidR="00BA43B4" w:rsidRPr="00BA43B4">
        <w:rPr>
          <w:rFonts w:eastAsiaTheme="minorEastAsia"/>
          <w:lang w:val="en-US"/>
        </w:rPr>
        <w:fldChar w:fldCharType="end"/>
      </w:r>
      <w:r w:rsidR="00BA43B4" w:rsidRPr="00BA43B4">
        <w:rPr>
          <w:rFonts w:eastAsiaTheme="minorEastAsia"/>
          <w:lang w:val="en-US"/>
        </w:rPr>
        <w:t>)</w:t>
      </w:r>
    </w:p>
    <w:p w14:paraId="60602EF1" w14:textId="6F5772B1" w:rsidR="0042049C" w:rsidRDefault="0042049C" w:rsidP="0042049C">
      <w:pPr>
        <w:rPr>
          <w:lang w:val="en-US"/>
        </w:rPr>
      </w:pPr>
      <w:r>
        <w:rPr>
          <w:rFonts w:eastAsiaTheme="minorEastAsia"/>
          <w:lang w:val="en-US"/>
        </w:rPr>
        <w:t xml:space="preserve">where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gas</m:t>
            </m:r>
          </m:sub>
        </m:sSub>
      </m:oMath>
      <w:r>
        <w:rPr>
          <w:rFonts w:eastAsiaTheme="minorEastAsia"/>
          <w:lang w:val="en-US"/>
        </w:rPr>
        <w:t xml:space="preserve"> is the price of gas </w:t>
      </w:r>
      <w:r>
        <w:rPr>
          <w:lang w:val="en-US"/>
        </w:rPr>
        <w:t xml:space="preserve">[€/kWh] </w:t>
      </w:r>
      <w:r>
        <w:rPr>
          <w:rFonts w:eastAsiaTheme="minorEastAsia"/>
          <w:lang w:val="en-US"/>
        </w:rPr>
        <w:t xml:space="preserve">(see </w:t>
      </w:r>
      <w:r w:rsidR="00BF09EF">
        <w:rPr>
          <w:rFonts w:eastAsiaTheme="minorEastAsia"/>
          <w:lang w:val="en-US"/>
        </w:rPr>
        <w:t>Sect. 3.2.1 of the main document</w:t>
      </w:r>
      <w:r>
        <w:rPr>
          <w:rFonts w:eastAsiaTheme="minorEastAsia"/>
          <w:lang w:val="en-US"/>
        </w:rPr>
        <w:t xml:space="preserve">) and </w:t>
      </w: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gas,SMR</m:t>
            </m:r>
          </m:sub>
        </m:sSub>
      </m:oMath>
      <w:r>
        <w:rPr>
          <w:rFonts w:eastAsiaTheme="minorEastAsia"/>
          <w:lang w:val="en-US"/>
        </w:rPr>
        <w:t xml:space="preserve"> is the amount of gas needed to produce 1 kg of hydrogen with SMR (set to 40 kWh/kg).</w:t>
      </w:r>
    </w:p>
    <w:p w14:paraId="64F5B2DC" w14:textId="77777777" w:rsidR="007505AE" w:rsidRPr="007505AE" w:rsidRDefault="007505AE" w:rsidP="007505AE">
      <w:pPr>
        <w:pStyle w:val="Untertitel"/>
        <w:rPr>
          <w:lang w:val="en-US"/>
        </w:rPr>
      </w:pPr>
      <w:r>
        <w:rPr>
          <w:lang w:val="en-US"/>
        </w:rPr>
        <w:t>Batteries</w:t>
      </w:r>
    </w:p>
    <w:p w14:paraId="40DB9490" w14:textId="77777777" w:rsidR="007505AE" w:rsidRDefault="001111B6" w:rsidP="007505AE">
      <w:pPr>
        <w:rPr>
          <w:lang w:val="en-US"/>
        </w:rPr>
      </w:pPr>
      <w:r>
        <w:rPr>
          <w:lang w:val="en-US"/>
        </w:rPr>
        <w:t>For batteries, the selected use case</w:t>
      </w:r>
      <w:r w:rsidR="002E57AC">
        <w:rPr>
          <w:lang w:val="en-US"/>
        </w:rPr>
        <w:t xml:space="preserve"> is arbitrage, i.e. taking advantage of price variability by buying and selling </w:t>
      </w:r>
      <w:r w:rsidR="008E74AC">
        <w:rPr>
          <w:lang w:val="en-US"/>
        </w:rPr>
        <w:t>electricity</w:t>
      </w:r>
      <w:r w:rsidR="002E57AC">
        <w:rPr>
          <w:lang w:val="en-US"/>
        </w:rPr>
        <w:t xml:space="preserve"> at different times.</w:t>
      </w:r>
      <w:r w:rsidR="00C063AF">
        <w:rPr>
          <w:lang w:val="en-US"/>
        </w:rPr>
        <w:t xml:space="preserve"> Additionally, </w:t>
      </w:r>
      <w:r w:rsidR="00186784">
        <w:rPr>
          <w:lang w:val="en-US"/>
        </w:rPr>
        <w:t>customers save money due to increased self-consumption.</w:t>
      </w:r>
      <w:r w:rsidR="002E57AC">
        <w:rPr>
          <w:lang w:val="en-US"/>
        </w:rPr>
        <w:t xml:space="preserve"> </w:t>
      </w:r>
      <w:r w:rsidR="00FD10CE">
        <w:rPr>
          <w:lang w:val="en-US"/>
        </w:rPr>
        <w:t xml:space="preserve">The daily revenues from arbitrage,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arb,day</m:t>
            </m:r>
          </m:sub>
        </m:sSub>
      </m:oMath>
      <w:r w:rsidR="00FD10CE">
        <w:rPr>
          <w:rFonts w:eastAsiaTheme="minorEastAsia"/>
          <w:lang w:val="en-US"/>
        </w:rPr>
        <w:t>,</w:t>
      </w:r>
      <w:r w:rsidR="00FD10CE">
        <w:rPr>
          <w:lang w:val="en-US"/>
        </w:rPr>
        <w:t xml:space="preserve"> are defined as:</w:t>
      </w:r>
    </w:p>
    <w:p w14:paraId="42DF2EB4" w14:textId="56DDF856" w:rsidR="00FD10CE" w:rsidRDefault="004B6612" w:rsidP="007505AE">
      <w:pPr>
        <w:rPr>
          <w:rFonts w:eastAsiaTheme="minorEastAsia"/>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arb,day</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el,max</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el,min</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renew</m:t>
                        </m:r>
                      </m:sub>
                    </m:sSub>
                  </m:e>
                </m:d>
              </m:e>
            </m:d>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batt</m:t>
            </m:r>
          </m:sub>
        </m:sSub>
        <m:r>
          <w:rPr>
            <w:rFonts w:ascii="Cambria Math" w:hAnsi="Cambria Math"/>
            <w:lang w:val="en-US"/>
          </w:rPr>
          <m:t>×C×</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dis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cycles</m:t>
            </m:r>
          </m:sub>
        </m:sSub>
      </m:oMath>
      <w:r w:rsidR="00985549">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9</w:t>
      </w:r>
      <w:r w:rsidR="00BA43B4" w:rsidRPr="00BA43B4">
        <w:rPr>
          <w:rFonts w:eastAsiaTheme="minorEastAsia"/>
          <w:lang w:val="en-US"/>
        </w:rPr>
        <w:fldChar w:fldCharType="end"/>
      </w:r>
      <w:r w:rsidR="00BA43B4" w:rsidRPr="00BA43B4">
        <w:rPr>
          <w:rFonts w:eastAsiaTheme="minorEastAsia"/>
          <w:lang w:val="en-US"/>
        </w:rPr>
        <w:t>)</w:t>
      </w:r>
    </w:p>
    <w:p w14:paraId="070F99CB" w14:textId="77777777" w:rsidR="00985549" w:rsidRDefault="00985549" w:rsidP="007505AE">
      <w:pPr>
        <w:rPr>
          <w:rFonts w:eastAsiaTheme="minorEastAsia"/>
          <w:lang w:val="en-US"/>
        </w:rPr>
      </w:pPr>
      <w:r>
        <w:rPr>
          <w:rFonts w:eastAsiaTheme="minorEastAsia"/>
          <w:lang w:val="en-US"/>
        </w:rPr>
        <w:t xml:space="preserve">where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el,min</m:t>
            </m:r>
          </m:sub>
        </m:sSub>
      </m:oMath>
      <w:r>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el,max</m:t>
            </m:r>
          </m:sub>
        </m:sSub>
      </m:oMath>
      <w:r>
        <w:rPr>
          <w:rFonts w:eastAsiaTheme="minorEastAsia"/>
          <w:lang w:val="en-US"/>
        </w:rPr>
        <w:t xml:space="preserve"> are minimum and maximum energy prices</w:t>
      </w:r>
      <w:r w:rsidR="007833DD">
        <w:rPr>
          <w:rFonts w:eastAsiaTheme="minorEastAsia"/>
          <w:lang w:val="en-US"/>
        </w:rPr>
        <w:t xml:space="preserve"> [€/kWh],</w:t>
      </w:r>
      <w:r>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renew</m:t>
            </m:r>
          </m:sub>
        </m:sSub>
      </m:oMath>
      <w:r w:rsidR="007833DD">
        <w:rPr>
          <w:rFonts w:eastAsiaTheme="minorEastAsia"/>
          <w:lang w:val="en-US"/>
        </w:rPr>
        <w:t xml:space="preserve"> the fraction of electricity consumption from own renewable generation [-],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batt</m:t>
            </m:r>
          </m:sub>
        </m:sSub>
      </m:oMath>
      <w:r w:rsidR="007833DD">
        <w:rPr>
          <w:rFonts w:eastAsiaTheme="minorEastAsia"/>
          <w:lang w:val="en-US"/>
        </w:rPr>
        <w:t xml:space="preserve"> battery efficiency (set to a default value of 70%), </w:t>
      </w:r>
      <m:oMath>
        <m:r>
          <w:rPr>
            <w:rFonts w:ascii="Cambria Math" w:hAnsi="Cambria Math"/>
            <w:lang w:val="en-US"/>
          </w:rPr>
          <m:t>C</m:t>
        </m:r>
      </m:oMath>
      <w:r w:rsidR="007833DD">
        <w:rPr>
          <w:rFonts w:eastAsiaTheme="minorEastAsia"/>
          <w:lang w:val="en-US"/>
        </w:rPr>
        <w:t xml:space="preserve"> installed battery capacity (set to 500 kW),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dis</m:t>
            </m:r>
          </m:sub>
        </m:sSub>
      </m:oMath>
      <w:r w:rsidR="007833DD">
        <w:rPr>
          <w:rFonts w:eastAsiaTheme="minorEastAsia"/>
          <w:lang w:val="en-US"/>
        </w:rPr>
        <w:t xml:space="preserve"> discharge time (set to 1 hour),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cycles</m:t>
            </m:r>
          </m:sub>
        </m:sSub>
      </m:oMath>
      <w:r w:rsidR="007833DD">
        <w:rPr>
          <w:rFonts w:eastAsiaTheme="minorEastAsia"/>
          <w:lang w:val="en-US"/>
        </w:rPr>
        <w:t xml:space="preserve"> the number of charge and discharge cycles per day (set to 1.5).</w:t>
      </w:r>
      <w:r w:rsidR="00521018">
        <w:rPr>
          <w:rFonts w:eastAsiaTheme="minorEastAsia"/>
          <w:lang w:val="en-US"/>
        </w:rPr>
        <w:t xml:space="preserve"> Minimum and maximum electricity prices are obtained by subtracting and adding the parameters </w:t>
      </w:r>
      <m:oMath>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Pel,min</m:t>
            </m:r>
          </m:sub>
        </m:sSub>
      </m:oMath>
      <w:r w:rsidR="00521018">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Pel,max</m:t>
            </m:r>
          </m:sub>
        </m:sSub>
      </m:oMath>
      <w:r w:rsidR="00521018">
        <w:rPr>
          <w:rFonts w:eastAsiaTheme="minorEastAsia"/>
          <w:lang w:val="en-US"/>
        </w:rPr>
        <w:t xml:space="preserve">, respectively, from average </w:t>
      </w:r>
      <w:r w:rsidR="008E74AC">
        <w:rPr>
          <w:rFonts w:eastAsiaTheme="minorEastAsia"/>
          <w:lang w:val="en-US"/>
        </w:rPr>
        <w:t>electricity</w:t>
      </w:r>
      <w:r w:rsidR="00521018">
        <w:rPr>
          <w:rFonts w:eastAsiaTheme="minorEastAsia"/>
          <w:lang w:val="en-US"/>
        </w:rPr>
        <w:t xml:space="preserve"> price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t>
            </m:r>
          </m:sub>
        </m:sSub>
      </m:oMath>
      <w:r w:rsidR="00521018">
        <w:rPr>
          <w:rFonts w:eastAsiaTheme="minorEastAsia"/>
          <w:lang w:val="en-US"/>
        </w:rPr>
        <w:t xml:space="preserve">. The default value for </w:t>
      </w:r>
      <m:oMath>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Pel,min</m:t>
            </m:r>
          </m:sub>
        </m:sSub>
      </m:oMath>
      <w:r w:rsidR="00521018">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Pel,max</m:t>
            </m:r>
          </m:sub>
        </m:sSub>
      </m:oMath>
      <w:r w:rsidR="00521018">
        <w:rPr>
          <w:rFonts w:eastAsiaTheme="minorEastAsia"/>
          <w:lang w:val="en-US"/>
        </w:rPr>
        <w:t xml:space="preserve"> was set to 0.04 and 0.07 €/kWh, respectively. No intra-annual </w:t>
      </w:r>
      <w:r w:rsidR="006A0154">
        <w:rPr>
          <w:rFonts w:eastAsiaTheme="minorEastAsia"/>
          <w:lang w:val="en-US"/>
        </w:rPr>
        <w:t>variations of daily minimum and maximum prices</w:t>
      </w:r>
      <w:r w:rsidR="00521018">
        <w:rPr>
          <w:rFonts w:eastAsiaTheme="minorEastAsia"/>
          <w:lang w:val="en-US"/>
        </w:rPr>
        <w:t xml:space="preserve"> </w:t>
      </w:r>
      <w:r w:rsidR="006A0154">
        <w:rPr>
          <w:rFonts w:eastAsiaTheme="minorEastAsia"/>
          <w:lang w:val="en-US"/>
        </w:rPr>
        <w:t xml:space="preserve">are considered, i.e. the annual revenues from arbitrage,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arb</m:t>
            </m:r>
          </m:sub>
        </m:sSub>
      </m:oMath>
      <w:r w:rsidR="006A0154">
        <w:rPr>
          <w:rFonts w:eastAsiaTheme="minorEastAsia"/>
          <w:lang w:val="en-US"/>
        </w:rPr>
        <w:t xml:space="preserve">, are obtained by multiplying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arb,day</m:t>
            </m:r>
          </m:sub>
        </m:sSub>
      </m:oMath>
      <w:r w:rsidR="006A0154">
        <w:rPr>
          <w:rFonts w:eastAsiaTheme="minorEastAsia"/>
          <w:lang w:val="en-US"/>
        </w:rPr>
        <w:t xml:space="preserve"> by 365.</w:t>
      </w:r>
    </w:p>
    <w:p w14:paraId="7C8BB185" w14:textId="77777777" w:rsidR="00186784" w:rsidRDefault="00186784" w:rsidP="007505AE">
      <w:pPr>
        <w:rPr>
          <w:rFonts w:eastAsiaTheme="minorEastAsia"/>
          <w:lang w:val="en-US"/>
        </w:rPr>
      </w:pPr>
      <w:r>
        <w:rPr>
          <w:rFonts w:eastAsiaTheme="minorEastAsia"/>
          <w:lang w:val="en-US"/>
        </w:rPr>
        <w:t xml:space="preserve">The savings due to increased self-consumption,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saved, batt</m:t>
            </m:r>
          </m:sub>
        </m:sSub>
      </m:oMath>
      <w:r>
        <w:rPr>
          <w:rFonts w:eastAsiaTheme="minorEastAsia"/>
          <w:lang w:val="en-US"/>
        </w:rPr>
        <w:t>, are calculated as follows:</w:t>
      </w:r>
    </w:p>
    <w:p w14:paraId="1626450A" w14:textId="1C8CD622" w:rsidR="00186784" w:rsidRDefault="004B6612" w:rsidP="007505AE">
      <w:pPr>
        <w:rPr>
          <w:rFonts w:eastAsiaTheme="minorEastAsia"/>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saved, batt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saved,batt</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FIT</m:t>
                </m:r>
              </m:sub>
            </m:sSub>
          </m:e>
        </m:d>
      </m:oMath>
      <w:r w:rsidR="00186784">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10</w:t>
      </w:r>
      <w:r w:rsidR="00BA43B4" w:rsidRPr="00BA43B4">
        <w:rPr>
          <w:rFonts w:eastAsiaTheme="minorEastAsia"/>
          <w:lang w:val="en-US"/>
        </w:rPr>
        <w:fldChar w:fldCharType="end"/>
      </w:r>
      <w:r w:rsidR="00BA43B4" w:rsidRPr="00BA43B4">
        <w:rPr>
          <w:rFonts w:eastAsiaTheme="minorEastAsia"/>
          <w:lang w:val="en-US"/>
        </w:rPr>
        <w:t>)</w:t>
      </w:r>
    </w:p>
    <w:p w14:paraId="55333EB6" w14:textId="77777777" w:rsidR="00186784" w:rsidRDefault="00186784" w:rsidP="007505AE">
      <w:pPr>
        <w:rPr>
          <w:rFonts w:eastAsiaTheme="minorEastAsia"/>
          <w:lang w:val="en-US"/>
        </w:rPr>
      </w:pPr>
      <w:r>
        <w:rPr>
          <w:rFonts w:eastAsiaTheme="minorEastAsia"/>
          <w:lang w:val="en-US"/>
        </w:rPr>
        <w:t xml:space="preserve">where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saved,batt</m:t>
            </m:r>
          </m:sub>
        </m:sSub>
      </m:oMath>
      <w:r>
        <w:rPr>
          <w:rFonts w:eastAsiaTheme="minorEastAsia"/>
          <w:lang w:val="en-US"/>
        </w:rPr>
        <w:t xml:space="preserve"> is the </w:t>
      </w:r>
      <w:r w:rsidR="008E74AC">
        <w:rPr>
          <w:rFonts w:eastAsiaTheme="minorEastAsia"/>
          <w:lang w:val="en-US"/>
        </w:rPr>
        <w:t xml:space="preserve">amount of energy from own renewable generation saved due to the batteries (i.e. the amount that would otherwise be fed into the grid and purchased from the grid at a different time) [kWh/year],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t>
            </m:r>
          </m:sub>
        </m:sSub>
      </m:oMath>
      <w:r w:rsidR="008E74AC">
        <w:rPr>
          <w:rFonts w:eastAsiaTheme="minorEastAsia"/>
          <w:lang w:val="en-US"/>
        </w:rPr>
        <w:t xml:space="preserve"> is total electricity price [€/kWh]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FIT</m:t>
            </m:r>
          </m:sub>
        </m:sSub>
      </m:oMath>
      <w:r w:rsidR="008E74AC">
        <w:rPr>
          <w:rFonts w:eastAsiaTheme="minorEastAsia"/>
          <w:lang w:val="en-US"/>
        </w:rPr>
        <w:t xml:space="preserve"> is the feed-in tariff for renewable electricity </w:t>
      </w:r>
      <w:r w:rsidR="00B276D5">
        <w:rPr>
          <w:rFonts w:eastAsiaTheme="minorEastAsia"/>
          <w:lang w:val="en-US"/>
        </w:rPr>
        <w:t>[€/kWh]. The amount of energy saved is calculated as follows:</w:t>
      </w:r>
    </w:p>
    <w:p w14:paraId="29F9C128" w14:textId="61FF967D" w:rsidR="00B276D5" w:rsidRDefault="004B6612" w:rsidP="007505AE">
      <w:pPr>
        <w:rPr>
          <w:rFonts w:eastAsiaTheme="minorEastAsia"/>
          <w:lang w:val="en-US"/>
        </w:rPr>
      </w:pP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saved,batt</m:t>
            </m:r>
          </m:sub>
        </m:sSub>
        <m:r>
          <w:rPr>
            <w:rFonts w:ascii="Cambria Math" w:hAnsi="Cambria Math"/>
            <w:lang w:val="en-US"/>
          </w:rPr>
          <m:t>=C×</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PV,batt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PV</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batt,SC</m:t>
            </m:r>
          </m:sub>
        </m:sSub>
      </m:oMath>
      <w:r w:rsidR="00B276D5">
        <w:rPr>
          <w:rFonts w:eastAsiaTheme="minorEastAsia"/>
          <w:lang w:val="en-US"/>
        </w:rPr>
        <w:t>,</w:t>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Pr>
          <w:rFonts w:eastAsiaTheme="minorEastAsia"/>
          <w:lang w:val="en-US"/>
        </w:rPr>
        <w:tab/>
      </w:r>
      <w:r w:rsidR="00BA43B4" w:rsidRPr="00BA43B4">
        <w:rPr>
          <w:rFonts w:eastAsiaTheme="minorEastAsia"/>
          <w:lang w:val="en-US"/>
        </w:rPr>
        <w:t>(</w:t>
      </w:r>
      <w:r w:rsidR="00673E8F">
        <w:rPr>
          <w:rFonts w:eastAsiaTheme="minorEastAsia"/>
          <w:lang w:val="en-US"/>
        </w:rPr>
        <w:t>S</w:t>
      </w:r>
      <w:r w:rsidR="00BA43B4" w:rsidRPr="00BA43B4">
        <w:rPr>
          <w:rFonts w:eastAsiaTheme="minorEastAsia"/>
          <w:lang w:val="en-US"/>
        </w:rPr>
        <w:fldChar w:fldCharType="begin"/>
      </w:r>
      <w:r w:rsidR="00BA43B4" w:rsidRPr="00BA43B4">
        <w:rPr>
          <w:rFonts w:eastAsiaTheme="minorEastAsia"/>
          <w:lang w:val="en-US"/>
        </w:rPr>
        <w:instrText xml:space="preserve"> SEQ Equation \* ARABIC </w:instrText>
      </w:r>
      <w:r w:rsidR="00BA43B4" w:rsidRPr="00BA43B4">
        <w:rPr>
          <w:rFonts w:eastAsiaTheme="minorEastAsia"/>
          <w:lang w:val="en-US"/>
        </w:rPr>
        <w:fldChar w:fldCharType="separate"/>
      </w:r>
      <w:r w:rsidR="00BA43B4">
        <w:rPr>
          <w:rFonts w:eastAsiaTheme="minorEastAsia"/>
          <w:noProof/>
          <w:lang w:val="en-US"/>
        </w:rPr>
        <w:t>11</w:t>
      </w:r>
      <w:r w:rsidR="00BA43B4" w:rsidRPr="00BA43B4">
        <w:rPr>
          <w:rFonts w:eastAsiaTheme="minorEastAsia"/>
          <w:lang w:val="en-US"/>
        </w:rPr>
        <w:fldChar w:fldCharType="end"/>
      </w:r>
      <w:r w:rsidR="00BA43B4" w:rsidRPr="00BA43B4">
        <w:rPr>
          <w:rFonts w:eastAsiaTheme="minorEastAsia"/>
          <w:lang w:val="en-US"/>
        </w:rPr>
        <w:t>)</w:t>
      </w:r>
    </w:p>
    <w:p w14:paraId="6D73EABA" w14:textId="355BB39C" w:rsidR="00B276D5" w:rsidRPr="007505AE" w:rsidRDefault="00B276D5" w:rsidP="007505AE">
      <w:pPr>
        <w:rPr>
          <w:lang w:val="en-US"/>
        </w:rPr>
      </w:pPr>
      <w:r>
        <w:rPr>
          <w:rFonts w:eastAsiaTheme="minorEastAsia"/>
          <w:lang w:val="en-US"/>
        </w:rPr>
        <w:t xml:space="preserve">where </w:t>
      </w:r>
      <m:oMath>
        <m:r>
          <w:rPr>
            <w:rFonts w:ascii="Cambria Math" w:hAnsi="Cambria Math"/>
            <w:lang w:val="en-US"/>
          </w:rPr>
          <m:t>C</m:t>
        </m:r>
      </m:oMath>
      <w:r>
        <w:rPr>
          <w:rFonts w:eastAsiaTheme="minorEastAsia"/>
          <w:lang w:val="en-US"/>
        </w:rPr>
        <w:t xml:space="preserve"> is installed battery capacity (set to 500 kW),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PV,batt</m:t>
            </m:r>
          </m:sub>
        </m:sSub>
      </m:oMath>
      <w:r w:rsidR="00C83738">
        <w:rPr>
          <w:rFonts w:eastAsiaTheme="minorEastAsia"/>
          <w:lang w:val="en-US"/>
        </w:rPr>
        <w:t xml:space="preserve"> the ratio of </w:t>
      </w:r>
      <w:r w:rsidR="00AA4E7E">
        <w:rPr>
          <w:rFonts w:eastAsiaTheme="minorEastAsia"/>
          <w:lang w:val="en-US"/>
        </w:rPr>
        <w:t xml:space="preserve">installed PV capacity to battery capacity (set to </w:t>
      </w:r>
      <w:r w:rsidR="000F02B7">
        <w:rPr>
          <w:rFonts w:eastAsiaTheme="minorEastAsia"/>
          <w:lang w:val="en-US"/>
        </w:rPr>
        <w:t>1.2 kW per kWh of storage in battery, according to minimal requirements for subsidies in Germany; assuming a discharge time of 1h, the storage capacity of the battery is set to 500 kWh</w:t>
      </w:r>
      <w:r w:rsidR="00AA4E7E">
        <w:rPr>
          <w:rFonts w:eastAsiaTheme="minorEastAsia"/>
          <w:lang w:val="en-US"/>
        </w:rPr>
        <w:t>)</w:t>
      </w:r>
      <w:r w:rsidR="000F02B7">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PV</m:t>
            </m:r>
          </m:sub>
        </m:sSub>
      </m:oMath>
      <w:r w:rsidR="000F02B7">
        <w:rPr>
          <w:rFonts w:eastAsiaTheme="minorEastAsia"/>
          <w:lang w:val="en-US"/>
        </w:rPr>
        <w:t xml:space="preserve"> the annual electricity </w:t>
      </w:r>
      <w:r w:rsidR="00586BAD">
        <w:rPr>
          <w:rFonts w:eastAsiaTheme="minorEastAsia"/>
          <w:lang w:val="en-US"/>
        </w:rPr>
        <w:t xml:space="preserve">production (set to 1’000 kWh per kW of installed capacity), and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batt,SC</m:t>
            </m:r>
          </m:sub>
        </m:sSub>
      </m:oMath>
      <w:r w:rsidR="00586BAD">
        <w:rPr>
          <w:rFonts w:eastAsiaTheme="minorEastAsia"/>
          <w:lang w:val="en-US"/>
        </w:rPr>
        <w:t xml:space="preserve"> the fraction of PV generation that is additionally used in self-consumption due to batteries, </w:t>
      </w:r>
      <w:r w:rsidR="00673E8F">
        <w:rPr>
          <w:rFonts w:eastAsiaTheme="minorEastAsia"/>
          <w:lang w:val="en-US"/>
        </w:rPr>
        <w:t xml:space="preserve">arbitrarily </w:t>
      </w:r>
      <w:r w:rsidR="00586BAD">
        <w:rPr>
          <w:rFonts w:eastAsiaTheme="minorEastAsia"/>
          <w:lang w:val="en-US"/>
        </w:rPr>
        <w:t>set to 0.3.</w:t>
      </w:r>
    </w:p>
    <w:p w14:paraId="20EC8531" w14:textId="6BB9AE7E" w:rsidR="007A1BA9" w:rsidRPr="007A1BA9" w:rsidRDefault="004B6612" w:rsidP="004B6612">
      <w:pPr>
        <w:pStyle w:val="berschrift1"/>
        <w:ind w:left="283"/>
        <w:rPr>
          <w:lang w:val="en-US"/>
        </w:rPr>
      </w:pPr>
      <w:r>
        <w:rPr>
          <w:lang w:val="en-US"/>
        </w:rPr>
        <w:t xml:space="preserve">S2. </w:t>
      </w:r>
      <w:r w:rsidR="007A1BA9">
        <w:rPr>
          <w:lang w:val="en-US"/>
        </w:rPr>
        <w:t>Utility functions in the system dynamic model</w:t>
      </w:r>
      <w:r w:rsidR="007A1BA9">
        <w:rPr>
          <w:noProof/>
        </w:rPr>
        <mc:AlternateContent>
          <mc:Choice Requires="wps">
            <w:drawing>
              <wp:anchor distT="0" distB="0" distL="114300" distR="114300" simplePos="0" relativeHeight="251660288" behindDoc="0" locked="0" layoutInCell="1" allowOverlap="1" wp14:anchorId="74E84E61" wp14:editId="0F13E3CA">
                <wp:simplePos x="0" y="0"/>
                <wp:positionH relativeFrom="column">
                  <wp:posOffset>0</wp:posOffset>
                </wp:positionH>
                <wp:positionV relativeFrom="paragraph">
                  <wp:posOffset>5379085</wp:posOffset>
                </wp:positionV>
                <wp:extent cx="4810760" cy="635"/>
                <wp:effectExtent l="0" t="0" r="0" b="0"/>
                <wp:wrapTopAndBottom/>
                <wp:docPr id="8" name="Textfeld 8"/>
                <wp:cNvGraphicFramePr/>
                <a:graphic xmlns:a="http://schemas.openxmlformats.org/drawingml/2006/main">
                  <a:graphicData uri="http://schemas.microsoft.com/office/word/2010/wordprocessingShape">
                    <wps:wsp>
                      <wps:cNvSpPr txBox="1"/>
                      <wps:spPr>
                        <a:xfrm>
                          <a:off x="0" y="0"/>
                          <a:ext cx="4810760" cy="635"/>
                        </a:xfrm>
                        <a:prstGeom prst="rect">
                          <a:avLst/>
                        </a:prstGeom>
                        <a:solidFill>
                          <a:prstClr val="white"/>
                        </a:solidFill>
                        <a:ln>
                          <a:noFill/>
                        </a:ln>
                      </wps:spPr>
                      <wps:txbx>
                        <w:txbxContent>
                          <w:p w14:paraId="094A7516" w14:textId="58130696" w:rsidR="00BA43B4" w:rsidRPr="00B158B3" w:rsidRDefault="00BA43B4" w:rsidP="007A1BA9">
                            <w:pPr>
                              <w:pStyle w:val="Beschriftung"/>
                              <w:rPr>
                                <w:noProof/>
                                <w:lang w:val="en-US"/>
                              </w:rPr>
                            </w:pPr>
                            <w:r w:rsidRPr="00B158B3">
                              <w:rPr>
                                <w:lang w:val="en-US"/>
                              </w:rPr>
                              <w:t xml:space="preserve">Figure </w:t>
                            </w:r>
                            <w:r w:rsidR="00673E8F" w:rsidRPr="00673E8F">
                              <w:rPr>
                                <w:lang w:val="en-US"/>
                              </w:rPr>
                              <w:t>S1</w:t>
                            </w:r>
                            <w:r w:rsidRPr="00B158B3">
                              <w:rPr>
                                <w:lang w:val="en-US"/>
                              </w:rPr>
                              <w:t xml:space="preserve">: </w:t>
                            </w:r>
                            <w:r w:rsidRPr="003D661F">
                              <w:rPr>
                                <w:lang w:val="en-US"/>
                              </w:rPr>
                              <w:t xml:space="preserve">a) Shape of the preference function for different values of </w:t>
                            </w:r>
                            <w:r w:rsidRPr="00F331F6">
                              <w:t>β</w:t>
                            </w:r>
                            <w:r w:rsidRPr="003D661F">
                              <w:rPr>
                                <w:lang w:val="en-US"/>
                              </w:rPr>
                              <w:t>. The x-axis represents the utility of an option B relative to the utility of an option A, and the y-axis shows the fraction of people that choose option A. b) to d) Empirical functions repre</w:t>
                            </w:r>
                            <w:r>
                              <w:rPr>
                                <w:lang w:val="en-US"/>
                              </w:rPr>
                              <w:t>senting the effects of perceived payback time (b), capital cost (c) and scarcity (d). The dots on b) and c) show the data points used to fit the functions.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E84E61" id="_x0000_t202" coordsize="21600,21600" o:spt="202" path="m,l,21600r21600,l21600,xe">
                <v:stroke joinstyle="miter"/>
                <v:path gradientshapeok="t" o:connecttype="rect"/>
              </v:shapetype>
              <v:shape id="Textfeld 8" o:spid="_x0000_s1026" type="#_x0000_t202" style="position:absolute;left:0;text-align:left;margin-left:0;margin-top:423.55pt;width:378.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" stroked="f">
                <v:textbox style="mso-fit-shape-to-text:t" inset="0,0,0,0">
                  <w:txbxContent>
                    <w:p w14:paraId="094A7516" w14:textId="58130696" w:rsidR="00BA43B4" w:rsidRPr="00B158B3" w:rsidRDefault="00BA43B4" w:rsidP="007A1BA9">
                      <w:pPr>
                        <w:pStyle w:val="Beschriftung"/>
                        <w:rPr>
                          <w:noProof/>
                          <w:lang w:val="en-US"/>
                        </w:rPr>
                      </w:pPr>
                      <w:r w:rsidRPr="00B158B3">
                        <w:rPr>
                          <w:lang w:val="en-US"/>
                        </w:rPr>
                        <w:t xml:space="preserve">Figure </w:t>
                      </w:r>
                      <w:r w:rsidR="00673E8F" w:rsidRPr="00673E8F">
                        <w:rPr>
                          <w:lang w:val="en-US"/>
                        </w:rPr>
                        <w:t>S1</w:t>
                      </w:r>
                      <w:r w:rsidRPr="00B158B3">
                        <w:rPr>
                          <w:lang w:val="en-US"/>
                        </w:rPr>
                        <w:t xml:space="preserve">: </w:t>
                      </w:r>
                      <w:r w:rsidRPr="003D661F">
                        <w:rPr>
                          <w:lang w:val="en-US"/>
                        </w:rPr>
                        <w:t xml:space="preserve">a) Shape of the preference function for different values of </w:t>
                      </w:r>
                      <w:r w:rsidRPr="00F331F6">
                        <w:t>β</w:t>
                      </w:r>
                      <w:r w:rsidRPr="003D661F">
                        <w:rPr>
                          <w:lang w:val="en-US"/>
                        </w:rPr>
                        <w:t>. The x-axis represents the utility of an option B relative to the utility of an option A, and the y-axis shows the fraction of people that choose option A. b) to d) Empirical functions repre</w:t>
                      </w:r>
                      <w:r>
                        <w:rPr>
                          <w:lang w:val="en-US"/>
                        </w:rPr>
                        <w:t>senting the effects of perceived payback time (b), capital cost (c) and scarcity (d). The dots on b) and c) show the data points used to fit the functions.</w:t>
                      </w:r>
                    </w:p>
                  </w:txbxContent>
                </v:textbox>
                <w10:wrap type="topAndBottom"/>
              </v:shape>
            </w:pict>
          </mc:Fallback>
        </mc:AlternateContent>
      </w:r>
      <w:r w:rsidR="007A1BA9">
        <w:rPr>
          <w:noProof/>
          <w:lang w:eastAsia="de-CH"/>
        </w:rPr>
        <w:drawing>
          <wp:anchor distT="0" distB="0" distL="114300" distR="114300" simplePos="0" relativeHeight="251659264" behindDoc="0" locked="0" layoutInCell="1" allowOverlap="1" wp14:anchorId="09167C4D" wp14:editId="3EAB4720">
            <wp:simplePos x="0" y="0"/>
            <wp:positionH relativeFrom="margin">
              <wp:align>left</wp:align>
            </wp:positionH>
            <wp:positionV relativeFrom="paragraph">
              <wp:posOffset>473710</wp:posOffset>
            </wp:positionV>
            <wp:extent cx="4810760" cy="4848225"/>
            <wp:effectExtent l="0" t="0" r="8890" b="9525"/>
            <wp:wrapTopAndBottom/>
            <wp:docPr id="2" name="Grafik 2" descr="fig_empirical.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C76F7.tmp"/>
                    <pic:cNvPicPr/>
                  </pic:nvPicPr>
                  <pic:blipFill rotWithShape="1">
                    <a:blip r:embed="rId8">
                      <a:extLst>
                        <a:ext uri="{28A0092B-C50C-407E-A947-70E740481C1C}">
                          <a14:useLocalDpi xmlns:a14="http://schemas.microsoft.com/office/drawing/2010/main" val="0"/>
                        </a:ext>
                      </a:extLst>
                    </a:blip>
                    <a:srcRect l="16700" t="19720" r="41633" b="2013"/>
                    <a:stretch/>
                  </pic:blipFill>
                  <pic:spPr bwMode="auto">
                    <a:xfrm>
                      <a:off x="0" y="0"/>
                      <a:ext cx="4810760" cy="484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BE5F80" w14:textId="77777777" w:rsidR="007A1BA9" w:rsidRPr="007A1BA9" w:rsidRDefault="007A1BA9" w:rsidP="007A1BA9">
      <w:pPr>
        <w:rPr>
          <w:rFonts w:eastAsiaTheme="minorEastAsia"/>
          <w:lang w:val="en-US"/>
        </w:rPr>
      </w:pPr>
      <w:r w:rsidRPr="007A1BA9">
        <w:rPr>
          <w:lang w:val="en-US"/>
        </w:rPr>
        <w:t xml:space="preserve">The perceived utility </w:t>
      </w:r>
      <w:bookmarkStart w:id="0" w:name="_Hlk8638226"/>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x</m:t>
            </m:r>
          </m:sub>
        </m:sSub>
      </m:oMath>
      <w:r w:rsidRPr="007A1BA9">
        <w:rPr>
          <w:rFonts w:eastAsiaTheme="minorEastAsia"/>
          <w:lang w:val="en-US"/>
        </w:rPr>
        <w:t xml:space="preserve"> </w:t>
      </w:r>
      <w:bookmarkEnd w:id="0"/>
      <w:r w:rsidRPr="007A1BA9">
        <w:rPr>
          <w:rFonts w:eastAsiaTheme="minorEastAsia"/>
          <w:lang w:val="en-US"/>
        </w:rPr>
        <w:t>of a decision option depends both on financial and social aspects. It is calculated as follows:</w:t>
      </w:r>
    </w:p>
    <w:bookmarkStart w:id="1" w:name="_Hlk8638282"/>
    <w:p w14:paraId="1E627BE8" w14:textId="253D25D5" w:rsidR="007A1BA9" w:rsidRDefault="004B6612" w:rsidP="007A1BA9">
      <w:pPr>
        <w:pStyle w:val="Beschriftung"/>
        <w:rPr>
          <w:rFonts w:eastAsiaTheme="minorEastAsia"/>
          <w:lang w:val="en-US"/>
        </w:rPr>
      </w:pPr>
      <m:oMath>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x</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payback_time</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capital</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familiarity</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scarcity</m:t>
            </m:r>
          </m:sub>
        </m:sSub>
      </m:oMath>
      <w:r w:rsidR="007A1BA9">
        <w:rPr>
          <w:rFonts w:eastAsiaTheme="minorEastAsia"/>
          <w:lang w:val="en-US"/>
        </w:rPr>
        <w:t>,</w:t>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BA43B4" w:rsidRPr="00BA43B4">
        <w:rPr>
          <w:rFonts w:eastAsiaTheme="minorEastAsia"/>
          <w:i w:val="0"/>
          <w:iCs w:val="0"/>
          <w:sz w:val="22"/>
          <w:szCs w:val="22"/>
          <w:lang w:val="en-US"/>
        </w:rPr>
        <w:t>(</w:t>
      </w:r>
      <w:r w:rsidR="00673E8F">
        <w:rPr>
          <w:rFonts w:eastAsiaTheme="minorEastAsia"/>
          <w:i w:val="0"/>
          <w:iCs w:val="0"/>
          <w:sz w:val="22"/>
          <w:szCs w:val="22"/>
          <w:lang w:val="en-US"/>
        </w:rPr>
        <w:t>S</w:t>
      </w:r>
      <w:r w:rsidR="00BA43B4" w:rsidRPr="00BA43B4">
        <w:rPr>
          <w:rFonts w:eastAsiaTheme="minorEastAsia"/>
          <w:i w:val="0"/>
          <w:iCs w:val="0"/>
          <w:sz w:val="22"/>
          <w:szCs w:val="22"/>
          <w:lang w:val="en-US"/>
        </w:rPr>
        <w:fldChar w:fldCharType="begin"/>
      </w:r>
      <w:r w:rsidR="00BA43B4" w:rsidRPr="00BA43B4">
        <w:rPr>
          <w:rFonts w:eastAsiaTheme="minorEastAsia"/>
          <w:i w:val="0"/>
          <w:iCs w:val="0"/>
          <w:sz w:val="22"/>
          <w:szCs w:val="22"/>
          <w:lang w:val="en-US"/>
        </w:rPr>
        <w:instrText xml:space="preserve"> SEQ Equation \* ARABIC </w:instrText>
      </w:r>
      <w:r w:rsidR="00BA43B4" w:rsidRPr="00BA43B4">
        <w:rPr>
          <w:rFonts w:eastAsiaTheme="minorEastAsia"/>
          <w:i w:val="0"/>
          <w:iCs w:val="0"/>
          <w:sz w:val="22"/>
          <w:szCs w:val="22"/>
          <w:lang w:val="en-US"/>
        </w:rPr>
        <w:fldChar w:fldCharType="separate"/>
      </w:r>
      <w:r w:rsidR="00BA43B4">
        <w:rPr>
          <w:rFonts w:eastAsiaTheme="minorEastAsia"/>
          <w:i w:val="0"/>
          <w:iCs w:val="0"/>
          <w:noProof/>
          <w:sz w:val="22"/>
          <w:szCs w:val="22"/>
          <w:lang w:val="en-US"/>
        </w:rPr>
        <w:t>12</w:t>
      </w:r>
      <w:r w:rsidR="00BA43B4" w:rsidRPr="00BA43B4">
        <w:rPr>
          <w:rFonts w:eastAsiaTheme="minorEastAsia"/>
          <w:i w:val="0"/>
          <w:iCs w:val="0"/>
          <w:sz w:val="22"/>
          <w:szCs w:val="22"/>
          <w:lang w:val="en-US"/>
        </w:rPr>
        <w:fldChar w:fldCharType="end"/>
      </w:r>
      <w:r w:rsidR="00BA43B4" w:rsidRPr="00BA43B4">
        <w:rPr>
          <w:rFonts w:eastAsiaTheme="minorEastAsia"/>
          <w:i w:val="0"/>
          <w:iCs w:val="0"/>
          <w:sz w:val="22"/>
          <w:szCs w:val="22"/>
          <w:lang w:val="en-US"/>
        </w:rPr>
        <w:t>)</w:t>
      </w:r>
    </w:p>
    <w:bookmarkEnd w:id="1"/>
    <w:p w14:paraId="433834EB" w14:textId="11821ECE" w:rsidR="007A1BA9" w:rsidRPr="007A1BA9" w:rsidRDefault="007A1BA9" w:rsidP="007A1BA9">
      <w:pPr>
        <w:rPr>
          <w:rFonts w:eastAsiaTheme="minorEastAsia"/>
          <w:lang w:val="en-US"/>
        </w:rPr>
      </w:pPr>
      <w:r w:rsidRPr="007A1BA9">
        <w:rPr>
          <w:lang w:val="en-US"/>
        </w:rPr>
        <w:t xml:space="preserve">where all variables are dimensionless. The empirical functions used to estimate </w:t>
      </w:r>
      <w:bookmarkStart w:id="2" w:name="_Hlk8638342"/>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payback_time</m:t>
            </m:r>
          </m:sub>
        </m:sSub>
      </m:oMath>
      <w:r w:rsidRPr="007A1BA9">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capital</m:t>
            </m:r>
          </m:sub>
        </m:sSub>
      </m:oMath>
      <w:r w:rsidRPr="007A1BA9">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scarcity</m:t>
            </m:r>
          </m:sub>
        </m:sSub>
      </m:oMath>
      <w:r w:rsidRPr="007A1BA9">
        <w:rPr>
          <w:rFonts w:eastAsiaTheme="minorEastAsia"/>
          <w:lang w:val="en-US"/>
        </w:rPr>
        <w:t xml:space="preserve"> </w:t>
      </w:r>
      <w:bookmarkEnd w:id="2"/>
      <w:r w:rsidRPr="007A1BA9">
        <w:rPr>
          <w:rFonts w:eastAsiaTheme="minorEastAsia"/>
          <w:lang w:val="en-US"/>
        </w:rPr>
        <w:t xml:space="preserve">are shown on </w:t>
      </w:r>
      <w:r w:rsidR="00D51386">
        <w:rPr>
          <w:rFonts w:eastAsiaTheme="minorEastAsia"/>
          <w:lang w:val="en-US"/>
        </w:rPr>
        <w:t xml:space="preserve">Fig. S1 </w:t>
      </w:r>
      <w:r w:rsidRPr="00D51386">
        <w:rPr>
          <w:rFonts w:eastAsiaTheme="minorEastAsia"/>
          <w:lang w:val="en-US"/>
        </w:rPr>
        <w:t>b, c and d, respectively. T</w:t>
      </w:r>
      <w:r w:rsidRPr="007A1BA9">
        <w:rPr>
          <w:rFonts w:eastAsiaTheme="minorEastAsia"/>
          <w:lang w:val="en-US"/>
        </w:rPr>
        <w:t>he functions for the effect of payback time and capital cost were parameterized based on data reported by</w:t>
      </w:r>
      <w:bookmarkStart w:id="3" w:name="_Hlk8638440"/>
      <w:r w:rsidRPr="007A1BA9">
        <w:rPr>
          <w:rFonts w:eastAsiaTheme="minorEastAsia"/>
          <w:lang w:val="en-US"/>
        </w:rPr>
        <w:t xml:space="preserve"> </w:t>
      </w:r>
      <w:r w:rsidRPr="007A1BA9">
        <w:rPr>
          <w:rFonts w:eastAsiaTheme="minorEastAsia"/>
          <w:lang w:val="en-US"/>
        </w:rPr>
        <w:fldChar w:fldCharType="begin" w:fldLock="1"/>
      </w:r>
      <w:r w:rsidRPr="007A1BA9">
        <w:rPr>
          <w:rFonts w:eastAsiaTheme="minorEastAsia"/>
          <w:lang w:val="en-US"/>
        </w:rPr>
        <w:instrText>ADDIN CSL_CITATION {"citationItems":[{"id":"ITEM-1","itemData":{"DOI":"10.13140/RG.2.1.2092.2642","author":[{"dropping-particle":"","family":"Ebers","given":"A.","non-dropping-particle":"","parse-names":false,"suffix":""},{"dropping-particle":"","family":"Wüstenhagen","given":"Rolf","non-dropping-particle":"","parse-names":false,"suffix":""}],"id":"ITEM-1","issued":{"date-parts":[["2015"]]},"number-of-pages":"20","publisher-place":"St. Gallen","title":"5th Consumer Barometer of Renewable Energy","type":"report"},"uris":["http://www.mendeley.com/documents/?uuid=247563d8-bae1-489b-89b6-125158bea276","http://www.mendeley.com/documents/?uuid=ceece032-8673-4c39-9df8-b86bc9e2e786","http://www.mendeley.com/documents/?uuid=2a71995d-11d4-468c-b5c2-4699d5796a15"]}],"mendeley":{"formattedCitation":"(Ebers &amp; Wüstenhagen, 2015)","manualFormatting":"Ebers &amp; Wüstenhagen (2015)","plainTextFormattedCitation":"(Ebers &amp; Wüstenhagen, 2015)","previouslyFormattedCitation":"(Ebers &amp; Wüstenhagen, 2015)"},"properties":{"noteIndex":0},"schema":"https://github.com/citation-style-language/schema/raw/master/csl-citation.json"}</w:instrText>
      </w:r>
      <w:r w:rsidRPr="007A1BA9">
        <w:rPr>
          <w:rFonts w:eastAsiaTheme="minorEastAsia"/>
          <w:lang w:val="en-US"/>
        </w:rPr>
        <w:fldChar w:fldCharType="separate"/>
      </w:r>
      <w:r w:rsidRPr="007A1BA9">
        <w:rPr>
          <w:rFonts w:eastAsiaTheme="minorEastAsia"/>
          <w:noProof/>
          <w:lang w:val="en-US"/>
        </w:rPr>
        <w:t>Ebers &amp; Wüstenhagen (2015)</w:t>
      </w:r>
      <w:r w:rsidRPr="007A1BA9">
        <w:rPr>
          <w:rFonts w:eastAsiaTheme="minorEastAsia"/>
          <w:lang w:val="en-US"/>
        </w:rPr>
        <w:fldChar w:fldCharType="end"/>
      </w:r>
      <w:bookmarkEnd w:id="3"/>
      <w:r w:rsidRPr="007A1BA9">
        <w:rPr>
          <w:rFonts w:eastAsiaTheme="minorEastAsia"/>
          <w:lang w:val="en-US"/>
        </w:rPr>
        <w:t xml:space="preserve"> for homeowners and adjusted by </w:t>
      </w:r>
      <w:bookmarkStart w:id="4" w:name="_Hlk8638771"/>
      <w:r w:rsidRPr="007A1BA9">
        <w:rPr>
          <w:rFonts w:eastAsiaTheme="minorEastAsia"/>
          <w:lang w:val="en-US"/>
        </w:rPr>
        <w:fldChar w:fldCharType="begin" w:fldLock="1"/>
      </w:r>
      <w:r w:rsidRPr="007A1BA9">
        <w:rPr>
          <w:rFonts w:eastAsiaTheme="minorEastAsia"/>
          <w:lang w:val="en-US"/>
        </w:rPr>
        <w:instrText>ADDIN CSL_CITATION {"citationItems":[{"id":"ITEM-1","itemData":{"DOI":"10.1016/J.ENPOL.2017.11.054","ISSN":"0301-4215","abstract":"Solar prosumers are about to revolutionize the power sector. Utilities are challenged in recovering the costs of distribution grids, as parts of their revenue basis decreases through self-consumption. Adjusting the grid tariff sets off a reinforcing feedback loop that increases the attractiveness of solar investments, but also leads to a distribution effect between solar prosumers and conventional consumers. The question is: How to recover distribution grid costs equitable without hampering the diffusion of solar power? Can the two criteria be fulfilled at the same time, or is do we aim for squaring a circle? To address this question, I present a System Dynamics simulation model designed to understand the interactions and assess these competing goals. The occurring distribution effect under the volumetric grid tariff with net purchase and sale appears to be rather limited. Simulation experiments reveal that grid tariff designs strongly influence investments for solar power. A capacity tariff can reduce deviations from the cost causation principle of solar prosumers and incentivizes investments in decentralized storage solutions to reduce peak demand. Nevertheless, also the capacity tariff causes a distribution effect.","author":[{"dropping-particle":"","family":"Kubli","given":"Merla","non-dropping-particle":"","parse-names":false,"suffix":""}],"container-title":"Energy Policy","id":"ITEM-1","issued":{"date-parts":[["2018","3","1"]]},"page":"173-188","publisher":"Elsevier","title":"Squaring the sunny circle? On balancing distributive justice of power grid costs and incentives for solar prosumers","type":"article-journal","volume":"114"},"uris":["http://www.mendeley.com/documents/?uuid=a44b6697-7076-3c35-b5c6-89b964a54565"]}],"mendeley":{"formattedCitation":"(Merla Kubli, 2018)","manualFormatting":"Kubli (2018)","plainTextFormattedCitation":"(Merla Kubli, 2018)","previouslyFormattedCitation":"(Merla Kubli, 2018)"},"properties":{"noteIndex":0},"schema":"https://github.com/citation-style-language/schema/raw/master/csl-citation.json"}</w:instrText>
      </w:r>
      <w:r w:rsidRPr="007A1BA9">
        <w:rPr>
          <w:rFonts w:eastAsiaTheme="minorEastAsia"/>
          <w:lang w:val="en-US"/>
        </w:rPr>
        <w:fldChar w:fldCharType="separate"/>
      </w:r>
      <w:r w:rsidRPr="007A1BA9">
        <w:rPr>
          <w:rFonts w:eastAsiaTheme="minorEastAsia"/>
          <w:noProof/>
          <w:lang w:val="en-US"/>
        </w:rPr>
        <w:t>Kubli (2018)</w:t>
      </w:r>
      <w:r w:rsidRPr="007A1BA9">
        <w:rPr>
          <w:rFonts w:eastAsiaTheme="minorEastAsia"/>
          <w:lang w:val="en-US"/>
        </w:rPr>
        <w:fldChar w:fldCharType="end"/>
      </w:r>
      <w:bookmarkEnd w:id="4"/>
      <w:r w:rsidRPr="007A1BA9">
        <w:rPr>
          <w:rFonts w:eastAsiaTheme="minorEastAsia"/>
          <w:lang w:val="en-US"/>
        </w:rPr>
        <w:t xml:space="preserve"> to reflect the behavior of industrial customers. The effect of payback time is defined as:</w:t>
      </w:r>
    </w:p>
    <w:bookmarkStart w:id="5" w:name="_Hlk8638851"/>
    <w:p w14:paraId="5E52F9B4" w14:textId="35E12FDA" w:rsidR="007A1BA9" w:rsidRDefault="004B6612" w:rsidP="007A1BA9">
      <w:pPr>
        <w:pStyle w:val="Beschriftung"/>
        <w:rPr>
          <w:rFonts w:eastAsiaTheme="minorEastAsia"/>
          <w:lang w:val="en-US"/>
        </w:rPr>
      </w:pPr>
      <m:oMath>
        <m:sSub>
          <m:sSubPr>
            <m:ctrlPr>
              <w:rPr>
                <w:rFonts w:ascii="Cambria Math" w:eastAsiaTheme="minorEastAsia" w:hAnsi="Cambria Math"/>
                <w:lang w:val="en-US"/>
              </w:rPr>
            </m:ctrlPr>
          </m:sSubPr>
          <m:e>
            <m:r>
              <w:rPr>
                <w:rFonts w:ascii="Cambria Math" w:eastAsiaTheme="minorEastAsia" w:hAnsi="Cambria Math"/>
                <w:lang w:val="en-US"/>
              </w:rPr>
              <m:t>f</m:t>
            </m:r>
          </m:e>
          <m:sub>
            <m:r>
              <w:rPr>
                <w:rFonts w:ascii="Cambria Math" w:eastAsiaTheme="minorEastAsia" w:hAnsi="Cambria Math"/>
                <w:lang w:val="en-US"/>
              </w:rPr>
              <m:t>payback_time</m:t>
            </m:r>
          </m:sub>
        </m:sSub>
        <m:r>
          <w:rPr>
            <w:rFonts w:ascii="Cambria Math" w:eastAsiaTheme="minorEastAsia" w:hAnsi="Cambria Math"/>
            <w:lang w:val="en-US"/>
          </w:rPr>
          <m:t>=</m:t>
        </m:r>
        <m:sSup>
          <m:sSupPr>
            <m:ctrlPr>
              <w:rPr>
                <w:rFonts w:ascii="Cambria Math" w:eastAsiaTheme="minorEastAsia" w:hAnsi="Cambria Math"/>
                <w:lang w:val="en-US"/>
              </w:rPr>
            </m:ctrlPr>
          </m:sSupPr>
          <m:e>
            <m:r>
              <w:rPr>
                <w:rFonts w:ascii="Cambria Math" w:eastAsiaTheme="minorEastAsia" w:hAnsi="Cambria Math"/>
                <w:lang w:val="en-US"/>
              </w:rPr>
              <m:t>0.9064</m:t>
            </m:r>
          </m:e>
          <m:sup>
            <m:sSub>
              <m:sSubPr>
                <m:ctrlPr>
                  <w:rPr>
                    <w:rFonts w:ascii="Cambria Math" w:eastAsiaTheme="minorEastAsia" w:hAnsi="Cambria Math"/>
                    <w:lang w:val="en-US"/>
                  </w:rPr>
                </m:ctrlPr>
              </m:sSubPr>
              <m:e>
                <m:r>
                  <w:rPr>
                    <w:rFonts w:ascii="Cambria Math" w:eastAsiaTheme="minorEastAsia" w:hAnsi="Cambria Math"/>
                    <w:lang w:val="en-US"/>
                  </w:rPr>
                  <m:t>T</m:t>
                </m:r>
              </m:e>
              <m:sub>
                <m:r>
                  <w:rPr>
                    <w:rFonts w:ascii="Cambria Math" w:eastAsiaTheme="minorEastAsia" w:hAnsi="Cambria Math"/>
                    <w:lang w:val="en-US"/>
                  </w:rPr>
                  <m:t>p,p</m:t>
                </m:r>
              </m:sub>
            </m:sSub>
          </m:sup>
        </m:sSup>
      </m:oMath>
      <w:r w:rsidR="007A1BA9">
        <w:rPr>
          <w:rFonts w:eastAsiaTheme="minorEastAsia"/>
          <w:lang w:val="en-US"/>
        </w:rPr>
        <w:t>,</w:t>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BA43B4" w:rsidRPr="00BA43B4">
        <w:rPr>
          <w:rFonts w:eastAsiaTheme="minorEastAsia"/>
          <w:i w:val="0"/>
          <w:iCs w:val="0"/>
          <w:sz w:val="22"/>
          <w:szCs w:val="22"/>
          <w:lang w:val="en-US"/>
        </w:rPr>
        <w:t>(</w:t>
      </w:r>
      <w:r w:rsidR="00673E8F">
        <w:rPr>
          <w:rFonts w:eastAsiaTheme="minorEastAsia"/>
          <w:i w:val="0"/>
          <w:iCs w:val="0"/>
          <w:sz w:val="22"/>
          <w:szCs w:val="22"/>
          <w:lang w:val="en-US"/>
        </w:rPr>
        <w:t>S</w:t>
      </w:r>
      <w:r w:rsidR="00BA43B4" w:rsidRPr="00BA43B4">
        <w:rPr>
          <w:rFonts w:eastAsiaTheme="minorEastAsia"/>
          <w:i w:val="0"/>
          <w:iCs w:val="0"/>
          <w:sz w:val="22"/>
          <w:szCs w:val="22"/>
          <w:lang w:val="en-US"/>
        </w:rPr>
        <w:fldChar w:fldCharType="begin"/>
      </w:r>
      <w:r w:rsidR="00BA43B4" w:rsidRPr="00BA43B4">
        <w:rPr>
          <w:rFonts w:eastAsiaTheme="minorEastAsia"/>
          <w:i w:val="0"/>
          <w:iCs w:val="0"/>
          <w:sz w:val="22"/>
          <w:szCs w:val="22"/>
          <w:lang w:val="en-US"/>
        </w:rPr>
        <w:instrText xml:space="preserve"> SEQ Equation \* ARABIC </w:instrText>
      </w:r>
      <w:r w:rsidR="00BA43B4" w:rsidRPr="00BA43B4">
        <w:rPr>
          <w:rFonts w:eastAsiaTheme="minorEastAsia"/>
          <w:i w:val="0"/>
          <w:iCs w:val="0"/>
          <w:sz w:val="22"/>
          <w:szCs w:val="22"/>
          <w:lang w:val="en-US"/>
        </w:rPr>
        <w:fldChar w:fldCharType="separate"/>
      </w:r>
      <w:r w:rsidR="00BA43B4">
        <w:rPr>
          <w:rFonts w:eastAsiaTheme="minorEastAsia"/>
          <w:i w:val="0"/>
          <w:iCs w:val="0"/>
          <w:noProof/>
          <w:sz w:val="22"/>
          <w:szCs w:val="22"/>
          <w:lang w:val="en-US"/>
        </w:rPr>
        <w:t>13</w:t>
      </w:r>
      <w:r w:rsidR="00BA43B4" w:rsidRPr="00BA43B4">
        <w:rPr>
          <w:rFonts w:eastAsiaTheme="minorEastAsia"/>
          <w:i w:val="0"/>
          <w:iCs w:val="0"/>
          <w:sz w:val="22"/>
          <w:szCs w:val="22"/>
          <w:lang w:val="en-US"/>
        </w:rPr>
        <w:fldChar w:fldCharType="end"/>
      </w:r>
      <w:r w:rsidR="00BA43B4" w:rsidRPr="00BA43B4">
        <w:rPr>
          <w:rFonts w:eastAsiaTheme="minorEastAsia"/>
          <w:i w:val="0"/>
          <w:iCs w:val="0"/>
          <w:sz w:val="22"/>
          <w:szCs w:val="22"/>
          <w:lang w:val="en-US"/>
        </w:rPr>
        <w:t>)</w:t>
      </w:r>
    </w:p>
    <w:bookmarkEnd w:id="5"/>
    <w:p w14:paraId="30426288" w14:textId="77777777" w:rsidR="007A1BA9" w:rsidRPr="007A1BA9" w:rsidRDefault="007A1BA9" w:rsidP="007A1BA9">
      <w:pPr>
        <w:rPr>
          <w:rFonts w:eastAsiaTheme="minorEastAsia"/>
          <w:lang w:val="en-US"/>
        </w:rPr>
      </w:pPr>
      <w:r w:rsidRPr="007A1BA9">
        <w:rPr>
          <w:rFonts w:eastAsiaTheme="minorEastAsia"/>
          <w:lang w:val="en-US"/>
        </w:rPr>
        <w:t>where</w:t>
      </w:r>
      <w:bookmarkStart w:id="6" w:name="_Hlk8638860"/>
      <w:r w:rsidRPr="007A1BA9">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p,p</m:t>
            </m:r>
          </m:sub>
        </m:sSub>
      </m:oMath>
      <w:bookmarkEnd w:id="6"/>
      <w:r w:rsidRPr="007A1BA9">
        <w:rPr>
          <w:rFonts w:eastAsiaTheme="minorEastAsia"/>
          <w:lang w:val="en-US"/>
        </w:rPr>
        <w:t xml:space="preserve"> is the perceived payback period [years]. For the effect of capital cost, the function is defined as:</w:t>
      </w:r>
    </w:p>
    <w:bookmarkStart w:id="7" w:name="_Hlk8639032"/>
    <w:bookmarkStart w:id="8" w:name="_Hlk8639041"/>
    <w:p w14:paraId="7DCAC3B5" w14:textId="1AF57F03" w:rsidR="007A1BA9" w:rsidRDefault="004B6612" w:rsidP="007A1BA9">
      <w:pPr>
        <w:pStyle w:val="Beschriftung"/>
        <w:rPr>
          <w:rFonts w:eastAsiaTheme="minorEastAsia"/>
          <w:lang w:val="en-US"/>
        </w:rPr>
      </w:pPr>
      <m:oMath>
        <m:sSub>
          <m:sSubPr>
            <m:ctrlPr>
              <w:rPr>
                <w:rFonts w:ascii="Cambria Math" w:eastAsiaTheme="minorEastAsia" w:hAnsi="Cambria Math"/>
                <w:sz w:val="22"/>
                <w:szCs w:val="22"/>
                <w:lang w:val="en-US"/>
              </w:rPr>
            </m:ctrlPr>
          </m:sSubPr>
          <m:e>
            <m:r>
              <w:rPr>
                <w:rFonts w:ascii="Cambria Math" w:eastAsiaTheme="minorEastAsia" w:hAnsi="Cambria Math"/>
                <w:lang w:val="en-US"/>
              </w:rPr>
              <m:t>f</m:t>
            </m:r>
          </m:e>
          <m:sub>
            <m:r>
              <w:rPr>
                <w:rFonts w:ascii="Cambria Math" w:eastAsiaTheme="minorEastAsia" w:hAnsi="Cambria Math"/>
                <w:lang w:val="en-US"/>
              </w:rPr>
              <m:t>capital</m:t>
            </m:r>
          </m:sub>
        </m:sSub>
        <m:r>
          <w:rPr>
            <w:rFonts w:ascii="Cambria Math" w:eastAsiaTheme="minorEastAsia" w:hAnsi="Cambria Math"/>
            <w:lang w:val="en-US"/>
          </w:rPr>
          <m:t>= 1.16536-</m:t>
        </m:r>
        <m:r>
          <w:rPr>
            <w:rFonts w:ascii="Cambria Math" w:eastAsiaTheme="minorEastAsia"/>
            <w:lang w:val="en-US"/>
          </w:rPr>
          <m:t>0.14579</m:t>
        </m:r>
        <m:r>
          <w:rPr>
            <w:rFonts w:ascii="Cambria Math" w:eastAsiaTheme="minorEastAsia" w:hAnsi="Cambria Math"/>
            <w:lang w:val="en-US"/>
          </w:rPr>
          <m:t>×</m:t>
        </m:r>
        <m:r>
          <w:rPr>
            <w:rFonts w:ascii="Cambria Math" w:eastAsiaTheme="minorEastAsia"/>
            <w:lang w:val="en-US"/>
          </w:rPr>
          <m:t>ln</m:t>
        </m:r>
        <m:d>
          <m:dPr>
            <m:ctrlPr>
              <w:rPr>
                <w:rFonts w:ascii="Cambria Math" w:eastAsiaTheme="minorEastAsia" w:hAnsi="Cambria Math"/>
                <w:sz w:val="22"/>
                <w:szCs w:val="22"/>
                <w:lang w:val="en-US"/>
              </w:rPr>
            </m:ctrlPr>
          </m:dPr>
          <m:e>
            <m:sSub>
              <m:sSubPr>
                <m:ctrlPr>
                  <w:rPr>
                    <w:rFonts w:ascii="Cambria Math" w:eastAsiaTheme="minorEastAsia" w:hAnsi="Cambria Math"/>
                    <w:sz w:val="22"/>
                    <w:szCs w:val="22"/>
                    <w:lang w:val="en-US"/>
                  </w:rPr>
                </m:ctrlPr>
              </m:sSubPr>
              <m:e>
                <m:r>
                  <w:rPr>
                    <w:rFonts w:ascii="Cambria Math" w:eastAsiaTheme="minorEastAsia"/>
                    <w:lang w:val="en-US"/>
                  </w:rPr>
                  <m:t>P</m:t>
                </m:r>
              </m:e>
              <m:sub>
                <m:r>
                  <w:rPr>
                    <w:rFonts w:ascii="Cambria Math" w:eastAsiaTheme="minorEastAsia"/>
                    <w:lang w:val="en-US"/>
                  </w:rPr>
                  <m:t>capital</m:t>
                </m:r>
              </m:sub>
            </m:sSub>
          </m:e>
        </m:d>
      </m:oMath>
      <w:r w:rsidR="007A1BA9">
        <w:rPr>
          <w:rFonts w:eastAsiaTheme="minorEastAsia"/>
          <w:lang w:val="en-US"/>
        </w:rPr>
        <w:t>,</w:t>
      </w:r>
      <w:r w:rsidR="007A1BA9">
        <w:rPr>
          <w:rFonts w:eastAsiaTheme="minorEastAsia"/>
          <w:lang w:val="en-US"/>
        </w:rPr>
        <w:tab/>
      </w:r>
      <w:r w:rsidR="007A1BA9">
        <w:rPr>
          <w:rFonts w:eastAsiaTheme="minorEastAsia"/>
          <w:lang w:val="en-US"/>
        </w:rPr>
        <w:tab/>
      </w:r>
      <w:bookmarkEnd w:id="7"/>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7A1BA9">
        <w:rPr>
          <w:rFonts w:eastAsiaTheme="minorEastAsia"/>
          <w:lang w:val="en-US"/>
        </w:rPr>
        <w:tab/>
      </w:r>
      <w:r w:rsidR="00BA43B4">
        <w:rPr>
          <w:rFonts w:eastAsiaTheme="minorEastAsia"/>
          <w:lang w:val="en-US"/>
        </w:rPr>
        <w:tab/>
      </w:r>
      <w:r w:rsidR="00BA43B4" w:rsidRPr="00BA43B4">
        <w:rPr>
          <w:rFonts w:eastAsiaTheme="minorEastAsia"/>
          <w:i w:val="0"/>
          <w:iCs w:val="0"/>
          <w:sz w:val="22"/>
          <w:szCs w:val="22"/>
          <w:lang w:val="en-US"/>
        </w:rPr>
        <w:t>(</w:t>
      </w:r>
      <w:r w:rsidR="00673E8F">
        <w:rPr>
          <w:rFonts w:eastAsiaTheme="minorEastAsia"/>
          <w:i w:val="0"/>
          <w:iCs w:val="0"/>
          <w:sz w:val="22"/>
          <w:szCs w:val="22"/>
          <w:lang w:val="en-US"/>
        </w:rPr>
        <w:t>S</w:t>
      </w:r>
      <w:r w:rsidR="00BA43B4" w:rsidRPr="00BA43B4">
        <w:rPr>
          <w:rFonts w:eastAsiaTheme="minorEastAsia"/>
          <w:i w:val="0"/>
          <w:iCs w:val="0"/>
          <w:sz w:val="22"/>
          <w:szCs w:val="22"/>
          <w:lang w:val="en-US"/>
        </w:rPr>
        <w:fldChar w:fldCharType="begin"/>
      </w:r>
      <w:r w:rsidR="00BA43B4" w:rsidRPr="00BA43B4">
        <w:rPr>
          <w:rFonts w:eastAsiaTheme="minorEastAsia"/>
          <w:i w:val="0"/>
          <w:iCs w:val="0"/>
          <w:sz w:val="22"/>
          <w:szCs w:val="22"/>
          <w:lang w:val="en-US"/>
        </w:rPr>
        <w:instrText xml:space="preserve"> SEQ Equation \* ARABIC </w:instrText>
      </w:r>
      <w:r w:rsidR="00BA43B4" w:rsidRPr="00BA43B4">
        <w:rPr>
          <w:rFonts w:eastAsiaTheme="minorEastAsia"/>
          <w:i w:val="0"/>
          <w:iCs w:val="0"/>
          <w:sz w:val="22"/>
          <w:szCs w:val="22"/>
          <w:lang w:val="en-US"/>
        </w:rPr>
        <w:fldChar w:fldCharType="separate"/>
      </w:r>
      <w:r w:rsidR="00BA43B4">
        <w:rPr>
          <w:rFonts w:eastAsiaTheme="minorEastAsia"/>
          <w:i w:val="0"/>
          <w:iCs w:val="0"/>
          <w:noProof/>
          <w:sz w:val="22"/>
          <w:szCs w:val="22"/>
          <w:lang w:val="en-US"/>
        </w:rPr>
        <w:t>14</w:t>
      </w:r>
      <w:r w:rsidR="00BA43B4" w:rsidRPr="00BA43B4">
        <w:rPr>
          <w:rFonts w:eastAsiaTheme="minorEastAsia"/>
          <w:i w:val="0"/>
          <w:iCs w:val="0"/>
          <w:sz w:val="22"/>
          <w:szCs w:val="22"/>
          <w:lang w:val="en-US"/>
        </w:rPr>
        <w:fldChar w:fldCharType="end"/>
      </w:r>
      <w:r w:rsidR="00BA43B4" w:rsidRPr="00BA43B4">
        <w:rPr>
          <w:rFonts w:eastAsiaTheme="minorEastAsia"/>
          <w:i w:val="0"/>
          <w:iCs w:val="0"/>
          <w:sz w:val="22"/>
          <w:szCs w:val="22"/>
          <w:lang w:val="en-US"/>
        </w:rPr>
        <w:t>)</w:t>
      </w:r>
    </w:p>
    <w:bookmarkEnd w:id="8"/>
    <w:p w14:paraId="66C301D2" w14:textId="77777777" w:rsidR="007A1BA9" w:rsidRPr="007A1BA9" w:rsidRDefault="007A1BA9" w:rsidP="007A1BA9">
      <w:pPr>
        <w:rPr>
          <w:rFonts w:eastAsiaTheme="minorEastAsia"/>
          <w:lang w:val="en-US"/>
        </w:rPr>
      </w:pPr>
      <w:r w:rsidRPr="007A1BA9">
        <w:rPr>
          <w:rFonts w:eastAsiaTheme="minorEastAsia"/>
          <w:lang w:val="en-US"/>
        </w:rPr>
        <w:t xml:space="preserve">where </w:t>
      </w:r>
      <w:bookmarkStart w:id="9" w:name="_Hlk8639056"/>
      <m:oMath>
        <m:sSub>
          <m:sSubPr>
            <m:ctrlPr>
              <w:rPr>
                <w:rFonts w:ascii="Cambria Math" w:eastAsiaTheme="minorEastAsia" w:hAnsi="Cambria Math"/>
                <w:i/>
                <w:lang w:val="en-US"/>
              </w:rPr>
            </m:ctrlPr>
          </m:sSubPr>
          <m:e>
            <m:r>
              <w:rPr>
                <w:rFonts w:ascii="Cambria Math" w:eastAsiaTheme="minorEastAsia"/>
                <w:lang w:val="en-US"/>
              </w:rPr>
              <m:t>P</m:t>
            </m:r>
          </m:e>
          <m:sub>
            <m:r>
              <w:rPr>
                <w:rFonts w:ascii="Cambria Math" w:eastAsiaTheme="minorEastAsia"/>
                <w:lang w:val="en-US"/>
              </w:rPr>
              <m:t>capital</m:t>
            </m:r>
          </m:sub>
        </m:sSub>
      </m:oMath>
      <w:bookmarkEnd w:id="9"/>
      <w:r w:rsidRPr="007A1BA9">
        <w:rPr>
          <w:rFonts w:eastAsiaTheme="minorEastAsia"/>
          <w:lang w:val="en-US"/>
        </w:rPr>
        <w:t xml:space="preserve"> is the investment cost of a project. </w:t>
      </w:r>
      <w:r w:rsidRPr="007A1BA9">
        <w:rPr>
          <w:lang w:val="en-US"/>
        </w:rPr>
        <w:t xml:space="preserve">The scarcity function was adopted from </w:t>
      </w:r>
      <w:bookmarkStart w:id="10" w:name="_Hlk8639116"/>
      <w:r w:rsidRPr="007A1BA9">
        <w:rPr>
          <w:lang w:val="en-US"/>
        </w:rPr>
        <w:fldChar w:fldCharType="begin" w:fldLock="1"/>
      </w:r>
      <w:r w:rsidRPr="007A1BA9">
        <w:rPr>
          <w:lang w:val="en-US"/>
        </w:rPr>
        <w:instrText>ADDIN CSL_CITATION {"citationItems":[{"id":"ITEM-1","itemData":{"DOI":"10.1016/j.erss.2015.12.015","ISSN":"22146296","abstract":"© 2015 Elsevier Ltd. All rights reserved.Distributed generation is becoming increasingly important in energy systems, causing a transition towards decentralisation. These decentralisation dynamics are difficult to predict in their scope and timing and therefore present a major challenge for utility companies. This paper aims to make a contribution to the field of energy transitions with a model-based theory-building approach. A conceptual framework of the major (circular) causalities of regional energy systems is presented. It improves the knowledge on transition patterns of distributed generation concepts and the interplaying network effects. Network effects between technologies, the installed base and the investment decision criteria are important elements in the transition dynamics. A System Dynamics simulation model is built, capturing the consumption concepts related to distributed generation, as well as arising network effects, to analyse the likely transition patterns of regional energy systems. Our simulation results highlight the significance of network effects steering the investment decision for distributed generation concepts, pilot projects to accelerate the transition of regional energy systems and the general role of microgrids in the decentralisation dynamics.","author":[{"dropping-particle":"","family":"Kubli","given":"M.","non-dropping-particle":"","parse-names":false,"suffix":""},{"dropping-particle":"","family":"Ulli-Beer","given":"S.","non-dropping-particle":"","parse-names":false,"suffix":""}],"container-title":"Energy Research and Social Science","id":"ITEM-1","issued":{"date-parts":[["2016"]]},"page":"71-83","title":"Decentralisation dynamics in energy systems: A generic simulation of network effects","type":"article-journal","volume":"13"},"uris":["http://www.mendeley.com/documents/?uuid=dd3f41f5-8799-321b-a5d7-6417a82270bd","http://www.mendeley.com/documents/?uuid=de6757e3-7ad3-40ec-9b34-8c24f14fb9d3","http://www.mendeley.com/documents/?uuid=e0472468-a4b2-4495-bba3-3745494da4fb"]}],"mendeley":{"formattedCitation":"(M. Kubli &amp; Ulli-Beer, 2016)","manualFormatting":"Kubli and Ulli-Beer (2016)","plainTextFormattedCitation":"(M. Kubli &amp; Ulli-Beer, 2016)","previouslyFormattedCitation":"(M. Kubli &amp; Ulli-Beer, 2016)"},"properties":{"noteIndex":0},"schema":"https://github.com/citation-style-language/schema/raw/master/csl-citation.json"}</w:instrText>
      </w:r>
      <w:r w:rsidRPr="007A1BA9">
        <w:rPr>
          <w:lang w:val="en-US"/>
        </w:rPr>
        <w:fldChar w:fldCharType="separate"/>
      </w:r>
      <w:r w:rsidRPr="007A1BA9">
        <w:rPr>
          <w:noProof/>
          <w:lang w:val="en-US"/>
        </w:rPr>
        <w:t>Kubli and Ulli-Beer (2016)</w:t>
      </w:r>
      <w:r w:rsidRPr="007A1BA9">
        <w:rPr>
          <w:lang w:val="en-US"/>
        </w:rPr>
        <w:fldChar w:fldCharType="end"/>
      </w:r>
      <w:bookmarkEnd w:id="10"/>
      <w:r w:rsidRPr="007A1BA9">
        <w:rPr>
          <w:lang w:val="en-US"/>
        </w:rPr>
        <w:t>.</w:t>
      </w:r>
      <w:r w:rsidRPr="007A1BA9">
        <w:rPr>
          <w:rFonts w:eastAsiaTheme="minorEastAsia"/>
          <w:lang w:val="en-US"/>
        </w:rPr>
        <w:t xml:space="preserve"> The capital costs are prescribed, static and technology-specific, whereas payback time, scarcity and familiarity are time-dependent. The calculation of perceived payback time is summarized in the next section.</w:t>
      </w:r>
    </w:p>
    <w:p w14:paraId="4E7DE97F" w14:textId="01FCB8CD" w:rsidR="007A1BA9" w:rsidRDefault="007A1BA9" w:rsidP="007A1BA9">
      <w:pPr>
        <w:rPr>
          <w:lang w:val="en-US"/>
        </w:rPr>
      </w:pPr>
      <w:r w:rsidRPr="007A1BA9">
        <w:rPr>
          <w:lang w:val="en-US"/>
        </w:rPr>
        <w:t xml:space="preserve">The scarcity effect is relevant only for the Power Alliance tariff PAT. </w:t>
      </w:r>
      <w:r w:rsidRPr="00D51386">
        <w:rPr>
          <w:lang w:val="en-US"/>
        </w:rPr>
        <w:t xml:space="preserve">Indeed, as mentioned in Section </w:t>
      </w:r>
      <w:r w:rsidR="00D51386">
        <w:rPr>
          <w:lang w:val="en-US"/>
        </w:rPr>
        <w:t>3.2.1 (main document),</w:t>
      </w:r>
      <w:r w:rsidRPr="00D51386">
        <w:rPr>
          <w:lang w:val="en-US"/>
        </w:rPr>
        <w:t xml:space="preserve"> </w:t>
      </w:r>
      <w:r w:rsidRPr="007A1BA9">
        <w:rPr>
          <w:lang w:val="en-US"/>
        </w:rPr>
        <w:t xml:space="preserve">this business model presupposes that it is possible to use a higher fraction than 50% of the transmission capacity of power lines. The additional capacity sets an upper limit to the number of customers who can subscribe to the PAT, making it less likely for a customer to choose this option if there are already many customers with PAT. As shown on </w:t>
      </w:r>
      <w:r w:rsidR="00D51386">
        <w:rPr>
          <w:lang w:val="en-US"/>
        </w:rPr>
        <w:t>Fig. S1</w:t>
      </w:r>
      <w:r w:rsidRPr="007A1BA9">
        <w:rPr>
          <w:lang w:val="en-US"/>
        </w:rPr>
        <w:t xml:space="preserve"> d, the scarcity effect is small unless the potential for PAT customers is nearly fulfilled</w:t>
      </w:r>
      <w:r w:rsidR="00617CFE">
        <w:rPr>
          <w:lang w:val="en-US"/>
        </w:rPr>
        <w:t>.</w:t>
      </w:r>
    </w:p>
    <w:p w14:paraId="1F4188A8" w14:textId="788D44C8" w:rsidR="007A1BA9" w:rsidRPr="007A1BA9" w:rsidRDefault="004B6612" w:rsidP="004B6612">
      <w:pPr>
        <w:pStyle w:val="berschrift1"/>
        <w:ind w:left="283"/>
        <w:rPr>
          <w:lang w:val="en-US"/>
        </w:rPr>
      </w:pPr>
      <w:r>
        <w:rPr>
          <w:lang w:val="en-US"/>
        </w:rPr>
        <w:t xml:space="preserve">S3. </w:t>
      </w:r>
      <w:bookmarkStart w:id="11" w:name="_GoBack"/>
      <w:bookmarkEnd w:id="11"/>
      <w:r w:rsidR="007A1BA9">
        <w:rPr>
          <w:lang w:val="en-US"/>
        </w:rPr>
        <w:t>Scenario definition</w:t>
      </w:r>
    </w:p>
    <w:p w14:paraId="23D99AFE" w14:textId="389419B1" w:rsidR="00BA43B4" w:rsidRDefault="00F36D5A">
      <w:pPr>
        <w:rPr>
          <w:lang w:val="en-US"/>
        </w:rPr>
      </w:pPr>
      <w:r w:rsidRPr="00F36D5A">
        <w:rPr>
          <w:lang w:val="en-US"/>
        </w:rPr>
        <w:t>In the simulation model, th</w:t>
      </w:r>
      <w:r w:rsidR="00C4334A">
        <w:rPr>
          <w:lang w:val="en-US"/>
        </w:rPr>
        <w:t>e electricity price</w:t>
      </w:r>
      <w:r w:rsidR="008F3984">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t>
            </m:r>
          </m:sub>
        </m:sSub>
      </m:oMath>
      <w:r w:rsidR="00C4334A">
        <w:rPr>
          <w:lang w:val="en-US"/>
        </w:rPr>
        <w:t xml:space="preserve"> [€/kWh] paid by the customers is the sum of energy price, a surcharge to finance the development of renewable energy as per the German Renewable Energy Sources Act (EEG)</w:t>
      </w:r>
      <w:r w:rsidR="00D03A94">
        <w:rPr>
          <w:lang w:val="en-US"/>
        </w:rPr>
        <w:t xml:space="preserve">, </w:t>
      </w:r>
      <w:r w:rsidR="008F3984">
        <w:rPr>
          <w:lang w:val="en-US"/>
        </w:rPr>
        <w:t xml:space="preserve">a surcharge to subsidize the operation of combined heat and power (CHP) plants, </w:t>
      </w:r>
      <w:r w:rsidR="00D03A94">
        <w:rPr>
          <w:lang w:val="en-US"/>
        </w:rPr>
        <w:t>an electricity tax</w:t>
      </w:r>
      <w:r w:rsidR="00A7759C">
        <w:rPr>
          <w:lang w:val="en-US"/>
        </w:rPr>
        <w:t>, a concession levy</w:t>
      </w:r>
      <w:r w:rsidR="008F3984">
        <w:rPr>
          <w:lang w:val="en-US"/>
        </w:rPr>
        <w:t xml:space="preserve">, and the volumetric grid tariff (customers also pay a per-capacity grid tariff, which is not included in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el</m:t>
            </m:r>
          </m:sub>
        </m:sSub>
      </m:oMath>
      <w:r w:rsidR="002B05F9">
        <w:rPr>
          <w:rFonts w:eastAsiaTheme="minorEastAsia"/>
          <w:lang w:val="en-US"/>
        </w:rPr>
        <w:t xml:space="preserve"> – see </w:t>
      </w:r>
      <w:r w:rsidR="00BF09EF">
        <w:rPr>
          <w:rFonts w:eastAsiaTheme="minorEastAsia"/>
          <w:lang w:val="en-US"/>
        </w:rPr>
        <w:t>Sect. 3.1.2 of the main document</w:t>
      </w:r>
      <w:r w:rsidR="002B05F9">
        <w:rPr>
          <w:rFonts w:eastAsiaTheme="minorEastAsia"/>
          <w:lang w:val="en-US"/>
        </w:rPr>
        <w:t xml:space="preserve"> for more information</w:t>
      </w:r>
      <w:r w:rsidR="008F3984">
        <w:rPr>
          <w:lang w:val="en-US"/>
        </w:rPr>
        <w:t>)</w:t>
      </w:r>
      <w:r w:rsidR="002B05F9">
        <w:rPr>
          <w:lang w:val="en-US"/>
        </w:rPr>
        <w:t xml:space="preserve">. </w:t>
      </w:r>
      <w:r w:rsidR="00162388">
        <w:rPr>
          <w:lang w:val="en-US"/>
        </w:rPr>
        <w:t xml:space="preserve">Only the energy price and EEG surcharge vary temporally, whereas the other price components are assumed to remain constant, amounting to </w:t>
      </w:r>
      <w:r w:rsidR="00085F2E">
        <w:rPr>
          <w:lang w:val="en-US"/>
        </w:rPr>
        <w:t xml:space="preserve">4.18 </w:t>
      </w:r>
      <w:r w:rsidR="00920B3A">
        <w:rPr>
          <w:lang w:val="en-US"/>
        </w:rPr>
        <w:t>€</w:t>
      </w:r>
      <w:r w:rsidR="00085F2E">
        <w:rPr>
          <w:lang w:val="en-US"/>
        </w:rPr>
        <w:t>c</w:t>
      </w:r>
      <w:r w:rsidR="00920B3A">
        <w:rPr>
          <w:lang w:val="en-US"/>
        </w:rPr>
        <w:t xml:space="preserve">/kWh in the BAU scenario and </w:t>
      </w:r>
      <w:r w:rsidR="00085F2E">
        <w:rPr>
          <w:lang w:val="en-US"/>
        </w:rPr>
        <w:t xml:space="preserve">3.74 </w:t>
      </w:r>
      <w:r w:rsidR="00920B3A">
        <w:rPr>
          <w:lang w:val="en-US"/>
        </w:rPr>
        <w:t>€</w:t>
      </w:r>
      <w:r w:rsidR="00085F2E">
        <w:rPr>
          <w:lang w:val="en-US"/>
        </w:rPr>
        <w:t>c</w:t>
      </w:r>
      <w:r w:rsidR="00920B3A">
        <w:rPr>
          <w:lang w:val="en-US"/>
        </w:rPr>
        <w:t xml:space="preserve">/kWh under the climate policy scenario. This difference is due to the assumption that in a policy setting promoting electrification, all industrial customers are paying the preferential </w:t>
      </w:r>
      <w:r w:rsidR="00085F2E">
        <w:rPr>
          <w:lang w:val="en-US"/>
        </w:rPr>
        <w:t xml:space="preserve">CHP surcharge </w:t>
      </w:r>
      <w:bookmarkStart w:id="12" w:name="_Hlk33638296"/>
      <w:r w:rsidR="00085F2E">
        <w:rPr>
          <w:lang w:val="en-US"/>
        </w:rPr>
        <w:t>tariff</w:t>
      </w:r>
      <w:r w:rsidR="00FB5753">
        <w:rPr>
          <w:lang w:val="en-US"/>
        </w:rPr>
        <w:t xml:space="preserve"> currently applicable to the energy intensive industry sectors</w:t>
      </w:r>
      <w:bookmarkEnd w:id="12"/>
      <w:r w:rsidR="00FB5753">
        <w:rPr>
          <w:lang w:val="en-US"/>
        </w:rPr>
        <w:t xml:space="preserve">. </w:t>
      </w:r>
      <w:r w:rsidR="00920B3A">
        <w:rPr>
          <w:lang w:val="en-US"/>
        </w:rPr>
        <w:t xml:space="preserve">The breakdown is </w:t>
      </w:r>
      <w:r w:rsidR="00085F2E">
        <w:rPr>
          <w:lang w:val="en-US"/>
        </w:rPr>
        <w:t xml:space="preserve">given in Table </w:t>
      </w:r>
      <w:r w:rsidR="00D51386">
        <w:rPr>
          <w:lang w:val="en-US"/>
        </w:rPr>
        <w:t>S1</w:t>
      </w:r>
      <w:r w:rsidR="00920B3A">
        <w:rPr>
          <w:lang w:val="en-US"/>
        </w:rPr>
        <w:t>:</w:t>
      </w:r>
    </w:p>
    <w:p w14:paraId="6E1BC1A9" w14:textId="0DC06976" w:rsidR="00CD1A24" w:rsidRPr="00CD1A24" w:rsidRDefault="00CD1A24" w:rsidP="00CD1A24">
      <w:pPr>
        <w:pStyle w:val="Beschriftung"/>
        <w:keepNext/>
        <w:rPr>
          <w:lang w:val="en-US"/>
        </w:rPr>
      </w:pPr>
      <w:r w:rsidRPr="00CD1A24">
        <w:rPr>
          <w:lang w:val="en-US"/>
        </w:rPr>
        <w:t xml:space="preserve">Table </w:t>
      </w:r>
      <w:r w:rsidR="00673E8F">
        <w:rPr>
          <w:lang w:val="en-US"/>
        </w:rPr>
        <w:t>S</w:t>
      </w:r>
      <w:r>
        <w:fldChar w:fldCharType="begin"/>
      </w:r>
      <w:r w:rsidRPr="00CD1A24">
        <w:rPr>
          <w:lang w:val="en-US"/>
        </w:rPr>
        <w:instrText xml:space="preserve"> SEQ Table \* ARABIC </w:instrText>
      </w:r>
      <w:r>
        <w:fldChar w:fldCharType="separate"/>
      </w:r>
      <w:r w:rsidR="00BA43B4">
        <w:rPr>
          <w:noProof/>
          <w:lang w:val="en-US"/>
        </w:rPr>
        <w:t>1</w:t>
      </w:r>
      <w:r>
        <w:fldChar w:fldCharType="end"/>
      </w:r>
      <w:r w:rsidRPr="00CD1A24">
        <w:rPr>
          <w:lang w:val="en-US"/>
        </w:rPr>
        <w:t xml:space="preserve">: Breakdown of the time-invariant components of electricity price </w:t>
      </w:r>
      <w:r w:rsidRPr="00CD1A24">
        <w:rPr>
          <w:noProof/>
          <w:lang w:val="en-US"/>
        </w:rPr>
        <w:t>in the BAU and CP scenarios.</w:t>
      </w:r>
    </w:p>
    <w:tbl>
      <w:tblPr>
        <w:tblStyle w:val="Tabellenraster"/>
        <w:tblW w:w="0" w:type="auto"/>
        <w:tblLook w:val="04A0" w:firstRow="1" w:lastRow="0" w:firstColumn="1" w:lastColumn="0" w:noHBand="0" w:noVBand="1"/>
      </w:tblPr>
      <w:tblGrid>
        <w:gridCol w:w="2122"/>
        <w:gridCol w:w="2126"/>
        <w:gridCol w:w="1984"/>
        <w:gridCol w:w="2830"/>
      </w:tblGrid>
      <w:tr w:rsidR="00FB5753" w14:paraId="69CC1627" w14:textId="77777777" w:rsidTr="00A2531E">
        <w:tc>
          <w:tcPr>
            <w:tcW w:w="2122" w:type="dxa"/>
          </w:tcPr>
          <w:p w14:paraId="39E163DC" w14:textId="77777777" w:rsidR="00FB5753" w:rsidRPr="0063615B" w:rsidRDefault="00FB5753">
            <w:pPr>
              <w:rPr>
                <w:b/>
                <w:lang w:val="en-US"/>
              </w:rPr>
            </w:pPr>
            <w:r w:rsidRPr="0063615B">
              <w:rPr>
                <w:b/>
                <w:lang w:val="en-US"/>
              </w:rPr>
              <w:t>Price component</w:t>
            </w:r>
          </w:p>
        </w:tc>
        <w:tc>
          <w:tcPr>
            <w:tcW w:w="2126" w:type="dxa"/>
          </w:tcPr>
          <w:p w14:paraId="16C0C551" w14:textId="77777777" w:rsidR="00FB5753" w:rsidRPr="0063615B" w:rsidRDefault="0063615B">
            <w:pPr>
              <w:rPr>
                <w:b/>
                <w:lang w:val="en-US"/>
              </w:rPr>
            </w:pPr>
            <w:r w:rsidRPr="0063615B">
              <w:rPr>
                <w:b/>
                <w:lang w:val="en-US"/>
              </w:rPr>
              <w:t>Price under BAU scenario [€c/kWh]</w:t>
            </w:r>
          </w:p>
        </w:tc>
        <w:tc>
          <w:tcPr>
            <w:tcW w:w="1984" w:type="dxa"/>
          </w:tcPr>
          <w:p w14:paraId="7C5E7875" w14:textId="77777777" w:rsidR="00FB5753" w:rsidRPr="0063615B" w:rsidRDefault="0063615B">
            <w:pPr>
              <w:rPr>
                <w:b/>
                <w:lang w:val="en-US"/>
              </w:rPr>
            </w:pPr>
            <w:r w:rsidRPr="0063615B">
              <w:rPr>
                <w:b/>
                <w:lang w:val="en-US"/>
              </w:rPr>
              <w:t>Price under CP scenario [€c/kWh]</w:t>
            </w:r>
          </w:p>
        </w:tc>
        <w:tc>
          <w:tcPr>
            <w:tcW w:w="2830" w:type="dxa"/>
          </w:tcPr>
          <w:p w14:paraId="4F401E02" w14:textId="77777777" w:rsidR="00FB5753" w:rsidRPr="0063615B" w:rsidRDefault="0063615B">
            <w:pPr>
              <w:rPr>
                <w:b/>
                <w:lang w:val="en-US"/>
              </w:rPr>
            </w:pPr>
            <w:r w:rsidRPr="0063615B">
              <w:rPr>
                <w:b/>
                <w:lang w:val="en-US"/>
              </w:rPr>
              <w:t>Reference</w:t>
            </w:r>
          </w:p>
        </w:tc>
      </w:tr>
      <w:tr w:rsidR="00FB5753" w14:paraId="372D8745" w14:textId="77777777" w:rsidTr="00A2531E">
        <w:tc>
          <w:tcPr>
            <w:tcW w:w="2122" w:type="dxa"/>
          </w:tcPr>
          <w:p w14:paraId="557AD7CB" w14:textId="77777777" w:rsidR="00FB5753" w:rsidRDefault="00FB5753">
            <w:pPr>
              <w:rPr>
                <w:lang w:val="en-US"/>
              </w:rPr>
            </w:pPr>
            <w:r>
              <w:rPr>
                <w:lang w:val="en-US"/>
              </w:rPr>
              <w:t xml:space="preserve">Electricity tax </w:t>
            </w:r>
          </w:p>
        </w:tc>
        <w:tc>
          <w:tcPr>
            <w:tcW w:w="2126" w:type="dxa"/>
          </w:tcPr>
          <w:p w14:paraId="64B569B9" w14:textId="77777777" w:rsidR="00FB5753" w:rsidRDefault="00FB5753">
            <w:pPr>
              <w:rPr>
                <w:lang w:val="en-US"/>
              </w:rPr>
            </w:pPr>
            <w:r>
              <w:rPr>
                <w:lang w:val="en-US"/>
              </w:rPr>
              <w:t>1.54</w:t>
            </w:r>
          </w:p>
        </w:tc>
        <w:tc>
          <w:tcPr>
            <w:tcW w:w="1984" w:type="dxa"/>
          </w:tcPr>
          <w:p w14:paraId="1EA5DC63" w14:textId="77777777" w:rsidR="00FB5753" w:rsidRDefault="00FB5753">
            <w:pPr>
              <w:rPr>
                <w:lang w:val="en-US"/>
              </w:rPr>
            </w:pPr>
            <w:r>
              <w:rPr>
                <w:lang w:val="en-US"/>
              </w:rPr>
              <w:t>1.54</w:t>
            </w:r>
          </w:p>
        </w:tc>
        <w:tc>
          <w:tcPr>
            <w:tcW w:w="2830" w:type="dxa"/>
          </w:tcPr>
          <w:p w14:paraId="5C04974F" w14:textId="77777777" w:rsidR="00FB5753" w:rsidRDefault="00A2531E">
            <w:pPr>
              <w:rPr>
                <w:lang w:val="en-US"/>
              </w:rPr>
            </w:pPr>
            <w:r>
              <w:rPr>
                <w:lang w:val="en-US"/>
              </w:rPr>
              <w:fldChar w:fldCharType="begin" w:fldLock="1"/>
            </w:r>
            <w:r>
              <w:rPr>
                <w:lang w:val="en-US"/>
              </w:rPr>
              <w:instrText>ADDIN CSL_CITATION {"citationItems":[{"id":"ITEM-1","itemData":{"author":[{"dropping-particle":"","family":"Fraunhofer ISI","given":"","non-dropping-particle":"","parse-names":false,"suffix":""},{"dropping-particle":"","family":"Ecofys","given":"","non-dropping-particle":"","parse-names":false,"suffix":""}],"id":"ITEM-1","issued":{"date-parts":[["2015"]]},"number-of-pages":"85","title":"Electricity Costs of Energy Intensive Industries - An International Comparison","type":"report"},"uris":["http://www.mendeley.com/documents/?uuid=2fd259e8-ac36-4943-b9cc-ba79aa35a2e8"]}],"mendeley":{"formattedCitation":"(Fraunhofer ISI &amp; Ecofys, 2015)","plainTextFormattedCitation":"(Fraunhofer ISI &amp; Ecofys, 2015)","previouslyFormattedCitation":"(Fraunhofer ISI &amp; Ecofys, 2015)"},"properties":{"noteIndex":0},"schema":"https://github.com/citation-style-language/schema/raw/master/csl-citation.json"}</w:instrText>
            </w:r>
            <w:r>
              <w:rPr>
                <w:lang w:val="en-US"/>
              </w:rPr>
              <w:fldChar w:fldCharType="separate"/>
            </w:r>
            <w:r w:rsidRPr="00A2531E">
              <w:rPr>
                <w:noProof/>
                <w:lang w:val="en-US"/>
              </w:rPr>
              <w:t>(Fraunhofer ISI &amp; Ecofys, 2015)</w:t>
            </w:r>
            <w:r>
              <w:rPr>
                <w:lang w:val="en-US"/>
              </w:rPr>
              <w:fldChar w:fldCharType="end"/>
            </w:r>
          </w:p>
        </w:tc>
      </w:tr>
      <w:tr w:rsidR="00FB5753" w14:paraId="28069619" w14:textId="77777777" w:rsidTr="00A2531E">
        <w:tc>
          <w:tcPr>
            <w:tcW w:w="2122" w:type="dxa"/>
          </w:tcPr>
          <w:p w14:paraId="68AB262D" w14:textId="77777777" w:rsidR="00FB5753" w:rsidRDefault="0063615B">
            <w:pPr>
              <w:rPr>
                <w:lang w:val="en-US"/>
              </w:rPr>
            </w:pPr>
            <w:r>
              <w:rPr>
                <w:lang w:val="en-US"/>
              </w:rPr>
              <w:t>CHP surcharge</w:t>
            </w:r>
          </w:p>
        </w:tc>
        <w:tc>
          <w:tcPr>
            <w:tcW w:w="2126" w:type="dxa"/>
          </w:tcPr>
          <w:p w14:paraId="08E46A76" w14:textId="77777777" w:rsidR="00FB5753" w:rsidRDefault="00F32322">
            <w:pPr>
              <w:rPr>
                <w:lang w:val="en-US"/>
              </w:rPr>
            </w:pPr>
            <w:r>
              <w:rPr>
                <w:lang w:val="en-US"/>
              </w:rPr>
              <w:t>0.438</w:t>
            </w:r>
          </w:p>
        </w:tc>
        <w:tc>
          <w:tcPr>
            <w:tcW w:w="1984" w:type="dxa"/>
          </w:tcPr>
          <w:p w14:paraId="3DD4E9BD" w14:textId="77777777" w:rsidR="00FB5753" w:rsidRDefault="00085F2E">
            <w:pPr>
              <w:rPr>
                <w:lang w:val="en-US"/>
              </w:rPr>
            </w:pPr>
            <w:r>
              <w:rPr>
                <w:lang w:val="en-US"/>
              </w:rPr>
              <w:t>0.03</w:t>
            </w:r>
          </w:p>
        </w:tc>
        <w:tc>
          <w:tcPr>
            <w:tcW w:w="2830" w:type="dxa"/>
          </w:tcPr>
          <w:p w14:paraId="2C17CC55" w14:textId="77777777" w:rsidR="00FB5753" w:rsidRDefault="00A2531E">
            <w:pPr>
              <w:rPr>
                <w:lang w:val="en-US"/>
              </w:rPr>
            </w:pPr>
            <w:r>
              <w:rPr>
                <w:lang w:val="en-US"/>
              </w:rPr>
              <w:fldChar w:fldCharType="begin" w:fldLock="1"/>
            </w:r>
            <w:r w:rsidR="00CD1A24">
              <w:rPr>
                <w:lang w:val="en-US"/>
              </w:rPr>
              <w:instrText>ADDIN CSL_CITATION {"citationItems":[{"id":"ITEM-1","itemData":{"author":[{"dropping-particle":"","family":"Fraunhofer ISI","given":"","non-dropping-particle":"","parse-names":false,"suffix":""},{"dropping-particle":"","family":"Ecofys","given":"","non-dropping-particle":"","parse-names":false,"suffix":""}],"id":"ITEM-1","issued":{"date-parts":[["2015"]]},"number-of-pages":"85","title":"Electricity Costs of Energy Intensive Industries - An International Comparison","type":"report"},"uris":["http://www.mendeley.com/documents/?uuid=2fd259e8-ac36-4943-b9cc-ba79aa35a2e8"]}],"mendeley":{"formattedCitation":"(Fraunhofer ISI &amp; Ecofys, 2015)","plainTextFormattedCitation":"(Fraunhofer ISI &amp; Ecofys, 2015)","previouslyFormattedCitation":"(Fraunhofer ISI &amp; Ecofys, 2015)"},"properties":{"noteIndex":0},"schema":"https://github.com/citation-style-language/schema/raw/master/csl-citation.json"}</w:instrText>
            </w:r>
            <w:r>
              <w:rPr>
                <w:lang w:val="en-US"/>
              </w:rPr>
              <w:fldChar w:fldCharType="separate"/>
            </w:r>
            <w:r w:rsidRPr="00A2531E">
              <w:rPr>
                <w:noProof/>
                <w:lang w:val="en-US"/>
              </w:rPr>
              <w:t>(Fraunhofer ISI &amp; Ecofys, 2015)</w:t>
            </w:r>
            <w:r>
              <w:rPr>
                <w:lang w:val="en-US"/>
              </w:rPr>
              <w:fldChar w:fldCharType="end"/>
            </w:r>
          </w:p>
        </w:tc>
      </w:tr>
      <w:tr w:rsidR="00FB5753" w14:paraId="7F46B316" w14:textId="77777777" w:rsidTr="00A2531E">
        <w:tc>
          <w:tcPr>
            <w:tcW w:w="2122" w:type="dxa"/>
          </w:tcPr>
          <w:p w14:paraId="1FB8FFEC" w14:textId="77777777" w:rsidR="00FB5753" w:rsidRDefault="0063615B">
            <w:pPr>
              <w:rPr>
                <w:lang w:val="en-US"/>
              </w:rPr>
            </w:pPr>
            <w:r>
              <w:rPr>
                <w:lang w:val="en-US"/>
              </w:rPr>
              <w:t>Volumetric grid tariff</w:t>
            </w:r>
          </w:p>
        </w:tc>
        <w:tc>
          <w:tcPr>
            <w:tcW w:w="2126" w:type="dxa"/>
          </w:tcPr>
          <w:p w14:paraId="173EB51D" w14:textId="77777777" w:rsidR="00FB5753" w:rsidRDefault="0063615B">
            <w:pPr>
              <w:rPr>
                <w:lang w:val="en-US"/>
              </w:rPr>
            </w:pPr>
            <w:r>
              <w:rPr>
                <w:lang w:val="en-US"/>
              </w:rPr>
              <w:t>2.06</w:t>
            </w:r>
          </w:p>
        </w:tc>
        <w:tc>
          <w:tcPr>
            <w:tcW w:w="1984" w:type="dxa"/>
          </w:tcPr>
          <w:p w14:paraId="5BB6CBBC" w14:textId="77777777" w:rsidR="00FB5753" w:rsidRDefault="0063615B">
            <w:pPr>
              <w:rPr>
                <w:lang w:val="en-US"/>
              </w:rPr>
            </w:pPr>
            <w:r>
              <w:rPr>
                <w:lang w:val="en-US"/>
              </w:rPr>
              <w:t>2.06</w:t>
            </w:r>
          </w:p>
        </w:tc>
        <w:tc>
          <w:tcPr>
            <w:tcW w:w="2830" w:type="dxa"/>
          </w:tcPr>
          <w:p w14:paraId="0EB2DFF7" w14:textId="77777777" w:rsidR="00FB5753" w:rsidRDefault="00CD1A24">
            <w:pPr>
              <w:rPr>
                <w:lang w:val="en-US"/>
              </w:rPr>
            </w:pPr>
            <w:r>
              <w:rPr>
                <w:lang w:val="en-US"/>
              </w:rPr>
              <w:fldChar w:fldCharType="begin" w:fldLock="1"/>
            </w:r>
            <w:r w:rsidR="00537660">
              <w:rPr>
                <w:lang w:val="en-US"/>
              </w:rPr>
              <w:instrText>ADDIN CSL_CITATION {"citationItems":[{"id":"ITEM-1","itemData":{"author":[{"dropping-particle":"","family":"DIHK","given":"","non-dropping-particle":"","parse-names":false,"suffix":""}],"id":"ITEM-1","issued":{"date-parts":[["2017"]]},"number-of-pages":"55","publisher-place":"Berlin / Brussels","title":"Faktenpapier Strompreise in Deutschland 2017","type":"report"},"uris":["http://www.mendeley.com/documents/?uuid=e5343aa0-0105-4623-9640-5a51a6005778"]}],"mendeley":{"formattedCitation":"(DIHK, 2017)","plainTextFormattedCitation":"(DIHK, 2017)","previouslyFormattedCitation":"(DIHK, 2017)"},"properties":{"noteIndex":0},"schema":"https://github.com/citation-style-language/schema/raw/master/csl-citation.json"}</w:instrText>
            </w:r>
            <w:r>
              <w:rPr>
                <w:lang w:val="en-US"/>
              </w:rPr>
              <w:fldChar w:fldCharType="separate"/>
            </w:r>
            <w:r w:rsidRPr="00CD1A24">
              <w:rPr>
                <w:noProof/>
                <w:lang w:val="en-US"/>
              </w:rPr>
              <w:t>(DIHK, 2017)</w:t>
            </w:r>
            <w:r>
              <w:rPr>
                <w:lang w:val="en-US"/>
              </w:rPr>
              <w:fldChar w:fldCharType="end"/>
            </w:r>
          </w:p>
        </w:tc>
      </w:tr>
      <w:tr w:rsidR="00FB5753" w14:paraId="4CF4C029" w14:textId="77777777" w:rsidTr="00A2531E">
        <w:tc>
          <w:tcPr>
            <w:tcW w:w="2122" w:type="dxa"/>
          </w:tcPr>
          <w:p w14:paraId="56514136" w14:textId="77777777" w:rsidR="00FB5753" w:rsidRDefault="0063615B">
            <w:pPr>
              <w:rPr>
                <w:lang w:val="en-US"/>
              </w:rPr>
            </w:pPr>
            <w:r>
              <w:rPr>
                <w:lang w:val="en-US"/>
              </w:rPr>
              <w:t>Concession levy</w:t>
            </w:r>
          </w:p>
        </w:tc>
        <w:tc>
          <w:tcPr>
            <w:tcW w:w="2126" w:type="dxa"/>
          </w:tcPr>
          <w:p w14:paraId="063F95F4" w14:textId="77777777" w:rsidR="00FB5753" w:rsidRDefault="0063615B">
            <w:pPr>
              <w:rPr>
                <w:lang w:val="en-US"/>
              </w:rPr>
            </w:pPr>
            <w:r>
              <w:rPr>
                <w:lang w:val="en-US"/>
              </w:rPr>
              <w:t>0.11</w:t>
            </w:r>
          </w:p>
        </w:tc>
        <w:tc>
          <w:tcPr>
            <w:tcW w:w="1984" w:type="dxa"/>
          </w:tcPr>
          <w:p w14:paraId="5068633E" w14:textId="77777777" w:rsidR="00FB5753" w:rsidRDefault="0063615B">
            <w:pPr>
              <w:rPr>
                <w:lang w:val="en-US"/>
              </w:rPr>
            </w:pPr>
            <w:r>
              <w:rPr>
                <w:lang w:val="en-US"/>
              </w:rPr>
              <w:t>0.11</w:t>
            </w:r>
          </w:p>
        </w:tc>
        <w:tc>
          <w:tcPr>
            <w:tcW w:w="2830" w:type="dxa"/>
          </w:tcPr>
          <w:p w14:paraId="4FB424CE" w14:textId="77777777" w:rsidR="00FB5753" w:rsidRDefault="00CD1A24">
            <w:pPr>
              <w:rPr>
                <w:lang w:val="en-US"/>
              </w:rPr>
            </w:pPr>
            <w:r>
              <w:rPr>
                <w:lang w:val="en-US"/>
              </w:rPr>
              <w:fldChar w:fldCharType="begin" w:fldLock="1"/>
            </w:r>
            <w:r w:rsidR="00537660">
              <w:rPr>
                <w:lang w:val="en-US"/>
              </w:rPr>
              <w:instrText>ADDIN CSL_CITATION {"citationItems":[{"id":"ITEM-1","itemData":{"author":[{"dropping-particle":"","family":"DIHK","given":"","non-dropping-particle":"","parse-names":false,"suffix":""}],"id":"ITEM-1","issued":{"date-parts":[["2017"]]},"number-of-pages":"55","publisher-place":"Berlin / Brussels","title":"Faktenpapier Strompreise in Deutschland 2017","type":"report"},"uris":["http://www.mendeley.com/documents/?uuid=e5343aa0-0105-4623-9640-5a51a6005778"]}],"mendeley":{"formattedCitation":"(DIHK, 2017)","plainTextFormattedCitation":"(DIHK, 2017)","previouslyFormattedCitation":"(DIHK, 2017)"},"properties":{"noteIndex":0},"schema":"https://github.com/citation-style-language/schema/raw/master/csl-citation.json"}</w:instrText>
            </w:r>
            <w:r>
              <w:rPr>
                <w:lang w:val="en-US"/>
              </w:rPr>
              <w:fldChar w:fldCharType="separate"/>
            </w:r>
            <w:r w:rsidRPr="00CD1A24">
              <w:rPr>
                <w:noProof/>
                <w:lang w:val="en-US"/>
              </w:rPr>
              <w:t>(DIHK, 2017)</w:t>
            </w:r>
            <w:r>
              <w:rPr>
                <w:lang w:val="en-US"/>
              </w:rPr>
              <w:fldChar w:fldCharType="end"/>
            </w:r>
          </w:p>
        </w:tc>
      </w:tr>
      <w:tr w:rsidR="00FB5753" w14:paraId="322CD7CA" w14:textId="77777777" w:rsidTr="00A2531E">
        <w:tc>
          <w:tcPr>
            <w:tcW w:w="2122" w:type="dxa"/>
          </w:tcPr>
          <w:p w14:paraId="647CD01D" w14:textId="77777777" w:rsidR="00FB5753" w:rsidRPr="00CD1A24" w:rsidRDefault="0063615B">
            <w:pPr>
              <w:rPr>
                <w:i/>
                <w:lang w:val="en-US"/>
              </w:rPr>
            </w:pPr>
            <w:r w:rsidRPr="00CD1A24">
              <w:rPr>
                <w:i/>
                <w:lang w:val="en-US"/>
              </w:rPr>
              <w:t>Total</w:t>
            </w:r>
          </w:p>
        </w:tc>
        <w:tc>
          <w:tcPr>
            <w:tcW w:w="2126" w:type="dxa"/>
          </w:tcPr>
          <w:p w14:paraId="2348E5F8" w14:textId="77777777" w:rsidR="00FB5753" w:rsidRPr="00CD1A24" w:rsidRDefault="00085F2E">
            <w:pPr>
              <w:rPr>
                <w:i/>
                <w:lang w:val="en-US"/>
              </w:rPr>
            </w:pPr>
            <w:r w:rsidRPr="00CD1A24">
              <w:rPr>
                <w:i/>
                <w:lang w:val="en-US"/>
              </w:rPr>
              <w:t>4.18</w:t>
            </w:r>
          </w:p>
        </w:tc>
        <w:tc>
          <w:tcPr>
            <w:tcW w:w="1984" w:type="dxa"/>
          </w:tcPr>
          <w:p w14:paraId="3EAB111E" w14:textId="77777777" w:rsidR="00FB5753" w:rsidRPr="00CD1A24" w:rsidRDefault="00085F2E">
            <w:pPr>
              <w:rPr>
                <w:i/>
                <w:lang w:val="en-US"/>
              </w:rPr>
            </w:pPr>
            <w:r w:rsidRPr="00CD1A24">
              <w:rPr>
                <w:i/>
                <w:lang w:val="en-US"/>
              </w:rPr>
              <w:t>3.74</w:t>
            </w:r>
          </w:p>
        </w:tc>
        <w:tc>
          <w:tcPr>
            <w:tcW w:w="2830" w:type="dxa"/>
          </w:tcPr>
          <w:p w14:paraId="43BC8450" w14:textId="77777777" w:rsidR="00FB5753" w:rsidRDefault="00FB5753">
            <w:pPr>
              <w:rPr>
                <w:lang w:val="en-US"/>
              </w:rPr>
            </w:pPr>
          </w:p>
        </w:tc>
      </w:tr>
    </w:tbl>
    <w:p w14:paraId="7D5F3B58" w14:textId="77777777" w:rsidR="00920B3A" w:rsidRDefault="00920B3A">
      <w:pPr>
        <w:rPr>
          <w:lang w:val="en-US"/>
        </w:rPr>
      </w:pPr>
    </w:p>
    <w:p w14:paraId="49748C70" w14:textId="77777777" w:rsidR="003F129B" w:rsidRDefault="00CD1A24">
      <w:pPr>
        <w:rPr>
          <w:lang w:val="en-US"/>
        </w:rPr>
      </w:pPr>
      <w:r>
        <w:rPr>
          <w:lang w:val="en-US"/>
        </w:rPr>
        <w:t xml:space="preserve">The renewable energy surcharge, </w:t>
      </w:r>
      <w:bookmarkStart w:id="13" w:name="_Hlk33635815"/>
      <w:r>
        <w:rPr>
          <w:lang w:val="en-US"/>
        </w:rPr>
        <w:t xml:space="preserve">hereafter referred to as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EEG</m:t>
            </m:r>
          </m:sub>
        </m:sSub>
      </m:oMath>
      <w:bookmarkEnd w:id="13"/>
      <w:r>
        <w:rPr>
          <w:rFonts w:eastAsiaTheme="minorEastAsia"/>
          <w:lang w:val="en-US"/>
        </w:rPr>
        <w:t xml:space="preserve">, differs between the two scenarios. The BAU scenario follows the path </w:t>
      </w:r>
      <w:r w:rsidR="00537660">
        <w:rPr>
          <w:rFonts w:eastAsiaTheme="minorEastAsia"/>
          <w:lang w:val="en-US"/>
        </w:rPr>
        <w:t xml:space="preserve">given by </w:t>
      </w:r>
      <w:r w:rsidR="00537660">
        <w:rPr>
          <w:rFonts w:eastAsiaTheme="minorEastAsia"/>
          <w:lang w:val="en-US"/>
        </w:rPr>
        <w:fldChar w:fldCharType="begin" w:fldLock="1"/>
      </w:r>
      <w:r w:rsidR="00537660">
        <w:rPr>
          <w:rFonts w:eastAsiaTheme="minorEastAsia"/>
          <w:lang w:val="en-US"/>
        </w:rPr>
        <w:instrText>ADDIN CSL_CITATION {"citationItems":[{"id":"ITEM-1","itemData":{"author":[{"dropping-particle":"","family":"Prognos/EWI/GWS","given":"","non-dropping-particle":"","parse-names":false,"suffix":""}],"id":"ITEM-1","issued":{"date-parts":[["2014"]]},"number-of-pages":"583","publisher-place":"Basel/Köln/Osnabrück","title":"Entwicklung der Energiemärkte – Energiereferenzprognose","type":"report"},"uris":["http://www.mendeley.com/documents/?uuid=e063f375-5659-4867-82e0-7063a919221e"]}],"mendeley":{"formattedCitation":"(Prognos/EWI/GWS, 2014)","manualFormatting":"Prognos/EWI/GWS (2014)","plainTextFormattedCitation":"(Prognos/EWI/GWS, 2014)"},"properties":{"noteIndex":0},"schema":"https://github.com/citation-style-language/schema/raw/master/csl-citation.json"}</w:instrText>
      </w:r>
      <w:r w:rsidR="00537660">
        <w:rPr>
          <w:rFonts w:eastAsiaTheme="minorEastAsia"/>
          <w:lang w:val="en-US"/>
        </w:rPr>
        <w:fldChar w:fldCharType="separate"/>
      </w:r>
      <w:r w:rsidR="00537660" w:rsidRPr="00537660">
        <w:rPr>
          <w:rFonts w:eastAsiaTheme="minorEastAsia"/>
          <w:noProof/>
          <w:lang w:val="en-US"/>
        </w:rPr>
        <w:t>Prognos/EWI/GWS</w:t>
      </w:r>
      <w:r w:rsidR="00537660">
        <w:rPr>
          <w:rFonts w:eastAsiaTheme="minorEastAsia"/>
          <w:noProof/>
          <w:lang w:val="en-US"/>
        </w:rPr>
        <w:t xml:space="preserve"> (</w:t>
      </w:r>
      <w:r w:rsidR="00537660" w:rsidRPr="00537660">
        <w:rPr>
          <w:rFonts w:eastAsiaTheme="minorEastAsia"/>
          <w:noProof/>
          <w:lang w:val="en-US"/>
        </w:rPr>
        <w:t>2014)</w:t>
      </w:r>
      <w:r w:rsidR="00537660">
        <w:rPr>
          <w:rFonts w:eastAsiaTheme="minorEastAsia"/>
          <w:lang w:val="en-US"/>
        </w:rPr>
        <w:fldChar w:fldCharType="end"/>
      </w:r>
      <w:r w:rsidR="00537660">
        <w:rPr>
          <w:rFonts w:eastAsiaTheme="minorEastAsia"/>
          <w:lang w:val="en-US"/>
        </w:rPr>
        <w:t xml:space="preserve">, p. 227. In this forecast,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EEG</m:t>
            </m:r>
          </m:sub>
        </m:sSub>
      </m:oMath>
      <w:r w:rsidR="00537660">
        <w:rPr>
          <w:rFonts w:eastAsiaTheme="minorEastAsia"/>
          <w:lang w:val="en-US"/>
        </w:rPr>
        <w:t xml:space="preserve"> </w:t>
      </w:r>
      <w:r w:rsidR="00FB0F00">
        <w:rPr>
          <w:lang w:val="en-US"/>
        </w:rPr>
        <w:t xml:space="preserve">gradually </w:t>
      </w:r>
      <w:r w:rsidR="001454DA">
        <w:rPr>
          <w:lang w:val="en-US"/>
        </w:rPr>
        <w:t xml:space="preserve">decreases to reach 0.8 €c/kWh by 2050. </w:t>
      </w:r>
      <w:r w:rsidR="00FB0F00">
        <w:rPr>
          <w:lang w:val="en-US"/>
        </w:rPr>
        <w:t xml:space="preserve">The CP scenario assumes that the EEG surcharge is </w:t>
      </w:r>
      <w:r w:rsidR="00F509BF">
        <w:rPr>
          <w:lang w:val="en-US"/>
        </w:rPr>
        <w:t xml:space="preserve">substantially decreased and </w:t>
      </w:r>
      <w:r w:rsidR="00975784">
        <w:rPr>
          <w:lang w:val="en-US"/>
        </w:rPr>
        <w:t xml:space="preserve">mostly replaced by a carbon tax to reduce the tax load of electricity compared to fossil fuels. Concretely, in this scenario,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EEG</m:t>
            </m:r>
          </m:sub>
        </m:sSub>
      </m:oMath>
      <w:r w:rsidR="00975784">
        <w:rPr>
          <w:rFonts w:eastAsiaTheme="minorEastAsia"/>
          <w:lang w:val="en-US"/>
        </w:rPr>
        <w:t xml:space="preserve"> is reduced quickly at the beginning of the simulation</w:t>
      </w:r>
      <w:r w:rsidR="00E720B1">
        <w:rPr>
          <w:rFonts w:eastAsiaTheme="minorEastAsia"/>
          <w:lang w:val="en-US"/>
        </w:rPr>
        <w:t xml:space="preserve">, from the </w:t>
      </w:r>
      <w:r w:rsidR="003F129B">
        <w:rPr>
          <w:rFonts w:eastAsiaTheme="minorEastAsia"/>
          <w:lang w:val="en-US"/>
        </w:rPr>
        <w:t xml:space="preserve">2016 value of 6.35 </w:t>
      </w:r>
      <w:r w:rsidR="003F129B">
        <w:rPr>
          <w:lang w:val="en-US"/>
        </w:rPr>
        <w:t xml:space="preserve">€c/kWh to a minimum value of 0.05 €c/kWh </w:t>
      </w:r>
      <w:bookmarkStart w:id="14" w:name="_Hlk33636357"/>
      <w:r w:rsidR="003F129B">
        <w:rPr>
          <w:lang w:val="en-US"/>
        </w:rPr>
        <w:t>by 2020. This value, corresponding to the EEG surcharge currently applied for electricity-intensive industry, is then kept throughout the simulation.</w:t>
      </w:r>
      <w:r w:rsidR="004A09A5">
        <w:rPr>
          <w:lang w:val="en-US"/>
        </w:rPr>
        <w:t xml:space="preserve"> </w:t>
      </w:r>
      <w:bookmarkEnd w:id="14"/>
    </w:p>
    <w:p w14:paraId="08FC79A1" w14:textId="5AE1857E" w:rsidR="003312FD" w:rsidRDefault="004A09A5">
      <w:pPr>
        <w:rPr>
          <w:lang w:val="en-US"/>
        </w:rPr>
      </w:pPr>
      <w:r>
        <w:rPr>
          <w:lang w:val="en-US"/>
        </w:rPr>
        <w:lastRenderedPageBreak/>
        <w:t>These assumptions lead to a difference in electricity price of more than 7 €c/kWh in 2020</w:t>
      </w:r>
      <w:r w:rsidR="00D56452">
        <w:rPr>
          <w:lang w:val="en-US"/>
        </w:rPr>
        <w:t xml:space="preserve"> (Fig. </w:t>
      </w:r>
      <w:r w:rsidR="00D51386">
        <w:rPr>
          <w:lang w:val="en-US"/>
        </w:rPr>
        <w:t>S2</w:t>
      </w:r>
      <w:r w:rsidR="00D56452">
        <w:rPr>
          <w:lang w:val="en-US"/>
        </w:rPr>
        <w:t>)</w:t>
      </w:r>
      <w:r>
        <w:rPr>
          <w:lang w:val="en-US"/>
        </w:rPr>
        <w:t>. Over the rest of the simulation period, this gap gradually diminishes</w:t>
      </w:r>
      <w:r w:rsidR="00D56452">
        <w:rPr>
          <w:lang w:val="en-US"/>
        </w:rPr>
        <w:t xml:space="preserve"> as the EEG surcharge is phased out in the BAU scenario.</w:t>
      </w:r>
    </w:p>
    <w:p w14:paraId="58D2CEA8" w14:textId="77777777" w:rsidR="003312FD" w:rsidRDefault="003F129B" w:rsidP="003312FD">
      <w:pPr>
        <w:keepNext/>
      </w:pPr>
      <w:r>
        <w:rPr>
          <w:noProof/>
          <w:lang w:val="en-US"/>
        </w:rPr>
        <w:drawing>
          <wp:inline distT="0" distB="0" distL="0" distR="0" wp14:anchorId="7188EFD5" wp14:editId="2D65B165">
            <wp:extent cx="5325575" cy="2544418"/>
            <wp:effectExtent l="0" t="0" r="0" b="8890"/>
            <wp:docPr id="1" name="Grafik 1" descr="fig_scenario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888E2.tmp"/>
                    <pic:cNvPicPr/>
                  </pic:nvPicPr>
                  <pic:blipFill rotWithShape="1">
                    <a:blip r:embed="rId9" cstate="print">
                      <a:extLst>
                        <a:ext uri="{28A0092B-C50C-407E-A947-70E740481C1C}">
                          <a14:useLocalDpi xmlns:a14="http://schemas.microsoft.com/office/drawing/2010/main" val="0"/>
                        </a:ext>
                      </a:extLst>
                    </a:blip>
                    <a:srcRect l="1657" t="18862" r="5866" b="8405"/>
                    <a:stretch/>
                  </pic:blipFill>
                  <pic:spPr bwMode="auto">
                    <a:xfrm>
                      <a:off x="0" y="0"/>
                      <a:ext cx="5327365" cy="2545273"/>
                    </a:xfrm>
                    <a:prstGeom prst="rect">
                      <a:avLst/>
                    </a:prstGeom>
                    <a:ln>
                      <a:noFill/>
                    </a:ln>
                    <a:extLst>
                      <a:ext uri="{53640926-AAD7-44D8-BBD7-CCE9431645EC}">
                        <a14:shadowObscured xmlns:a14="http://schemas.microsoft.com/office/drawing/2010/main"/>
                      </a:ext>
                    </a:extLst>
                  </pic:spPr>
                </pic:pic>
              </a:graphicData>
            </a:graphic>
          </wp:inline>
        </w:drawing>
      </w:r>
    </w:p>
    <w:p w14:paraId="2A4EF393" w14:textId="57164E23" w:rsidR="003312FD" w:rsidRPr="003312FD" w:rsidRDefault="003312FD" w:rsidP="003312FD">
      <w:pPr>
        <w:pStyle w:val="Beschriftung"/>
        <w:rPr>
          <w:lang w:val="en-US"/>
        </w:rPr>
      </w:pPr>
      <w:r w:rsidRPr="003312FD">
        <w:rPr>
          <w:lang w:val="en-US"/>
        </w:rPr>
        <w:t xml:space="preserve">Figure </w:t>
      </w:r>
      <w:r w:rsidR="00673E8F">
        <w:rPr>
          <w:lang w:val="en-US"/>
        </w:rPr>
        <w:t>S</w:t>
      </w:r>
      <w:r>
        <w:fldChar w:fldCharType="begin"/>
      </w:r>
      <w:r w:rsidRPr="003312FD">
        <w:rPr>
          <w:lang w:val="en-US"/>
        </w:rPr>
        <w:instrText xml:space="preserve"> SEQ Figure \* ARABIC </w:instrText>
      </w:r>
      <w:r>
        <w:fldChar w:fldCharType="separate"/>
      </w:r>
      <w:r w:rsidR="00BA43B4">
        <w:rPr>
          <w:noProof/>
          <w:lang w:val="en-US"/>
        </w:rPr>
        <w:t>2</w:t>
      </w:r>
      <w:r>
        <w:fldChar w:fldCharType="end"/>
      </w:r>
      <w:r w:rsidRPr="003312FD">
        <w:rPr>
          <w:lang w:val="en-US"/>
        </w:rPr>
        <w:t xml:space="preserve">: Development of the </w:t>
      </w:r>
      <w:r w:rsidR="007F246B">
        <w:rPr>
          <w:lang w:val="en-US"/>
        </w:rPr>
        <w:t xml:space="preserve">wholesale </w:t>
      </w:r>
      <w:r w:rsidRPr="003312FD">
        <w:rPr>
          <w:lang w:val="en-US"/>
        </w:rPr>
        <w:t>electricity price in the two scenarios.</w:t>
      </w:r>
      <w:r w:rsidR="004A09A5">
        <w:rPr>
          <w:lang w:val="en-US"/>
        </w:rPr>
        <w:t xml:space="preserve"> In both cases, an energy price increase of 3% per year is assumed. The CP scenario differs from the BAU scenario through an almost complete elimination of the EEG surcharge, as well as a slightly lower value for the time-invariant price components.</w:t>
      </w:r>
    </w:p>
    <w:p w14:paraId="31E32180" w14:textId="023D3A93" w:rsidR="00CD1A24" w:rsidRDefault="007F246B">
      <w:pPr>
        <w:rPr>
          <w:rFonts w:eastAsiaTheme="minorEastAsia"/>
          <w:lang w:val="en-US"/>
        </w:rPr>
      </w:pPr>
      <w:r>
        <w:rPr>
          <w:lang w:val="en-US"/>
        </w:rPr>
        <w:t xml:space="preserve">The wholesale cost of natural gas,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gas</m:t>
            </m:r>
          </m:sub>
        </m:sSub>
      </m:oMath>
      <w:r>
        <w:rPr>
          <w:rFonts w:eastAsiaTheme="minorEastAsia"/>
          <w:lang w:val="en-US"/>
        </w:rPr>
        <w:t>,</w:t>
      </w:r>
      <w:r>
        <w:rPr>
          <w:lang w:val="en-US"/>
        </w:rPr>
        <w:t xml:space="preserve">  also depends on the scenario. Under the BAU scenario,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gas</m:t>
            </m:r>
          </m:sub>
        </m:sSub>
      </m:oMath>
      <w:r>
        <w:rPr>
          <w:rFonts w:eastAsiaTheme="minorEastAsia"/>
          <w:lang w:val="en-US"/>
        </w:rPr>
        <w:t xml:space="preserve"> is simply the market price of natural gas, calculated as described in the main text (Section </w:t>
      </w:r>
      <w:r w:rsidR="005861B7">
        <w:rPr>
          <w:rFonts w:eastAsiaTheme="minorEastAsia"/>
          <w:lang w:val="en-US"/>
        </w:rPr>
        <w:t>3.2.1</w:t>
      </w:r>
      <w:r>
        <w:rPr>
          <w:rFonts w:eastAsiaTheme="minorEastAsia"/>
          <w:lang w:val="en-US"/>
        </w:rPr>
        <w:t xml:space="preserve">). Under the CP scenario, the carbon price </w:t>
      </w:r>
      <w:bookmarkStart w:id="15" w:name="_Hlk33638634"/>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CO2</m:t>
            </m:r>
          </m:sub>
        </m:sSub>
      </m:oMath>
      <w:bookmarkEnd w:id="15"/>
      <w:r>
        <w:rPr>
          <w:rFonts w:eastAsiaTheme="minorEastAsia"/>
          <w:lang w:val="en-US"/>
        </w:rPr>
        <w:t xml:space="preserve"> is added to the market price</w:t>
      </w:r>
      <w:r w:rsidR="00ED32E5">
        <w:rPr>
          <w:rFonts w:eastAsiaTheme="minorEastAsia"/>
          <w:lang w:val="en-US"/>
        </w:rPr>
        <w:t xml:space="preserve"> </w:t>
      </w:r>
      <w:bookmarkStart w:id="16" w:name="_Hlk33638645"/>
      <w:r w:rsidR="00ED32E5">
        <w:rPr>
          <w:rFonts w:eastAsiaTheme="minorEastAsia"/>
          <w:lang w:val="en-US"/>
        </w:rPr>
        <w:t>(set to a default value of 0.01 €/kWh, i.e. 45 €/tCO</w:t>
      </w:r>
      <w:r w:rsidR="00ED32E5" w:rsidRPr="00ED32E5">
        <w:rPr>
          <w:rFonts w:eastAsiaTheme="minorEastAsia"/>
          <w:vertAlign w:val="subscript"/>
          <w:lang w:val="en-US"/>
        </w:rPr>
        <w:t>2</w:t>
      </w:r>
      <w:r w:rsidR="00ED32E5">
        <w:rPr>
          <w:rFonts w:eastAsiaTheme="minorEastAsia"/>
          <w:lang w:val="en-US"/>
        </w:rPr>
        <w:t>)</w:t>
      </w:r>
      <w:r>
        <w:rPr>
          <w:rFonts w:eastAsiaTheme="minorEastAsia"/>
          <w:lang w:val="en-US"/>
        </w:rPr>
        <w:t>.</w:t>
      </w:r>
      <w:bookmarkEnd w:id="16"/>
    </w:p>
    <w:p w14:paraId="36BC3905" w14:textId="77777777" w:rsidR="00786AB5" w:rsidRPr="00F36D5A" w:rsidRDefault="00786AB5">
      <w:pPr>
        <w:rPr>
          <w:lang w:val="en-US"/>
        </w:rPr>
      </w:pPr>
    </w:p>
    <w:sectPr w:rsidR="00786AB5" w:rsidRPr="00F36D5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B3CDD" w14:textId="77777777" w:rsidR="005861B7" w:rsidRDefault="005861B7" w:rsidP="005861B7">
      <w:pPr>
        <w:spacing w:after="0" w:line="240" w:lineRule="auto"/>
      </w:pPr>
      <w:r>
        <w:separator/>
      </w:r>
    </w:p>
  </w:endnote>
  <w:endnote w:type="continuationSeparator" w:id="0">
    <w:p w14:paraId="003EEDC0" w14:textId="77777777" w:rsidR="005861B7" w:rsidRDefault="005861B7" w:rsidP="0058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DF3D" w14:textId="77777777" w:rsidR="005861B7" w:rsidRDefault="005861B7" w:rsidP="005861B7">
      <w:pPr>
        <w:spacing w:after="0" w:line="240" w:lineRule="auto"/>
      </w:pPr>
      <w:r>
        <w:separator/>
      </w:r>
    </w:p>
  </w:footnote>
  <w:footnote w:type="continuationSeparator" w:id="0">
    <w:p w14:paraId="54E2B2C1" w14:textId="77777777" w:rsidR="005861B7" w:rsidRDefault="005861B7" w:rsidP="00586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56707"/>
    <w:multiLevelType w:val="hybridMultilevel"/>
    <w:tmpl w:val="4DE000E0"/>
    <w:lvl w:ilvl="0" w:tplc="0807000F">
      <w:start w:val="1"/>
      <w:numFmt w:val="decimal"/>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5A"/>
    <w:rsid w:val="000415F3"/>
    <w:rsid w:val="00060A9C"/>
    <w:rsid w:val="00085F2E"/>
    <w:rsid w:val="000875DC"/>
    <w:rsid w:val="000F02B7"/>
    <w:rsid w:val="001111B6"/>
    <w:rsid w:val="001454DA"/>
    <w:rsid w:val="00162388"/>
    <w:rsid w:val="00186784"/>
    <w:rsid w:val="00212D2F"/>
    <w:rsid w:val="002B05F9"/>
    <w:rsid w:val="002C06D5"/>
    <w:rsid w:val="002E57AC"/>
    <w:rsid w:val="003312FD"/>
    <w:rsid w:val="00394F2D"/>
    <w:rsid w:val="003F129B"/>
    <w:rsid w:val="003F54F2"/>
    <w:rsid w:val="0042049C"/>
    <w:rsid w:val="004A09A5"/>
    <w:rsid w:val="004B6612"/>
    <w:rsid w:val="00521018"/>
    <w:rsid w:val="00537660"/>
    <w:rsid w:val="005861B7"/>
    <w:rsid w:val="00586BAD"/>
    <w:rsid w:val="005D5403"/>
    <w:rsid w:val="00605DDA"/>
    <w:rsid w:val="00617CFE"/>
    <w:rsid w:val="0063615B"/>
    <w:rsid w:val="00673E8F"/>
    <w:rsid w:val="006A0154"/>
    <w:rsid w:val="007505AE"/>
    <w:rsid w:val="0075573D"/>
    <w:rsid w:val="007833DD"/>
    <w:rsid w:val="00786AB5"/>
    <w:rsid w:val="007A1BA9"/>
    <w:rsid w:val="007F246B"/>
    <w:rsid w:val="0081785B"/>
    <w:rsid w:val="008660FA"/>
    <w:rsid w:val="008D633E"/>
    <w:rsid w:val="008E74AC"/>
    <w:rsid w:val="008F3984"/>
    <w:rsid w:val="00920B3A"/>
    <w:rsid w:val="00922925"/>
    <w:rsid w:val="00955E23"/>
    <w:rsid w:val="00975784"/>
    <w:rsid w:val="00985549"/>
    <w:rsid w:val="009E2253"/>
    <w:rsid w:val="00A2531E"/>
    <w:rsid w:val="00A7759C"/>
    <w:rsid w:val="00AA4E7E"/>
    <w:rsid w:val="00AB0ACC"/>
    <w:rsid w:val="00B276D5"/>
    <w:rsid w:val="00BA43B4"/>
    <w:rsid w:val="00BF09EF"/>
    <w:rsid w:val="00BF6377"/>
    <w:rsid w:val="00C063AF"/>
    <w:rsid w:val="00C4334A"/>
    <w:rsid w:val="00C83738"/>
    <w:rsid w:val="00CD1A24"/>
    <w:rsid w:val="00D03A94"/>
    <w:rsid w:val="00D51386"/>
    <w:rsid w:val="00D56452"/>
    <w:rsid w:val="00E720B1"/>
    <w:rsid w:val="00ED32E5"/>
    <w:rsid w:val="00F32322"/>
    <w:rsid w:val="00F36D5A"/>
    <w:rsid w:val="00F509BF"/>
    <w:rsid w:val="00FB0F00"/>
    <w:rsid w:val="00FB5753"/>
    <w:rsid w:val="00FD10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6DC85"/>
  <w15:chartTrackingRefBased/>
  <w15:docId w15:val="{79B678B5-B2B5-449B-8BCD-F8ED917A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05F9"/>
    <w:rPr>
      <w:color w:val="808080"/>
    </w:rPr>
  </w:style>
  <w:style w:type="table" w:styleId="Tabellenraster">
    <w:name w:val="Table Grid"/>
    <w:basedOn w:val="NormaleTabelle"/>
    <w:uiPriority w:val="39"/>
    <w:rsid w:val="00FB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CD1A24"/>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3F12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29B"/>
    <w:rPr>
      <w:rFonts w:ascii="Segoe UI" w:hAnsi="Segoe UI" w:cs="Segoe UI"/>
      <w:sz w:val="18"/>
      <w:szCs w:val="18"/>
    </w:rPr>
  </w:style>
  <w:style w:type="paragraph" w:styleId="Untertitel">
    <w:name w:val="Subtitle"/>
    <w:basedOn w:val="Standard"/>
    <w:next w:val="Standard"/>
    <w:link w:val="UntertitelZchn"/>
    <w:uiPriority w:val="11"/>
    <w:qFormat/>
    <w:rsid w:val="007505A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505AE"/>
    <w:rPr>
      <w:rFonts w:eastAsiaTheme="minorEastAsia"/>
      <w:color w:val="5A5A5A" w:themeColor="text1" w:themeTint="A5"/>
      <w:spacing w:val="15"/>
    </w:rPr>
  </w:style>
  <w:style w:type="character" w:styleId="Kommentarzeichen">
    <w:name w:val="annotation reference"/>
    <w:basedOn w:val="Absatz-Standardschriftart"/>
    <w:uiPriority w:val="99"/>
    <w:semiHidden/>
    <w:unhideWhenUsed/>
    <w:rsid w:val="00586BAD"/>
    <w:rPr>
      <w:sz w:val="16"/>
      <w:szCs w:val="16"/>
    </w:rPr>
  </w:style>
  <w:style w:type="paragraph" w:styleId="Kommentartext">
    <w:name w:val="annotation text"/>
    <w:basedOn w:val="Standard"/>
    <w:link w:val="KommentartextZchn"/>
    <w:uiPriority w:val="99"/>
    <w:semiHidden/>
    <w:unhideWhenUsed/>
    <w:rsid w:val="00586B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6BAD"/>
    <w:rPr>
      <w:sz w:val="20"/>
      <w:szCs w:val="20"/>
    </w:rPr>
  </w:style>
  <w:style w:type="paragraph" w:styleId="Kommentarthema">
    <w:name w:val="annotation subject"/>
    <w:basedOn w:val="Kommentartext"/>
    <w:next w:val="Kommentartext"/>
    <w:link w:val="KommentarthemaZchn"/>
    <w:uiPriority w:val="99"/>
    <w:semiHidden/>
    <w:unhideWhenUsed/>
    <w:rsid w:val="00586BAD"/>
    <w:rPr>
      <w:b/>
      <w:bCs/>
    </w:rPr>
  </w:style>
  <w:style w:type="character" w:customStyle="1" w:styleId="KommentarthemaZchn">
    <w:name w:val="Kommentarthema Zchn"/>
    <w:basedOn w:val="KommentartextZchn"/>
    <w:link w:val="Kommentarthema"/>
    <w:uiPriority w:val="99"/>
    <w:semiHidden/>
    <w:rsid w:val="00586BAD"/>
    <w:rPr>
      <w:b/>
      <w:bCs/>
      <w:sz w:val="20"/>
      <w:szCs w:val="20"/>
    </w:rPr>
  </w:style>
  <w:style w:type="character" w:customStyle="1" w:styleId="berschrift1Zchn">
    <w:name w:val="Überschrift 1 Zchn"/>
    <w:basedOn w:val="Absatz-Standardschriftart"/>
    <w:link w:val="berschrift1"/>
    <w:uiPriority w:val="9"/>
    <w:rsid w:val="007A1BA9"/>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7A1B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1BA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7A1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5083-7C37-4B83-B4D8-450E22F0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3062</Words>
  <Characters>19294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Speich Matthias (spei)</dc:creator>
  <cp:keywords/>
  <dc:description/>
  <cp:lastModifiedBy>Speich Matthias (spei)</cp:lastModifiedBy>
  <cp:revision>13</cp:revision>
  <dcterms:created xsi:type="dcterms:W3CDTF">2019-11-20T12:55:00Z</dcterms:created>
  <dcterms:modified xsi:type="dcterms:W3CDTF">2020-11-04T14:20:00Z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http://csl.mendeley.com/styles/450519671/apa</vt:lpwstr>
  </property>
  <property fmtid="{D5CDD505-2E9C-101B-9397-08002B2CF9AE}" pid="9" name="Mendeley Recent Style Name 3_1">
    <vt:lpwstr>American Psychological Association 6th edition - Juliana Zapata</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93cb94d0-576b-3099-a441-a3136ab0ec7f</vt:lpwstr>
  </property>
  <property fmtid="{D5CDD505-2E9C-101B-9397-08002B2CF9AE}" pid="24" name="Mendeley Citation Style_1">
    <vt:lpwstr>http://csl.mendeley.com/styles/450519671/apa</vt:lpwstr>
  </property>
  <property fmtid="{D5CDD505-2E9C-101B-9397-08002B2CF9AE}" pid="25" name="MSIP_Label_10d9bad3-6dac-4e9a-89a3-89f3b8d247b2_Enabled">
    <vt:lpwstr>True</vt:lpwstr>
  </property>
  <property fmtid="{D5CDD505-2E9C-101B-9397-08002B2CF9AE}" pid="26" name="MSIP_Label_10d9bad3-6dac-4e9a-89a3-89f3b8d247b2_SiteId">
    <vt:lpwstr>5d1a9f9d-201f-4a10-b983-451cf65cbc1e</vt:lpwstr>
  </property>
  <property fmtid="{D5CDD505-2E9C-101B-9397-08002B2CF9AE}" pid="27" name="MSIP_Label_10d9bad3-6dac-4e9a-89a3-89f3b8d247b2_Owner">
    <vt:lpwstr>spei@zhaw.ch</vt:lpwstr>
  </property>
  <property fmtid="{D5CDD505-2E9C-101B-9397-08002B2CF9AE}" pid="28" name="MSIP_Label_10d9bad3-6dac-4e9a-89a3-89f3b8d247b2_SetDate">
    <vt:lpwstr>2020-06-11T09:08:41.1612916Z</vt:lpwstr>
  </property>
  <property fmtid="{D5CDD505-2E9C-101B-9397-08002B2CF9AE}" pid="29" name="MSIP_Label_10d9bad3-6dac-4e9a-89a3-89f3b8d247b2_Name">
    <vt:lpwstr>Intern</vt:lpwstr>
  </property>
  <property fmtid="{D5CDD505-2E9C-101B-9397-08002B2CF9AE}" pid="30" name="MSIP_Label_10d9bad3-6dac-4e9a-89a3-89f3b8d247b2_Application">
    <vt:lpwstr>Microsoft Azure Information Protection</vt:lpwstr>
  </property>
  <property fmtid="{D5CDD505-2E9C-101B-9397-08002B2CF9AE}" pid="31" name="MSIP_Label_10d9bad3-6dac-4e9a-89a3-89f3b8d247b2_ActionId">
    <vt:lpwstr>ea5ddf43-d975-49c2-add1-8a312da2dacf</vt:lpwstr>
  </property>
  <property fmtid="{D5CDD505-2E9C-101B-9397-08002B2CF9AE}" pid="32" name="MSIP_Label_10d9bad3-6dac-4e9a-89a3-89f3b8d247b2_Extended_MSFT_Method">
    <vt:lpwstr>Automatic</vt:lpwstr>
  </property>
  <property fmtid="{D5CDD505-2E9C-101B-9397-08002B2CF9AE}" pid="33" name="Sensitivity">
    <vt:lpwstr>Intern</vt:lpwstr>
  </property>
</Properties>
</file>