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8A52" w14:textId="07BA36A3" w:rsidR="00CA4874" w:rsidRDefault="00670321">
      <w:pPr>
        <w:rPr>
          <w:rFonts w:ascii="Times New Roman" w:eastAsia="Times New Roman" w:hAnsi="Times New Roman" w:cs="Times New Roman"/>
        </w:rPr>
      </w:pPr>
      <w:r>
        <w:rPr>
          <w:rFonts w:ascii="Times New Roman" w:eastAsia="Times New Roman" w:hAnsi="Times New Roman" w:cs="Times New Roman"/>
        </w:rPr>
        <w:t xml:space="preserve">Supplementary material  </w:t>
      </w:r>
    </w:p>
    <w:p w14:paraId="4FA45BE7" w14:textId="77777777" w:rsidR="00572F97" w:rsidRPr="00436CFE" w:rsidRDefault="00572F97" w:rsidP="00572F97">
      <w:pPr>
        <w:jc w:val="both"/>
        <w:rPr>
          <w:rFonts w:ascii="Times New Roman" w:eastAsia="Times New Roman" w:hAnsi="Times New Roman" w:cs="Times New Roman"/>
          <w:b/>
          <w:sz w:val="24"/>
          <w:szCs w:val="24"/>
          <w:lang w:val="en-GB"/>
        </w:rPr>
      </w:pPr>
      <w:r w:rsidRPr="00436CFE">
        <w:rPr>
          <w:rFonts w:ascii="Times New Roman" w:eastAsia="Times New Roman" w:hAnsi="Times New Roman" w:cs="Times New Roman"/>
          <w:b/>
          <w:sz w:val="24"/>
          <w:szCs w:val="24"/>
          <w:lang w:val="en-GB"/>
        </w:rPr>
        <w:t>An integrative approach to assess the environmental impacts of gold mining contamination in the Amazon</w:t>
      </w:r>
      <w:r>
        <w:rPr>
          <w:rFonts w:ascii="Times New Roman" w:eastAsia="Times New Roman" w:hAnsi="Times New Roman" w:cs="Times New Roman"/>
          <w:b/>
          <w:sz w:val="24"/>
          <w:szCs w:val="24"/>
          <w:lang w:val="en-GB"/>
        </w:rPr>
        <w:t>.</w:t>
      </w:r>
    </w:p>
    <w:p w14:paraId="6F669118" w14:textId="77777777" w:rsidR="00572F97" w:rsidRPr="00436CFE" w:rsidRDefault="00572F97" w:rsidP="00572F97">
      <w:pPr>
        <w:rPr>
          <w:rFonts w:ascii="Times New Roman" w:eastAsia="Times New Roman" w:hAnsi="Times New Roman" w:cs="Times New Roman"/>
          <w:b/>
          <w:sz w:val="24"/>
          <w:szCs w:val="24"/>
          <w:lang w:val="en-GB"/>
        </w:rPr>
      </w:pPr>
    </w:p>
    <w:p w14:paraId="4CD9404D" w14:textId="77777777" w:rsidR="00572F97" w:rsidRPr="008A2170" w:rsidRDefault="00572F97" w:rsidP="00572F97">
      <w:pPr>
        <w:rPr>
          <w:rFonts w:ascii="Times New Roman" w:eastAsia="Times New Roman" w:hAnsi="Times New Roman" w:cs="Times New Roman"/>
          <w:sz w:val="24"/>
          <w:szCs w:val="24"/>
          <w:lang w:val="en-GB"/>
        </w:rPr>
      </w:pPr>
      <w:r w:rsidRPr="008A2170">
        <w:rPr>
          <w:rFonts w:ascii="Times New Roman" w:eastAsia="Times New Roman" w:hAnsi="Times New Roman" w:cs="Times New Roman"/>
          <w:sz w:val="24"/>
          <w:szCs w:val="24"/>
          <w:lang w:val="en-GB"/>
        </w:rPr>
        <w:t>Mariana V. Capparelli</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 Marcela Cabrera</w:t>
      </w:r>
      <w:r w:rsidRPr="008A2170">
        <w:rPr>
          <w:rFonts w:ascii="Times New Roman" w:eastAsia="Times New Roman" w:hAnsi="Times New Roman" w:cs="Times New Roman"/>
          <w:sz w:val="24"/>
          <w:szCs w:val="24"/>
          <w:vertAlign w:val="superscript"/>
          <w:lang w:val="en-GB"/>
        </w:rPr>
        <w:t>2</w:t>
      </w:r>
      <w:r w:rsidRPr="008A2170">
        <w:rPr>
          <w:rFonts w:ascii="Times New Roman" w:eastAsia="Times New Roman" w:hAnsi="Times New Roman" w:cs="Times New Roman"/>
          <w:sz w:val="24"/>
          <w:szCs w:val="24"/>
          <w:lang w:val="en-GB"/>
        </w:rPr>
        <w:t>, Andreu Rico</w:t>
      </w:r>
      <w:r w:rsidRPr="008A2170">
        <w:rPr>
          <w:rFonts w:ascii="Times New Roman" w:eastAsia="Times New Roman" w:hAnsi="Times New Roman" w:cs="Times New Roman"/>
          <w:sz w:val="24"/>
          <w:szCs w:val="24"/>
          <w:vertAlign w:val="superscript"/>
          <w:lang w:val="en-GB"/>
        </w:rPr>
        <w:t>3,4</w:t>
      </w:r>
      <w:r w:rsidRPr="008A2170">
        <w:rPr>
          <w:rFonts w:ascii="Times New Roman" w:eastAsia="Times New Roman" w:hAnsi="Times New Roman" w:cs="Times New Roman"/>
          <w:sz w:val="24"/>
          <w:szCs w:val="24"/>
          <w:lang w:val="en-GB"/>
        </w:rPr>
        <w:t>, Oscar Lucas-Solis</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 Daniela Alvear-S</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 Samantha Vasco</w:t>
      </w:r>
      <w:r w:rsidRPr="008A2170">
        <w:rPr>
          <w:rFonts w:ascii="Times New Roman" w:eastAsia="Times New Roman" w:hAnsi="Times New Roman" w:cs="Times New Roman"/>
          <w:sz w:val="24"/>
          <w:szCs w:val="24"/>
          <w:vertAlign w:val="superscript"/>
          <w:lang w:val="en-GB"/>
        </w:rPr>
        <w:t>5</w:t>
      </w:r>
      <w:r w:rsidRPr="008A2170">
        <w:rPr>
          <w:rFonts w:ascii="Times New Roman" w:eastAsia="Times New Roman" w:hAnsi="Times New Roman" w:cs="Times New Roman"/>
          <w:sz w:val="24"/>
          <w:szCs w:val="24"/>
          <w:lang w:val="en-GB"/>
        </w:rPr>
        <w:t>, Emily Galarza</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 Lady Shiguango</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 Veronica Pinos-Velez</w:t>
      </w:r>
      <w:r w:rsidRPr="008A2170">
        <w:rPr>
          <w:rFonts w:ascii="Times New Roman" w:eastAsia="Times New Roman" w:hAnsi="Times New Roman" w:cs="Times New Roman"/>
          <w:sz w:val="24"/>
          <w:szCs w:val="24"/>
          <w:vertAlign w:val="superscript"/>
          <w:lang w:val="en-GB"/>
        </w:rPr>
        <w:t>6,7</w:t>
      </w:r>
      <w:r w:rsidRPr="008A2170">
        <w:rPr>
          <w:rFonts w:ascii="Times New Roman" w:eastAsia="Times New Roman" w:hAnsi="Times New Roman" w:cs="Times New Roman"/>
          <w:sz w:val="24"/>
          <w:szCs w:val="24"/>
          <w:lang w:val="en-GB"/>
        </w:rPr>
        <w:t>, Andrés P. Gonzalez</w:t>
      </w:r>
      <w:r w:rsidRPr="008A2170">
        <w:rPr>
          <w:rFonts w:ascii="Times New Roman" w:eastAsia="Times New Roman" w:hAnsi="Times New Roman" w:cs="Times New Roman"/>
          <w:sz w:val="24"/>
          <w:szCs w:val="24"/>
          <w:vertAlign w:val="superscript"/>
          <w:lang w:val="en-GB"/>
        </w:rPr>
        <w:t>8</w:t>
      </w:r>
      <w:r w:rsidRPr="008A2170">
        <w:rPr>
          <w:rFonts w:ascii="Times New Roman" w:eastAsia="Times New Roman" w:hAnsi="Times New Roman" w:cs="Times New Roman"/>
          <w:sz w:val="24"/>
          <w:szCs w:val="24"/>
          <w:lang w:val="en-GB"/>
        </w:rPr>
        <w:t>, Rodrigo Espinosa</w:t>
      </w:r>
      <w:r w:rsidRPr="008A2170">
        <w:rPr>
          <w:rFonts w:ascii="Times New Roman" w:eastAsia="Times New Roman" w:hAnsi="Times New Roman" w:cs="Times New Roman"/>
          <w:sz w:val="24"/>
          <w:szCs w:val="24"/>
          <w:vertAlign w:val="superscript"/>
          <w:lang w:val="en-GB"/>
        </w:rPr>
        <w:t>4</w:t>
      </w:r>
      <w:r w:rsidRPr="008A2170">
        <w:rPr>
          <w:rFonts w:ascii="Times New Roman" w:eastAsia="Times New Roman" w:hAnsi="Times New Roman" w:cs="Times New Roman"/>
          <w:sz w:val="24"/>
          <w:szCs w:val="24"/>
          <w:lang w:val="en-GB"/>
        </w:rPr>
        <w:t>, Gabriel M. Moulatlet</w:t>
      </w:r>
      <w:r w:rsidRPr="008A2170">
        <w:rPr>
          <w:rFonts w:ascii="Times New Roman" w:eastAsia="Times New Roman" w:hAnsi="Times New Roman" w:cs="Times New Roman"/>
          <w:sz w:val="24"/>
          <w:szCs w:val="24"/>
          <w:vertAlign w:val="superscript"/>
          <w:lang w:val="en-GB"/>
        </w:rPr>
        <w:t>1,</w:t>
      </w:r>
      <w:r w:rsidRPr="008A2170">
        <w:rPr>
          <w:rFonts w:ascii="Times New Roman" w:eastAsia="Times New Roman" w:hAnsi="Times New Roman" w:cs="Times New Roman"/>
          <w:sz w:val="24"/>
          <w:szCs w:val="24"/>
          <w:lang w:val="en-GB"/>
        </w:rPr>
        <w:t>*</w:t>
      </w:r>
    </w:p>
    <w:p w14:paraId="4584AA1B" w14:textId="77777777" w:rsidR="00572F97" w:rsidRPr="008A2170" w:rsidRDefault="00572F97" w:rsidP="00572F97">
      <w:pPr>
        <w:rPr>
          <w:rFonts w:ascii="Times New Roman" w:eastAsia="Times New Roman" w:hAnsi="Times New Roman" w:cs="Times New Roman"/>
          <w:sz w:val="24"/>
          <w:szCs w:val="24"/>
          <w:lang w:val="en-GB"/>
        </w:rPr>
      </w:pPr>
    </w:p>
    <w:p w14:paraId="0DCEBFE5" w14:textId="77777777" w:rsidR="00572F97" w:rsidRPr="00572F97" w:rsidRDefault="00572F97">
      <w:pPr>
        <w:rPr>
          <w:rFonts w:ascii="Times New Roman" w:eastAsia="Times New Roman" w:hAnsi="Times New Roman" w:cs="Times New Roman"/>
          <w:lang w:val="en-GB"/>
        </w:rPr>
      </w:pPr>
    </w:p>
    <w:p w14:paraId="4BA93837" w14:textId="77777777" w:rsidR="00CA4874" w:rsidRPr="00BC5641" w:rsidRDefault="00670321">
      <w:pPr>
        <w:spacing w:after="0" w:line="276" w:lineRule="auto"/>
        <w:jc w:val="both"/>
        <w:rPr>
          <w:rFonts w:ascii="Times New Roman" w:eastAsia="Times New Roman" w:hAnsi="Times New Roman" w:cs="Times New Roman"/>
        </w:rPr>
      </w:pPr>
      <w:r w:rsidRPr="00BC5641">
        <w:rPr>
          <w:rFonts w:ascii="Times New Roman" w:eastAsia="Times New Roman" w:hAnsi="Times New Roman" w:cs="Times New Roman"/>
          <w:sz w:val="24"/>
          <w:szCs w:val="24"/>
        </w:rPr>
        <w:t>Table S1. Geographic coordinates and description of collection sites. Depth at the center of the main river channel and width at the sampling location are reported.</w:t>
      </w:r>
    </w:p>
    <w:tbl>
      <w:tblPr>
        <w:tblStyle w:val="a"/>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350"/>
        <w:gridCol w:w="1065"/>
        <w:gridCol w:w="1185"/>
        <w:gridCol w:w="855"/>
        <w:gridCol w:w="840"/>
        <w:gridCol w:w="3075"/>
      </w:tblGrid>
      <w:tr w:rsidR="00CA4874" w:rsidRPr="00BC5641" w14:paraId="2032146F" w14:textId="77777777" w:rsidTr="00BC5641">
        <w:trPr>
          <w:trHeight w:val="310"/>
        </w:trPr>
        <w:tc>
          <w:tcPr>
            <w:tcW w:w="675" w:type="dxa"/>
            <w:vMerge w:val="restart"/>
            <w:shd w:val="clear" w:color="auto" w:fill="auto"/>
            <w:tcMar>
              <w:top w:w="100" w:type="dxa"/>
              <w:left w:w="100" w:type="dxa"/>
              <w:bottom w:w="100" w:type="dxa"/>
              <w:right w:w="100" w:type="dxa"/>
            </w:tcMar>
          </w:tcPr>
          <w:p w14:paraId="35DE7A4F" w14:textId="77777777" w:rsidR="00CA4874" w:rsidRPr="00BC5641" w:rsidRDefault="00CA4874">
            <w:pPr>
              <w:widowControl w:val="0"/>
              <w:spacing w:after="0" w:line="240" w:lineRule="auto"/>
              <w:rPr>
                <w:rFonts w:ascii="Times New Roman" w:eastAsia="Times New Roman" w:hAnsi="Times New Roman" w:cs="Times New Roman"/>
                <w:sz w:val="20"/>
                <w:szCs w:val="20"/>
              </w:rPr>
            </w:pPr>
          </w:p>
          <w:p w14:paraId="33070ADB"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Sites</w:t>
            </w:r>
          </w:p>
        </w:tc>
        <w:tc>
          <w:tcPr>
            <w:tcW w:w="1350" w:type="dxa"/>
            <w:vMerge w:val="restart"/>
            <w:shd w:val="clear" w:color="auto" w:fill="auto"/>
            <w:tcMar>
              <w:top w:w="100" w:type="dxa"/>
              <w:left w:w="100" w:type="dxa"/>
              <w:bottom w:w="100" w:type="dxa"/>
              <w:right w:w="100" w:type="dxa"/>
            </w:tcMar>
          </w:tcPr>
          <w:p w14:paraId="30384B73" w14:textId="77777777" w:rsidR="00CA4874" w:rsidRPr="00BC5641" w:rsidRDefault="00CA4874">
            <w:pPr>
              <w:widowControl w:val="0"/>
              <w:spacing w:after="0" w:line="240" w:lineRule="auto"/>
              <w:rPr>
                <w:rFonts w:ascii="Times New Roman" w:eastAsia="Times New Roman" w:hAnsi="Times New Roman" w:cs="Times New Roman"/>
                <w:sz w:val="20"/>
                <w:szCs w:val="20"/>
              </w:rPr>
            </w:pPr>
          </w:p>
          <w:p w14:paraId="7AB35716"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Coordinates</w:t>
            </w:r>
          </w:p>
        </w:tc>
        <w:tc>
          <w:tcPr>
            <w:tcW w:w="1065" w:type="dxa"/>
            <w:vMerge w:val="restart"/>
            <w:shd w:val="clear" w:color="auto" w:fill="auto"/>
            <w:tcMar>
              <w:top w:w="100" w:type="dxa"/>
              <w:left w:w="100" w:type="dxa"/>
              <w:bottom w:w="100" w:type="dxa"/>
              <w:right w:w="100" w:type="dxa"/>
            </w:tcMar>
          </w:tcPr>
          <w:p w14:paraId="4D20DECD" w14:textId="77777777" w:rsidR="00CA4874" w:rsidRPr="00BC5641" w:rsidRDefault="00CA4874">
            <w:pPr>
              <w:widowControl w:val="0"/>
              <w:spacing w:after="0" w:line="240" w:lineRule="auto"/>
              <w:rPr>
                <w:rFonts w:ascii="Times New Roman" w:eastAsia="Times New Roman" w:hAnsi="Times New Roman" w:cs="Times New Roman"/>
                <w:sz w:val="20"/>
                <w:szCs w:val="20"/>
              </w:rPr>
            </w:pPr>
          </w:p>
          <w:p w14:paraId="01104966"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Elevation (m)</w:t>
            </w:r>
          </w:p>
        </w:tc>
        <w:tc>
          <w:tcPr>
            <w:tcW w:w="2880" w:type="dxa"/>
            <w:gridSpan w:val="3"/>
            <w:shd w:val="clear" w:color="auto" w:fill="auto"/>
            <w:tcMar>
              <w:top w:w="100" w:type="dxa"/>
              <w:left w:w="100" w:type="dxa"/>
              <w:bottom w:w="100" w:type="dxa"/>
              <w:right w:w="100" w:type="dxa"/>
            </w:tcMar>
          </w:tcPr>
          <w:p w14:paraId="68DC893F"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River</w:t>
            </w:r>
          </w:p>
        </w:tc>
        <w:tc>
          <w:tcPr>
            <w:tcW w:w="3075" w:type="dxa"/>
            <w:vMerge w:val="restart"/>
            <w:shd w:val="clear" w:color="auto" w:fill="auto"/>
            <w:tcMar>
              <w:top w:w="100" w:type="dxa"/>
              <w:left w:w="100" w:type="dxa"/>
              <w:bottom w:w="100" w:type="dxa"/>
              <w:right w:w="100" w:type="dxa"/>
            </w:tcMar>
          </w:tcPr>
          <w:p w14:paraId="6F8A22C2" w14:textId="77777777" w:rsidR="00CA4874" w:rsidRPr="00BC5641" w:rsidRDefault="00CA4874">
            <w:pPr>
              <w:widowControl w:val="0"/>
              <w:spacing w:after="0" w:line="240" w:lineRule="auto"/>
              <w:rPr>
                <w:rFonts w:ascii="Times New Roman" w:eastAsia="Times New Roman" w:hAnsi="Times New Roman" w:cs="Times New Roman"/>
                <w:sz w:val="20"/>
                <w:szCs w:val="20"/>
              </w:rPr>
            </w:pPr>
          </w:p>
          <w:p w14:paraId="21644EDC"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Local description</w:t>
            </w:r>
          </w:p>
        </w:tc>
      </w:tr>
      <w:tr w:rsidR="00CA4874" w:rsidRPr="00BC5641" w14:paraId="6E8F64F5" w14:textId="77777777" w:rsidTr="00BC5641">
        <w:trPr>
          <w:trHeight w:val="420"/>
        </w:trPr>
        <w:tc>
          <w:tcPr>
            <w:tcW w:w="675" w:type="dxa"/>
            <w:vMerge/>
            <w:shd w:val="clear" w:color="auto" w:fill="auto"/>
            <w:tcMar>
              <w:top w:w="100" w:type="dxa"/>
              <w:left w:w="100" w:type="dxa"/>
              <w:bottom w:w="100" w:type="dxa"/>
              <w:right w:w="100" w:type="dxa"/>
            </w:tcMar>
          </w:tcPr>
          <w:p w14:paraId="3C4696E1" w14:textId="77777777" w:rsidR="00CA4874" w:rsidRPr="00BC5641" w:rsidRDefault="00CA4874">
            <w:pPr>
              <w:widowControl w:val="0"/>
              <w:spacing w:after="0" w:line="240" w:lineRule="auto"/>
              <w:rPr>
                <w:rFonts w:ascii="Times New Roman" w:eastAsia="Times New Roman" w:hAnsi="Times New Roman" w:cs="Times New Roman"/>
                <w:sz w:val="20"/>
                <w:szCs w:val="20"/>
              </w:rPr>
            </w:pPr>
          </w:p>
        </w:tc>
        <w:tc>
          <w:tcPr>
            <w:tcW w:w="1350" w:type="dxa"/>
            <w:vMerge/>
            <w:shd w:val="clear" w:color="auto" w:fill="auto"/>
            <w:tcMar>
              <w:top w:w="100" w:type="dxa"/>
              <w:left w:w="100" w:type="dxa"/>
              <w:bottom w:w="100" w:type="dxa"/>
              <w:right w:w="100" w:type="dxa"/>
            </w:tcMar>
          </w:tcPr>
          <w:p w14:paraId="7B17042F" w14:textId="77777777" w:rsidR="00CA4874" w:rsidRPr="00BC5641" w:rsidRDefault="00CA4874">
            <w:pPr>
              <w:widowControl w:val="0"/>
              <w:spacing w:after="0" w:line="240" w:lineRule="auto"/>
              <w:rPr>
                <w:rFonts w:ascii="Times New Roman" w:eastAsia="Times New Roman" w:hAnsi="Times New Roman" w:cs="Times New Roman"/>
                <w:sz w:val="20"/>
                <w:szCs w:val="20"/>
              </w:rPr>
            </w:pPr>
          </w:p>
        </w:tc>
        <w:tc>
          <w:tcPr>
            <w:tcW w:w="1065" w:type="dxa"/>
            <w:vMerge/>
            <w:shd w:val="clear" w:color="auto" w:fill="auto"/>
            <w:tcMar>
              <w:top w:w="100" w:type="dxa"/>
              <w:left w:w="100" w:type="dxa"/>
              <w:bottom w:w="100" w:type="dxa"/>
              <w:right w:w="100" w:type="dxa"/>
            </w:tcMar>
          </w:tcPr>
          <w:p w14:paraId="3D088618" w14:textId="77777777" w:rsidR="00CA4874" w:rsidRPr="00BC5641" w:rsidRDefault="00CA4874">
            <w:pPr>
              <w:widowControl w:val="0"/>
              <w:spacing w:after="0" w:line="240" w:lineRule="auto"/>
              <w:rPr>
                <w:rFonts w:ascii="Times New Roman" w:eastAsia="Times New Roman" w:hAnsi="Times New Roman" w:cs="Times New Roman"/>
                <w:sz w:val="20"/>
                <w:szCs w:val="20"/>
              </w:rPr>
            </w:pPr>
          </w:p>
        </w:tc>
        <w:tc>
          <w:tcPr>
            <w:tcW w:w="1185" w:type="dxa"/>
            <w:shd w:val="clear" w:color="auto" w:fill="auto"/>
            <w:tcMar>
              <w:top w:w="100" w:type="dxa"/>
              <w:left w:w="100" w:type="dxa"/>
              <w:bottom w:w="100" w:type="dxa"/>
              <w:right w:w="100" w:type="dxa"/>
            </w:tcMar>
          </w:tcPr>
          <w:p w14:paraId="0B0D2CD9"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Name</w:t>
            </w:r>
          </w:p>
        </w:tc>
        <w:tc>
          <w:tcPr>
            <w:tcW w:w="855" w:type="dxa"/>
            <w:shd w:val="clear" w:color="auto" w:fill="auto"/>
            <w:tcMar>
              <w:top w:w="100" w:type="dxa"/>
              <w:left w:w="100" w:type="dxa"/>
              <w:bottom w:w="100" w:type="dxa"/>
              <w:right w:w="100" w:type="dxa"/>
            </w:tcMar>
          </w:tcPr>
          <w:p w14:paraId="137E4A6A"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Depth (m)</w:t>
            </w:r>
          </w:p>
        </w:tc>
        <w:tc>
          <w:tcPr>
            <w:tcW w:w="840" w:type="dxa"/>
            <w:shd w:val="clear" w:color="auto" w:fill="auto"/>
            <w:tcMar>
              <w:top w:w="100" w:type="dxa"/>
              <w:left w:w="100" w:type="dxa"/>
              <w:bottom w:w="100" w:type="dxa"/>
              <w:right w:w="100" w:type="dxa"/>
            </w:tcMar>
          </w:tcPr>
          <w:p w14:paraId="6EF98638"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Width (m)</w:t>
            </w:r>
          </w:p>
        </w:tc>
        <w:tc>
          <w:tcPr>
            <w:tcW w:w="3075" w:type="dxa"/>
            <w:vMerge/>
            <w:shd w:val="clear" w:color="auto" w:fill="auto"/>
            <w:tcMar>
              <w:top w:w="100" w:type="dxa"/>
              <w:left w:w="100" w:type="dxa"/>
              <w:bottom w:w="100" w:type="dxa"/>
              <w:right w:w="100" w:type="dxa"/>
            </w:tcMar>
          </w:tcPr>
          <w:p w14:paraId="759EF7A5" w14:textId="77777777" w:rsidR="00CA4874" w:rsidRPr="00BC5641" w:rsidRDefault="00CA4874">
            <w:pPr>
              <w:widowControl w:val="0"/>
              <w:spacing w:after="0" w:line="240" w:lineRule="auto"/>
              <w:rPr>
                <w:rFonts w:ascii="Times New Roman" w:eastAsia="Times New Roman" w:hAnsi="Times New Roman" w:cs="Times New Roman"/>
                <w:sz w:val="20"/>
                <w:szCs w:val="20"/>
              </w:rPr>
            </w:pPr>
          </w:p>
        </w:tc>
      </w:tr>
      <w:tr w:rsidR="00CA4874" w:rsidRPr="00BC5641" w14:paraId="2C2B2DE0" w14:textId="77777777" w:rsidTr="00BC5641">
        <w:tc>
          <w:tcPr>
            <w:tcW w:w="675" w:type="dxa"/>
            <w:shd w:val="clear" w:color="auto" w:fill="auto"/>
            <w:tcMar>
              <w:top w:w="100" w:type="dxa"/>
              <w:left w:w="100" w:type="dxa"/>
              <w:bottom w:w="100" w:type="dxa"/>
              <w:right w:w="100" w:type="dxa"/>
            </w:tcMar>
          </w:tcPr>
          <w:p w14:paraId="0E20FA20"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P1</w:t>
            </w:r>
          </w:p>
        </w:tc>
        <w:tc>
          <w:tcPr>
            <w:tcW w:w="1350" w:type="dxa"/>
            <w:shd w:val="clear" w:color="auto" w:fill="auto"/>
            <w:tcMar>
              <w:top w:w="100" w:type="dxa"/>
              <w:left w:w="100" w:type="dxa"/>
              <w:bottom w:w="100" w:type="dxa"/>
              <w:right w:w="100" w:type="dxa"/>
            </w:tcMar>
          </w:tcPr>
          <w:p w14:paraId="22285F7D"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1°06′27″S - 77°51′35″O</w:t>
            </w:r>
          </w:p>
        </w:tc>
        <w:tc>
          <w:tcPr>
            <w:tcW w:w="1065" w:type="dxa"/>
            <w:shd w:val="clear" w:color="auto" w:fill="auto"/>
            <w:tcMar>
              <w:top w:w="100" w:type="dxa"/>
              <w:left w:w="100" w:type="dxa"/>
              <w:bottom w:w="100" w:type="dxa"/>
              <w:right w:w="100" w:type="dxa"/>
            </w:tcMar>
          </w:tcPr>
          <w:p w14:paraId="01E40B4A"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603.8</w:t>
            </w:r>
          </w:p>
        </w:tc>
        <w:tc>
          <w:tcPr>
            <w:tcW w:w="1185" w:type="dxa"/>
            <w:shd w:val="clear" w:color="auto" w:fill="auto"/>
            <w:tcMar>
              <w:top w:w="100" w:type="dxa"/>
              <w:left w:w="100" w:type="dxa"/>
              <w:bottom w:w="100" w:type="dxa"/>
              <w:right w:w="100" w:type="dxa"/>
            </w:tcMar>
          </w:tcPr>
          <w:p w14:paraId="2491D74C"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Chumbiyacu</w:t>
            </w:r>
          </w:p>
        </w:tc>
        <w:tc>
          <w:tcPr>
            <w:tcW w:w="855" w:type="dxa"/>
            <w:shd w:val="clear" w:color="auto" w:fill="auto"/>
            <w:tcMar>
              <w:top w:w="100" w:type="dxa"/>
              <w:left w:w="100" w:type="dxa"/>
              <w:bottom w:w="100" w:type="dxa"/>
              <w:right w:w="100" w:type="dxa"/>
            </w:tcMar>
          </w:tcPr>
          <w:p w14:paraId="09FD480C"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0.26</w:t>
            </w:r>
          </w:p>
        </w:tc>
        <w:tc>
          <w:tcPr>
            <w:tcW w:w="840" w:type="dxa"/>
            <w:shd w:val="clear" w:color="auto" w:fill="auto"/>
            <w:tcMar>
              <w:top w:w="100" w:type="dxa"/>
              <w:left w:w="100" w:type="dxa"/>
              <w:bottom w:w="100" w:type="dxa"/>
              <w:right w:w="100" w:type="dxa"/>
            </w:tcMar>
          </w:tcPr>
          <w:p w14:paraId="54C198C6"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2.4</w:t>
            </w:r>
          </w:p>
        </w:tc>
        <w:tc>
          <w:tcPr>
            <w:tcW w:w="3075" w:type="dxa"/>
            <w:shd w:val="clear" w:color="auto" w:fill="auto"/>
            <w:tcMar>
              <w:top w:w="100" w:type="dxa"/>
              <w:left w:w="100" w:type="dxa"/>
              <w:bottom w:w="100" w:type="dxa"/>
              <w:right w:w="100" w:type="dxa"/>
            </w:tcMar>
          </w:tcPr>
          <w:p w14:paraId="220EC869" w14:textId="77E8A899"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P1 </w:t>
            </w:r>
            <w:r w:rsidR="00BC5641" w:rsidRPr="00BC5641">
              <w:rPr>
                <w:rFonts w:ascii="Times New Roman" w:eastAsia="Times New Roman" w:hAnsi="Times New Roman" w:cs="Times New Roman"/>
                <w:sz w:val="20"/>
                <w:szCs w:val="20"/>
              </w:rPr>
              <w:t>is in</w:t>
            </w:r>
            <w:r w:rsidRPr="00BC5641">
              <w:rPr>
                <w:rFonts w:ascii="Times New Roman" w:eastAsia="Times New Roman" w:hAnsi="Times New Roman" w:cs="Times New Roman"/>
                <w:sz w:val="20"/>
                <w:szCs w:val="20"/>
              </w:rPr>
              <w:t xml:space="preserve"> the Moretecocha mining </w:t>
            </w:r>
            <w:r w:rsidR="00BC5641" w:rsidRPr="00BC5641">
              <w:rPr>
                <w:rFonts w:ascii="Times New Roman" w:eastAsia="Times New Roman" w:hAnsi="Times New Roman" w:cs="Times New Roman"/>
                <w:sz w:val="20"/>
                <w:szCs w:val="20"/>
              </w:rPr>
              <w:t>area,</w:t>
            </w:r>
            <w:r w:rsidRPr="00BC5641">
              <w:rPr>
                <w:rFonts w:ascii="Times New Roman" w:eastAsia="Times New Roman" w:hAnsi="Times New Roman" w:cs="Times New Roman"/>
                <w:sz w:val="20"/>
                <w:szCs w:val="20"/>
              </w:rPr>
              <w:t xml:space="preserve"> within a forest area. The stream receives the wastewater from the waste pools. The mining machines were in operation during the sampling.</w:t>
            </w:r>
          </w:p>
        </w:tc>
      </w:tr>
      <w:tr w:rsidR="00CA4874" w:rsidRPr="00BC5641" w14:paraId="52C138BE" w14:textId="77777777" w:rsidTr="00BC5641">
        <w:tc>
          <w:tcPr>
            <w:tcW w:w="675" w:type="dxa"/>
            <w:shd w:val="clear" w:color="auto" w:fill="auto"/>
            <w:tcMar>
              <w:top w:w="100" w:type="dxa"/>
              <w:left w:w="100" w:type="dxa"/>
              <w:bottom w:w="100" w:type="dxa"/>
              <w:right w:w="100" w:type="dxa"/>
            </w:tcMar>
          </w:tcPr>
          <w:p w14:paraId="0F8BBA07"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P2</w:t>
            </w:r>
          </w:p>
        </w:tc>
        <w:tc>
          <w:tcPr>
            <w:tcW w:w="1350" w:type="dxa"/>
            <w:shd w:val="clear" w:color="auto" w:fill="auto"/>
            <w:tcMar>
              <w:top w:w="100" w:type="dxa"/>
              <w:left w:w="100" w:type="dxa"/>
              <w:bottom w:w="100" w:type="dxa"/>
              <w:right w:w="100" w:type="dxa"/>
            </w:tcMar>
          </w:tcPr>
          <w:p w14:paraId="7E6C553D"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1°08′17″S - 77°52′44″O</w:t>
            </w:r>
          </w:p>
        </w:tc>
        <w:tc>
          <w:tcPr>
            <w:tcW w:w="1065" w:type="dxa"/>
            <w:shd w:val="clear" w:color="auto" w:fill="auto"/>
            <w:tcMar>
              <w:top w:w="100" w:type="dxa"/>
              <w:left w:w="100" w:type="dxa"/>
              <w:bottom w:w="100" w:type="dxa"/>
              <w:right w:w="100" w:type="dxa"/>
            </w:tcMar>
          </w:tcPr>
          <w:p w14:paraId="1D0EF5EE"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577.9</w:t>
            </w:r>
          </w:p>
        </w:tc>
        <w:tc>
          <w:tcPr>
            <w:tcW w:w="1185" w:type="dxa"/>
            <w:shd w:val="clear" w:color="auto" w:fill="auto"/>
            <w:tcMar>
              <w:top w:w="100" w:type="dxa"/>
              <w:left w:w="100" w:type="dxa"/>
              <w:bottom w:w="100" w:type="dxa"/>
              <w:right w:w="100" w:type="dxa"/>
            </w:tcMar>
          </w:tcPr>
          <w:p w14:paraId="61FD6D2C"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Chucapi</w:t>
            </w:r>
          </w:p>
        </w:tc>
        <w:tc>
          <w:tcPr>
            <w:tcW w:w="855" w:type="dxa"/>
            <w:shd w:val="clear" w:color="auto" w:fill="auto"/>
            <w:tcMar>
              <w:top w:w="100" w:type="dxa"/>
              <w:left w:w="100" w:type="dxa"/>
              <w:bottom w:w="100" w:type="dxa"/>
              <w:right w:w="100" w:type="dxa"/>
            </w:tcMar>
          </w:tcPr>
          <w:p w14:paraId="52521649"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0.12</w:t>
            </w:r>
          </w:p>
        </w:tc>
        <w:tc>
          <w:tcPr>
            <w:tcW w:w="840" w:type="dxa"/>
            <w:shd w:val="clear" w:color="auto" w:fill="auto"/>
            <w:tcMar>
              <w:top w:w="100" w:type="dxa"/>
              <w:left w:w="100" w:type="dxa"/>
              <w:bottom w:w="100" w:type="dxa"/>
              <w:right w:w="100" w:type="dxa"/>
            </w:tcMar>
          </w:tcPr>
          <w:p w14:paraId="322DDE8A"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6</w:t>
            </w:r>
          </w:p>
        </w:tc>
        <w:tc>
          <w:tcPr>
            <w:tcW w:w="3075" w:type="dxa"/>
            <w:shd w:val="clear" w:color="auto" w:fill="auto"/>
            <w:tcMar>
              <w:top w:w="100" w:type="dxa"/>
              <w:left w:w="100" w:type="dxa"/>
              <w:bottom w:w="100" w:type="dxa"/>
              <w:right w:w="100" w:type="dxa"/>
            </w:tcMar>
          </w:tcPr>
          <w:p w14:paraId="24BF1CD1" w14:textId="0DD4F4E0"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P2 </w:t>
            </w:r>
            <w:r w:rsidR="00BC5641" w:rsidRPr="00BC5641">
              <w:rPr>
                <w:rFonts w:ascii="Times New Roman" w:eastAsia="Times New Roman" w:hAnsi="Times New Roman" w:cs="Times New Roman"/>
                <w:sz w:val="20"/>
                <w:szCs w:val="20"/>
              </w:rPr>
              <w:t>is in a</w:t>
            </w:r>
            <w:r w:rsidRPr="00BC5641">
              <w:rPr>
                <w:rFonts w:ascii="Times New Roman" w:eastAsia="Times New Roman" w:hAnsi="Times New Roman" w:cs="Times New Roman"/>
                <w:sz w:val="20"/>
                <w:szCs w:val="20"/>
              </w:rPr>
              <w:t xml:space="preserve"> river that drains to an abandoned mining area. There was presence of secondary vegetation on the banks of the river.</w:t>
            </w:r>
          </w:p>
        </w:tc>
      </w:tr>
      <w:tr w:rsidR="00CA4874" w:rsidRPr="00BC5641" w14:paraId="7498B663" w14:textId="77777777" w:rsidTr="00BC5641">
        <w:tc>
          <w:tcPr>
            <w:tcW w:w="675" w:type="dxa"/>
            <w:shd w:val="clear" w:color="auto" w:fill="auto"/>
            <w:tcMar>
              <w:top w:w="100" w:type="dxa"/>
              <w:left w:w="100" w:type="dxa"/>
              <w:bottom w:w="100" w:type="dxa"/>
              <w:right w:w="100" w:type="dxa"/>
            </w:tcMar>
          </w:tcPr>
          <w:p w14:paraId="59AAC16A"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P3</w:t>
            </w:r>
          </w:p>
        </w:tc>
        <w:tc>
          <w:tcPr>
            <w:tcW w:w="1350" w:type="dxa"/>
            <w:shd w:val="clear" w:color="auto" w:fill="auto"/>
            <w:tcMar>
              <w:top w:w="100" w:type="dxa"/>
              <w:left w:w="100" w:type="dxa"/>
              <w:bottom w:w="100" w:type="dxa"/>
              <w:right w:w="100" w:type="dxa"/>
            </w:tcMar>
          </w:tcPr>
          <w:p w14:paraId="06CAEB09"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1°08′11″S - 77°52′41″O</w:t>
            </w:r>
          </w:p>
        </w:tc>
        <w:tc>
          <w:tcPr>
            <w:tcW w:w="1065" w:type="dxa"/>
            <w:shd w:val="clear" w:color="auto" w:fill="auto"/>
            <w:tcMar>
              <w:top w:w="100" w:type="dxa"/>
              <w:left w:w="100" w:type="dxa"/>
              <w:bottom w:w="100" w:type="dxa"/>
              <w:right w:w="100" w:type="dxa"/>
            </w:tcMar>
          </w:tcPr>
          <w:p w14:paraId="31A75E7C"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586.5</w:t>
            </w:r>
          </w:p>
        </w:tc>
        <w:tc>
          <w:tcPr>
            <w:tcW w:w="1185" w:type="dxa"/>
            <w:shd w:val="clear" w:color="auto" w:fill="auto"/>
            <w:tcMar>
              <w:top w:w="100" w:type="dxa"/>
              <w:left w:w="100" w:type="dxa"/>
              <w:bottom w:w="100" w:type="dxa"/>
              <w:right w:w="100" w:type="dxa"/>
            </w:tcMar>
          </w:tcPr>
          <w:p w14:paraId="7CE086F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Chucapi</w:t>
            </w:r>
          </w:p>
        </w:tc>
        <w:tc>
          <w:tcPr>
            <w:tcW w:w="855" w:type="dxa"/>
            <w:shd w:val="clear" w:color="auto" w:fill="auto"/>
            <w:tcMar>
              <w:top w:w="100" w:type="dxa"/>
              <w:left w:w="100" w:type="dxa"/>
              <w:bottom w:w="100" w:type="dxa"/>
              <w:right w:w="100" w:type="dxa"/>
            </w:tcMar>
          </w:tcPr>
          <w:p w14:paraId="4CA5F231"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0.08</w:t>
            </w:r>
          </w:p>
        </w:tc>
        <w:tc>
          <w:tcPr>
            <w:tcW w:w="840" w:type="dxa"/>
            <w:shd w:val="clear" w:color="auto" w:fill="auto"/>
            <w:tcMar>
              <w:top w:w="100" w:type="dxa"/>
              <w:left w:w="100" w:type="dxa"/>
              <w:bottom w:w="100" w:type="dxa"/>
              <w:right w:w="100" w:type="dxa"/>
            </w:tcMar>
          </w:tcPr>
          <w:p w14:paraId="15491A7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0.6</w:t>
            </w:r>
          </w:p>
        </w:tc>
        <w:tc>
          <w:tcPr>
            <w:tcW w:w="3075" w:type="dxa"/>
            <w:shd w:val="clear" w:color="auto" w:fill="auto"/>
            <w:tcMar>
              <w:top w:w="100" w:type="dxa"/>
              <w:left w:w="100" w:type="dxa"/>
              <w:bottom w:w="100" w:type="dxa"/>
              <w:right w:w="100" w:type="dxa"/>
            </w:tcMar>
          </w:tcPr>
          <w:p w14:paraId="30883652" w14:textId="652B9FD8"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P3 is located within an active mining area. The stream receives the wastewater from the waste pools.</w:t>
            </w:r>
            <w:r w:rsidR="00BC5641" w:rsidRPr="00BC5641">
              <w:rPr>
                <w:rFonts w:ascii="Times New Roman" w:eastAsia="Times New Roman" w:hAnsi="Times New Roman" w:cs="Times New Roman"/>
                <w:sz w:val="20"/>
                <w:szCs w:val="20"/>
              </w:rPr>
              <w:t xml:space="preserve"> </w:t>
            </w:r>
            <w:r w:rsidRPr="00BC5641">
              <w:rPr>
                <w:rFonts w:ascii="Times New Roman" w:eastAsia="Times New Roman" w:hAnsi="Times New Roman" w:cs="Times New Roman"/>
                <w:sz w:val="20"/>
                <w:szCs w:val="20"/>
              </w:rPr>
              <w:t>The mining machines were in operation during the sampling.</w:t>
            </w:r>
          </w:p>
        </w:tc>
      </w:tr>
      <w:tr w:rsidR="00CA4874" w:rsidRPr="00BC5641" w14:paraId="30BFF931" w14:textId="77777777" w:rsidTr="00BC5641">
        <w:tc>
          <w:tcPr>
            <w:tcW w:w="675" w:type="dxa"/>
            <w:shd w:val="clear" w:color="auto" w:fill="auto"/>
            <w:tcMar>
              <w:top w:w="100" w:type="dxa"/>
              <w:left w:w="100" w:type="dxa"/>
              <w:bottom w:w="100" w:type="dxa"/>
              <w:right w:w="100" w:type="dxa"/>
            </w:tcMar>
          </w:tcPr>
          <w:p w14:paraId="2199E290"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P4</w:t>
            </w:r>
          </w:p>
        </w:tc>
        <w:tc>
          <w:tcPr>
            <w:tcW w:w="1350" w:type="dxa"/>
            <w:shd w:val="clear" w:color="auto" w:fill="auto"/>
            <w:tcMar>
              <w:top w:w="100" w:type="dxa"/>
              <w:left w:w="100" w:type="dxa"/>
              <w:bottom w:w="100" w:type="dxa"/>
              <w:right w:w="100" w:type="dxa"/>
            </w:tcMar>
          </w:tcPr>
          <w:p w14:paraId="279565B0"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1°06′55″S - 77°52′05″O</w:t>
            </w:r>
          </w:p>
        </w:tc>
        <w:tc>
          <w:tcPr>
            <w:tcW w:w="1065" w:type="dxa"/>
            <w:shd w:val="clear" w:color="auto" w:fill="auto"/>
            <w:tcMar>
              <w:top w:w="100" w:type="dxa"/>
              <w:left w:w="100" w:type="dxa"/>
              <w:bottom w:w="100" w:type="dxa"/>
              <w:right w:w="100" w:type="dxa"/>
            </w:tcMar>
          </w:tcPr>
          <w:p w14:paraId="296ACD5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580.0</w:t>
            </w:r>
          </w:p>
        </w:tc>
        <w:tc>
          <w:tcPr>
            <w:tcW w:w="1185" w:type="dxa"/>
            <w:shd w:val="clear" w:color="auto" w:fill="auto"/>
            <w:tcMar>
              <w:top w:w="100" w:type="dxa"/>
              <w:left w:w="100" w:type="dxa"/>
              <w:bottom w:w="100" w:type="dxa"/>
              <w:right w:w="100" w:type="dxa"/>
            </w:tcMar>
          </w:tcPr>
          <w:p w14:paraId="0153F8CB"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Chumbiyacu</w:t>
            </w:r>
          </w:p>
        </w:tc>
        <w:tc>
          <w:tcPr>
            <w:tcW w:w="855" w:type="dxa"/>
            <w:shd w:val="clear" w:color="auto" w:fill="auto"/>
            <w:tcMar>
              <w:top w:w="100" w:type="dxa"/>
              <w:left w:w="100" w:type="dxa"/>
              <w:bottom w:w="100" w:type="dxa"/>
              <w:right w:w="100" w:type="dxa"/>
            </w:tcMar>
          </w:tcPr>
          <w:p w14:paraId="0D7C3F18"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0.34</w:t>
            </w:r>
          </w:p>
        </w:tc>
        <w:tc>
          <w:tcPr>
            <w:tcW w:w="840" w:type="dxa"/>
            <w:shd w:val="clear" w:color="auto" w:fill="auto"/>
            <w:tcMar>
              <w:top w:w="100" w:type="dxa"/>
              <w:left w:w="100" w:type="dxa"/>
              <w:bottom w:w="100" w:type="dxa"/>
              <w:right w:w="100" w:type="dxa"/>
            </w:tcMar>
          </w:tcPr>
          <w:p w14:paraId="728D29CC"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4</w:t>
            </w:r>
          </w:p>
        </w:tc>
        <w:tc>
          <w:tcPr>
            <w:tcW w:w="3075" w:type="dxa"/>
            <w:shd w:val="clear" w:color="auto" w:fill="auto"/>
            <w:tcMar>
              <w:top w:w="100" w:type="dxa"/>
              <w:left w:w="100" w:type="dxa"/>
              <w:bottom w:w="100" w:type="dxa"/>
              <w:right w:w="100" w:type="dxa"/>
            </w:tcMar>
          </w:tcPr>
          <w:p w14:paraId="2C8977A6" w14:textId="76506DAB"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P4 </w:t>
            </w:r>
            <w:r w:rsidR="00BC5641" w:rsidRPr="00BC5641">
              <w:rPr>
                <w:rFonts w:ascii="Times New Roman" w:eastAsia="Times New Roman" w:hAnsi="Times New Roman" w:cs="Times New Roman"/>
                <w:sz w:val="20"/>
                <w:szCs w:val="20"/>
              </w:rPr>
              <w:t>is in</w:t>
            </w:r>
            <w:r w:rsidRPr="00BC5641">
              <w:rPr>
                <w:rFonts w:ascii="Times New Roman" w:eastAsia="Times New Roman" w:hAnsi="Times New Roman" w:cs="Times New Roman"/>
                <w:sz w:val="20"/>
                <w:szCs w:val="20"/>
              </w:rPr>
              <w:t xml:space="preserve"> an area highly affected by the opening of a road. Construction machines were crossing the river and moving sediments from river margins and riverbed.</w:t>
            </w:r>
          </w:p>
        </w:tc>
      </w:tr>
      <w:tr w:rsidR="00CA4874" w:rsidRPr="00BC5641" w14:paraId="271B217E" w14:textId="77777777" w:rsidTr="00BC5641">
        <w:tc>
          <w:tcPr>
            <w:tcW w:w="675" w:type="dxa"/>
            <w:shd w:val="clear" w:color="auto" w:fill="auto"/>
            <w:tcMar>
              <w:top w:w="100" w:type="dxa"/>
              <w:left w:w="100" w:type="dxa"/>
              <w:bottom w:w="100" w:type="dxa"/>
              <w:right w:w="100" w:type="dxa"/>
            </w:tcMar>
          </w:tcPr>
          <w:p w14:paraId="4FC79721"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P5</w:t>
            </w:r>
          </w:p>
        </w:tc>
        <w:tc>
          <w:tcPr>
            <w:tcW w:w="1350" w:type="dxa"/>
            <w:shd w:val="clear" w:color="auto" w:fill="auto"/>
            <w:tcMar>
              <w:top w:w="100" w:type="dxa"/>
              <w:left w:w="100" w:type="dxa"/>
              <w:bottom w:w="100" w:type="dxa"/>
              <w:right w:w="100" w:type="dxa"/>
            </w:tcMar>
          </w:tcPr>
          <w:p w14:paraId="36FDAE0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1°06′33″S - 77°50′10″O</w:t>
            </w:r>
          </w:p>
        </w:tc>
        <w:tc>
          <w:tcPr>
            <w:tcW w:w="1065" w:type="dxa"/>
            <w:shd w:val="clear" w:color="auto" w:fill="auto"/>
            <w:tcMar>
              <w:top w:w="100" w:type="dxa"/>
              <w:left w:w="100" w:type="dxa"/>
              <w:bottom w:w="100" w:type="dxa"/>
              <w:right w:w="100" w:type="dxa"/>
            </w:tcMar>
          </w:tcPr>
          <w:p w14:paraId="3D09D846"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502.4</w:t>
            </w:r>
          </w:p>
        </w:tc>
        <w:tc>
          <w:tcPr>
            <w:tcW w:w="1185" w:type="dxa"/>
            <w:shd w:val="clear" w:color="auto" w:fill="auto"/>
            <w:tcMar>
              <w:top w:w="100" w:type="dxa"/>
              <w:left w:w="100" w:type="dxa"/>
              <w:bottom w:w="100" w:type="dxa"/>
              <w:right w:w="100" w:type="dxa"/>
            </w:tcMar>
          </w:tcPr>
          <w:p w14:paraId="3DBAC2D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Chumbiyacu</w:t>
            </w:r>
          </w:p>
        </w:tc>
        <w:tc>
          <w:tcPr>
            <w:tcW w:w="855" w:type="dxa"/>
            <w:shd w:val="clear" w:color="auto" w:fill="auto"/>
            <w:tcMar>
              <w:top w:w="100" w:type="dxa"/>
              <w:left w:w="100" w:type="dxa"/>
              <w:bottom w:w="100" w:type="dxa"/>
              <w:right w:w="100" w:type="dxa"/>
            </w:tcMar>
          </w:tcPr>
          <w:p w14:paraId="40D1313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0.33</w:t>
            </w:r>
          </w:p>
        </w:tc>
        <w:tc>
          <w:tcPr>
            <w:tcW w:w="840" w:type="dxa"/>
            <w:shd w:val="clear" w:color="auto" w:fill="auto"/>
            <w:tcMar>
              <w:top w:w="100" w:type="dxa"/>
              <w:left w:w="100" w:type="dxa"/>
              <w:bottom w:w="100" w:type="dxa"/>
              <w:right w:w="100" w:type="dxa"/>
            </w:tcMar>
          </w:tcPr>
          <w:p w14:paraId="34599133"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6</w:t>
            </w:r>
          </w:p>
        </w:tc>
        <w:tc>
          <w:tcPr>
            <w:tcW w:w="3075" w:type="dxa"/>
            <w:shd w:val="clear" w:color="auto" w:fill="auto"/>
            <w:tcMar>
              <w:top w:w="100" w:type="dxa"/>
              <w:left w:w="100" w:type="dxa"/>
              <w:bottom w:w="100" w:type="dxa"/>
              <w:right w:w="100" w:type="dxa"/>
            </w:tcMar>
          </w:tcPr>
          <w:p w14:paraId="6B242E49" w14:textId="4C1B5B5A"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P5 </w:t>
            </w:r>
            <w:r w:rsidR="00BC5641" w:rsidRPr="00BC5641">
              <w:rPr>
                <w:rFonts w:ascii="Times New Roman" w:eastAsia="Times New Roman" w:hAnsi="Times New Roman" w:cs="Times New Roman"/>
                <w:sz w:val="20"/>
                <w:szCs w:val="20"/>
              </w:rPr>
              <w:t>is in</w:t>
            </w:r>
            <w:r w:rsidRPr="00BC5641">
              <w:rPr>
                <w:rFonts w:ascii="Times New Roman" w:eastAsia="Times New Roman" w:hAnsi="Times New Roman" w:cs="Times New Roman"/>
                <w:sz w:val="20"/>
                <w:szCs w:val="20"/>
              </w:rPr>
              <w:t xml:space="preserve"> an abandoned mining area. Presence of secondary vegetation. The river receives water from mining areas. </w:t>
            </w:r>
          </w:p>
          <w:p w14:paraId="6610A1C6" w14:textId="77777777" w:rsidR="00CA4874" w:rsidRPr="00BC5641" w:rsidRDefault="00CA4874">
            <w:pPr>
              <w:widowControl w:val="0"/>
              <w:spacing w:after="0" w:line="240" w:lineRule="auto"/>
              <w:rPr>
                <w:rFonts w:ascii="Times New Roman" w:eastAsia="Times New Roman" w:hAnsi="Times New Roman" w:cs="Times New Roman"/>
                <w:sz w:val="20"/>
                <w:szCs w:val="20"/>
              </w:rPr>
            </w:pPr>
          </w:p>
        </w:tc>
      </w:tr>
      <w:tr w:rsidR="00CA4874" w:rsidRPr="00BC5641" w14:paraId="362FAFB1" w14:textId="77777777" w:rsidTr="00BC5641">
        <w:tc>
          <w:tcPr>
            <w:tcW w:w="675" w:type="dxa"/>
            <w:shd w:val="clear" w:color="auto" w:fill="auto"/>
            <w:tcMar>
              <w:top w:w="100" w:type="dxa"/>
              <w:left w:w="100" w:type="dxa"/>
              <w:bottom w:w="100" w:type="dxa"/>
              <w:right w:w="100" w:type="dxa"/>
            </w:tcMar>
          </w:tcPr>
          <w:p w14:paraId="56E09C37"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P6</w:t>
            </w:r>
          </w:p>
        </w:tc>
        <w:tc>
          <w:tcPr>
            <w:tcW w:w="1350" w:type="dxa"/>
            <w:shd w:val="clear" w:color="auto" w:fill="auto"/>
            <w:tcMar>
              <w:top w:w="100" w:type="dxa"/>
              <w:left w:w="100" w:type="dxa"/>
              <w:bottom w:w="100" w:type="dxa"/>
              <w:right w:w="100" w:type="dxa"/>
            </w:tcMar>
          </w:tcPr>
          <w:p w14:paraId="01D5C1BA"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1°06′7″S - 77°49′00″O</w:t>
            </w:r>
          </w:p>
        </w:tc>
        <w:tc>
          <w:tcPr>
            <w:tcW w:w="1065" w:type="dxa"/>
            <w:shd w:val="clear" w:color="auto" w:fill="auto"/>
            <w:tcMar>
              <w:top w:w="100" w:type="dxa"/>
              <w:left w:w="100" w:type="dxa"/>
              <w:bottom w:w="100" w:type="dxa"/>
              <w:right w:w="100" w:type="dxa"/>
            </w:tcMar>
          </w:tcPr>
          <w:p w14:paraId="0075A496"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465.2</w:t>
            </w:r>
          </w:p>
        </w:tc>
        <w:tc>
          <w:tcPr>
            <w:tcW w:w="1185" w:type="dxa"/>
            <w:shd w:val="clear" w:color="auto" w:fill="auto"/>
            <w:tcMar>
              <w:top w:w="100" w:type="dxa"/>
              <w:left w:w="100" w:type="dxa"/>
              <w:bottom w:w="100" w:type="dxa"/>
              <w:right w:w="100" w:type="dxa"/>
            </w:tcMar>
          </w:tcPr>
          <w:p w14:paraId="3C37C1D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Chumbiyac</w:t>
            </w:r>
            <w:r w:rsidRPr="00BC5641">
              <w:rPr>
                <w:rFonts w:ascii="Times New Roman" w:eastAsia="Times New Roman" w:hAnsi="Times New Roman" w:cs="Times New Roman"/>
                <w:sz w:val="20"/>
                <w:szCs w:val="20"/>
              </w:rPr>
              <w:lastRenderedPageBreak/>
              <w:t>u</w:t>
            </w:r>
          </w:p>
        </w:tc>
        <w:tc>
          <w:tcPr>
            <w:tcW w:w="855" w:type="dxa"/>
            <w:shd w:val="clear" w:color="auto" w:fill="auto"/>
            <w:tcMar>
              <w:top w:w="100" w:type="dxa"/>
              <w:left w:w="100" w:type="dxa"/>
              <w:bottom w:w="100" w:type="dxa"/>
              <w:right w:w="100" w:type="dxa"/>
            </w:tcMar>
          </w:tcPr>
          <w:p w14:paraId="42137006"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lastRenderedPageBreak/>
              <w:t>0.19</w:t>
            </w:r>
          </w:p>
        </w:tc>
        <w:tc>
          <w:tcPr>
            <w:tcW w:w="840" w:type="dxa"/>
            <w:shd w:val="clear" w:color="auto" w:fill="auto"/>
            <w:tcMar>
              <w:top w:w="100" w:type="dxa"/>
              <w:left w:w="100" w:type="dxa"/>
              <w:bottom w:w="100" w:type="dxa"/>
              <w:right w:w="100" w:type="dxa"/>
            </w:tcMar>
          </w:tcPr>
          <w:p w14:paraId="7EBD5BA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14</w:t>
            </w:r>
          </w:p>
        </w:tc>
        <w:tc>
          <w:tcPr>
            <w:tcW w:w="3075" w:type="dxa"/>
            <w:shd w:val="clear" w:color="auto" w:fill="auto"/>
            <w:tcMar>
              <w:top w:w="100" w:type="dxa"/>
              <w:left w:w="100" w:type="dxa"/>
              <w:bottom w:w="100" w:type="dxa"/>
              <w:right w:w="100" w:type="dxa"/>
            </w:tcMar>
          </w:tcPr>
          <w:p w14:paraId="417164AA"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P6 is located near Chumbiyacu River bridge, downstream from </w:t>
            </w:r>
            <w:r w:rsidRPr="00BC5641">
              <w:rPr>
                <w:rFonts w:ascii="Times New Roman" w:eastAsia="Times New Roman" w:hAnsi="Times New Roman" w:cs="Times New Roman"/>
                <w:sz w:val="20"/>
                <w:szCs w:val="20"/>
              </w:rPr>
              <w:lastRenderedPageBreak/>
              <w:t>point P5.</w:t>
            </w:r>
          </w:p>
        </w:tc>
      </w:tr>
      <w:tr w:rsidR="00CA4874" w:rsidRPr="00BC5641" w14:paraId="265B0998" w14:textId="77777777" w:rsidTr="00BC5641">
        <w:tc>
          <w:tcPr>
            <w:tcW w:w="675" w:type="dxa"/>
            <w:shd w:val="clear" w:color="auto" w:fill="auto"/>
            <w:tcMar>
              <w:top w:w="100" w:type="dxa"/>
              <w:left w:w="100" w:type="dxa"/>
              <w:bottom w:w="100" w:type="dxa"/>
              <w:right w:w="100" w:type="dxa"/>
            </w:tcMar>
          </w:tcPr>
          <w:p w14:paraId="5E73DC49"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lastRenderedPageBreak/>
              <w:t>P7</w:t>
            </w:r>
          </w:p>
        </w:tc>
        <w:tc>
          <w:tcPr>
            <w:tcW w:w="1350" w:type="dxa"/>
            <w:shd w:val="clear" w:color="auto" w:fill="auto"/>
            <w:tcMar>
              <w:top w:w="100" w:type="dxa"/>
              <w:left w:w="100" w:type="dxa"/>
              <w:bottom w:w="100" w:type="dxa"/>
              <w:right w:w="100" w:type="dxa"/>
            </w:tcMar>
          </w:tcPr>
          <w:p w14:paraId="1DD6C53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0°59′13″S - 77°31′01″O</w:t>
            </w:r>
          </w:p>
        </w:tc>
        <w:tc>
          <w:tcPr>
            <w:tcW w:w="1065" w:type="dxa"/>
            <w:shd w:val="clear" w:color="auto" w:fill="auto"/>
            <w:tcMar>
              <w:top w:w="100" w:type="dxa"/>
              <w:left w:w="100" w:type="dxa"/>
              <w:bottom w:w="100" w:type="dxa"/>
              <w:right w:w="100" w:type="dxa"/>
            </w:tcMar>
          </w:tcPr>
          <w:p w14:paraId="5357DF7D"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 360.9</w:t>
            </w:r>
          </w:p>
        </w:tc>
        <w:tc>
          <w:tcPr>
            <w:tcW w:w="1185" w:type="dxa"/>
            <w:shd w:val="clear" w:color="auto" w:fill="auto"/>
            <w:tcMar>
              <w:top w:w="100" w:type="dxa"/>
              <w:left w:w="100" w:type="dxa"/>
              <w:bottom w:w="100" w:type="dxa"/>
              <w:right w:w="100" w:type="dxa"/>
            </w:tcMar>
          </w:tcPr>
          <w:p w14:paraId="6D258D7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Huambuno</w:t>
            </w:r>
          </w:p>
        </w:tc>
        <w:tc>
          <w:tcPr>
            <w:tcW w:w="855" w:type="dxa"/>
            <w:shd w:val="clear" w:color="auto" w:fill="auto"/>
            <w:tcMar>
              <w:top w:w="100" w:type="dxa"/>
              <w:left w:w="100" w:type="dxa"/>
              <w:bottom w:w="100" w:type="dxa"/>
              <w:right w:w="100" w:type="dxa"/>
            </w:tcMar>
          </w:tcPr>
          <w:p w14:paraId="54B0B38B"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0.45</w:t>
            </w:r>
          </w:p>
        </w:tc>
        <w:tc>
          <w:tcPr>
            <w:tcW w:w="840" w:type="dxa"/>
            <w:shd w:val="clear" w:color="auto" w:fill="auto"/>
            <w:tcMar>
              <w:top w:w="100" w:type="dxa"/>
              <w:left w:w="100" w:type="dxa"/>
              <w:bottom w:w="100" w:type="dxa"/>
              <w:right w:w="100" w:type="dxa"/>
            </w:tcMar>
          </w:tcPr>
          <w:p w14:paraId="19E4C70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0.5</w:t>
            </w:r>
          </w:p>
        </w:tc>
        <w:tc>
          <w:tcPr>
            <w:tcW w:w="3075" w:type="dxa"/>
            <w:shd w:val="clear" w:color="auto" w:fill="auto"/>
            <w:tcMar>
              <w:top w:w="100" w:type="dxa"/>
              <w:left w:w="100" w:type="dxa"/>
              <w:bottom w:w="100" w:type="dxa"/>
              <w:right w:w="100" w:type="dxa"/>
            </w:tcMar>
          </w:tcPr>
          <w:p w14:paraId="78B3D764"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P7 is located about 50 m upstream of an active mining area.</w:t>
            </w:r>
          </w:p>
        </w:tc>
      </w:tr>
      <w:tr w:rsidR="00CA4874" w:rsidRPr="00BC5641" w14:paraId="2708077C" w14:textId="77777777" w:rsidTr="00BC5641">
        <w:trPr>
          <w:trHeight w:val="638"/>
        </w:trPr>
        <w:tc>
          <w:tcPr>
            <w:tcW w:w="675" w:type="dxa"/>
            <w:shd w:val="clear" w:color="auto" w:fill="auto"/>
            <w:tcMar>
              <w:top w:w="100" w:type="dxa"/>
              <w:left w:w="100" w:type="dxa"/>
              <w:bottom w:w="100" w:type="dxa"/>
              <w:right w:w="100" w:type="dxa"/>
            </w:tcMar>
          </w:tcPr>
          <w:p w14:paraId="0D8BE636"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P8</w:t>
            </w:r>
          </w:p>
        </w:tc>
        <w:tc>
          <w:tcPr>
            <w:tcW w:w="1350" w:type="dxa"/>
            <w:shd w:val="clear" w:color="auto" w:fill="auto"/>
            <w:tcMar>
              <w:top w:w="100" w:type="dxa"/>
              <w:left w:w="100" w:type="dxa"/>
              <w:bottom w:w="100" w:type="dxa"/>
              <w:right w:w="100" w:type="dxa"/>
            </w:tcMar>
          </w:tcPr>
          <w:p w14:paraId="4B0B5EDD"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0°58′20″S - 77°29′51″O</w:t>
            </w:r>
          </w:p>
        </w:tc>
        <w:tc>
          <w:tcPr>
            <w:tcW w:w="1065" w:type="dxa"/>
            <w:shd w:val="clear" w:color="auto" w:fill="auto"/>
            <w:tcMar>
              <w:top w:w="100" w:type="dxa"/>
              <w:left w:w="100" w:type="dxa"/>
              <w:bottom w:w="100" w:type="dxa"/>
              <w:right w:w="100" w:type="dxa"/>
            </w:tcMar>
          </w:tcPr>
          <w:p w14:paraId="0E431570"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355.8</w:t>
            </w:r>
          </w:p>
        </w:tc>
        <w:tc>
          <w:tcPr>
            <w:tcW w:w="1185" w:type="dxa"/>
            <w:shd w:val="clear" w:color="auto" w:fill="auto"/>
            <w:tcMar>
              <w:top w:w="100" w:type="dxa"/>
              <w:left w:w="100" w:type="dxa"/>
              <w:bottom w:w="100" w:type="dxa"/>
              <w:right w:w="100" w:type="dxa"/>
            </w:tcMar>
          </w:tcPr>
          <w:p w14:paraId="3E9A124D"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Huambuno</w:t>
            </w:r>
          </w:p>
        </w:tc>
        <w:tc>
          <w:tcPr>
            <w:tcW w:w="855" w:type="dxa"/>
            <w:shd w:val="clear" w:color="auto" w:fill="auto"/>
            <w:tcMar>
              <w:top w:w="100" w:type="dxa"/>
              <w:left w:w="100" w:type="dxa"/>
              <w:bottom w:w="100" w:type="dxa"/>
              <w:right w:w="100" w:type="dxa"/>
            </w:tcMar>
          </w:tcPr>
          <w:p w14:paraId="37BCD8AF"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0.57</w:t>
            </w:r>
          </w:p>
        </w:tc>
        <w:tc>
          <w:tcPr>
            <w:tcW w:w="840" w:type="dxa"/>
            <w:shd w:val="clear" w:color="auto" w:fill="auto"/>
            <w:tcMar>
              <w:top w:w="100" w:type="dxa"/>
              <w:left w:w="100" w:type="dxa"/>
              <w:bottom w:w="100" w:type="dxa"/>
              <w:right w:w="100" w:type="dxa"/>
            </w:tcMar>
          </w:tcPr>
          <w:p w14:paraId="62D17AB4"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15</w:t>
            </w:r>
          </w:p>
        </w:tc>
        <w:tc>
          <w:tcPr>
            <w:tcW w:w="3075" w:type="dxa"/>
            <w:shd w:val="clear" w:color="auto" w:fill="auto"/>
            <w:tcMar>
              <w:top w:w="100" w:type="dxa"/>
              <w:left w:w="100" w:type="dxa"/>
              <w:bottom w:w="100" w:type="dxa"/>
              <w:right w:w="100" w:type="dxa"/>
            </w:tcMar>
          </w:tcPr>
          <w:p w14:paraId="195D3006"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P8 is situated near Huambuno River bridge, downstream from point P7.</w:t>
            </w:r>
          </w:p>
        </w:tc>
      </w:tr>
      <w:tr w:rsidR="00CA4874" w:rsidRPr="00BC5641" w14:paraId="33208F05" w14:textId="77777777" w:rsidTr="00BC5641">
        <w:tc>
          <w:tcPr>
            <w:tcW w:w="675" w:type="dxa"/>
            <w:shd w:val="clear" w:color="auto" w:fill="auto"/>
            <w:tcMar>
              <w:top w:w="100" w:type="dxa"/>
              <w:left w:w="100" w:type="dxa"/>
              <w:bottom w:w="100" w:type="dxa"/>
              <w:right w:w="100" w:type="dxa"/>
            </w:tcMar>
          </w:tcPr>
          <w:p w14:paraId="7A13E773"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P9</w:t>
            </w:r>
          </w:p>
        </w:tc>
        <w:tc>
          <w:tcPr>
            <w:tcW w:w="1350" w:type="dxa"/>
            <w:shd w:val="clear" w:color="auto" w:fill="auto"/>
            <w:tcMar>
              <w:top w:w="100" w:type="dxa"/>
              <w:left w:w="100" w:type="dxa"/>
              <w:bottom w:w="100" w:type="dxa"/>
              <w:right w:w="100" w:type="dxa"/>
            </w:tcMar>
          </w:tcPr>
          <w:p w14:paraId="68A32AF3"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1°02′09″S - 77°36′43″O</w:t>
            </w:r>
          </w:p>
        </w:tc>
        <w:tc>
          <w:tcPr>
            <w:tcW w:w="1065" w:type="dxa"/>
            <w:shd w:val="clear" w:color="auto" w:fill="auto"/>
            <w:tcMar>
              <w:top w:w="100" w:type="dxa"/>
              <w:left w:w="100" w:type="dxa"/>
              <w:bottom w:w="100" w:type="dxa"/>
              <w:right w:w="100" w:type="dxa"/>
            </w:tcMar>
          </w:tcPr>
          <w:p w14:paraId="56B39600"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 440.2</w:t>
            </w:r>
          </w:p>
        </w:tc>
        <w:tc>
          <w:tcPr>
            <w:tcW w:w="1185" w:type="dxa"/>
            <w:shd w:val="clear" w:color="auto" w:fill="auto"/>
            <w:tcMar>
              <w:top w:w="100" w:type="dxa"/>
              <w:left w:w="100" w:type="dxa"/>
              <w:bottom w:w="100" w:type="dxa"/>
              <w:right w:w="100" w:type="dxa"/>
            </w:tcMar>
          </w:tcPr>
          <w:p w14:paraId="428E6327"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Tuyano</w:t>
            </w:r>
          </w:p>
        </w:tc>
        <w:tc>
          <w:tcPr>
            <w:tcW w:w="855" w:type="dxa"/>
            <w:shd w:val="clear" w:color="auto" w:fill="auto"/>
            <w:tcMar>
              <w:top w:w="100" w:type="dxa"/>
              <w:left w:w="100" w:type="dxa"/>
              <w:bottom w:w="100" w:type="dxa"/>
              <w:right w:w="100" w:type="dxa"/>
            </w:tcMar>
          </w:tcPr>
          <w:p w14:paraId="6B7EB13F"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0.17</w:t>
            </w:r>
          </w:p>
        </w:tc>
        <w:tc>
          <w:tcPr>
            <w:tcW w:w="840" w:type="dxa"/>
            <w:shd w:val="clear" w:color="auto" w:fill="auto"/>
            <w:tcMar>
              <w:top w:w="100" w:type="dxa"/>
              <w:left w:w="100" w:type="dxa"/>
              <w:bottom w:w="100" w:type="dxa"/>
              <w:right w:w="100" w:type="dxa"/>
            </w:tcMar>
          </w:tcPr>
          <w:p w14:paraId="7662B52B"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0.15</w:t>
            </w:r>
          </w:p>
        </w:tc>
        <w:tc>
          <w:tcPr>
            <w:tcW w:w="3075" w:type="dxa"/>
            <w:shd w:val="clear" w:color="auto" w:fill="auto"/>
            <w:tcMar>
              <w:top w:w="100" w:type="dxa"/>
              <w:left w:w="100" w:type="dxa"/>
              <w:bottom w:w="100" w:type="dxa"/>
              <w:right w:w="100" w:type="dxa"/>
            </w:tcMar>
          </w:tcPr>
          <w:p w14:paraId="43CD396B"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P9 is located within an active mining zone. The mining machines were in operation during the sampling. The riverbed was totally modified for the benefit of filling waste pools and washing alluvial sediments.</w:t>
            </w:r>
          </w:p>
        </w:tc>
      </w:tr>
      <w:tr w:rsidR="00CA4874" w:rsidRPr="00BC5641" w14:paraId="469BE3B2" w14:textId="77777777" w:rsidTr="00BC5641">
        <w:tc>
          <w:tcPr>
            <w:tcW w:w="675" w:type="dxa"/>
            <w:shd w:val="clear" w:color="auto" w:fill="auto"/>
            <w:tcMar>
              <w:top w:w="100" w:type="dxa"/>
              <w:left w:w="100" w:type="dxa"/>
              <w:bottom w:w="100" w:type="dxa"/>
              <w:right w:w="100" w:type="dxa"/>
            </w:tcMar>
          </w:tcPr>
          <w:p w14:paraId="031B81CB"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P10</w:t>
            </w:r>
          </w:p>
        </w:tc>
        <w:tc>
          <w:tcPr>
            <w:tcW w:w="1350" w:type="dxa"/>
            <w:shd w:val="clear" w:color="auto" w:fill="auto"/>
            <w:tcMar>
              <w:top w:w="100" w:type="dxa"/>
              <w:left w:w="100" w:type="dxa"/>
              <w:bottom w:w="100" w:type="dxa"/>
              <w:right w:w="100" w:type="dxa"/>
            </w:tcMar>
          </w:tcPr>
          <w:p w14:paraId="514F0D74"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1°03′01″S - 77°48′42″O</w:t>
            </w:r>
          </w:p>
        </w:tc>
        <w:tc>
          <w:tcPr>
            <w:tcW w:w="1065" w:type="dxa"/>
            <w:shd w:val="clear" w:color="auto" w:fill="auto"/>
            <w:tcMar>
              <w:top w:w="100" w:type="dxa"/>
              <w:left w:w="100" w:type="dxa"/>
              <w:bottom w:w="100" w:type="dxa"/>
              <w:right w:w="100" w:type="dxa"/>
            </w:tcMar>
          </w:tcPr>
          <w:p w14:paraId="60C40AA2"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 441.6</w:t>
            </w:r>
          </w:p>
        </w:tc>
        <w:tc>
          <w:tcPr>
            <w:tcW w:w="1185" w:type="dxa"/>
            <w:shd w:val="clear" w:color="auto" w:fill="auto"/>
            <w:tcMar>
              <w:top w:w="100" w:type="dxa"/>
              <w:left w:w="100" w:type="dxa"/>
              <w:bottom w:w="100" w:type="dxa"/>
              <w:right w:w="100" w:type="dxa"/>
            </w:tcMar>
          </w:tcPr>
          <w:p w14:paraId="5BD8E47B"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Quebrada Yutzupino</w:t>
            </w:r>
          </w:p>
        </w:tc>
        <w:tc>
          <w:tcPr>
            <w:tcW w:w="855" w:type="dxa"/>
            <w:shd w:val="clear" w:color="auto" w:fill="auto"/>
            <w:tcMar>
              <w:top w:w="100" w:type="dxa"/>
              <w:left w:w="100" w:type="dxa"/>
              <w:bottom w:w="100" w:type="dxa"/>
              <w:right w:w="100" w:type="dxa"/>
            </w:tcMar>
          </w:tcPr>
          <w:p w14:paraId="2AC237A6"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0.02</w:t>
            </w:r>
          </w:p>
        </w:tc>
        <w:tc>
          <w:tcPr>
            <w:tcW w:w="840" w:type="dxa"/>
            <w:shd w:val="clear" w:color="auto" w:fill="auto"/>
            <w:tcMar>
              <w:top w:w="100" w:type="dxa"/>
              <w:left w:w="100" w:type="dxa"/>
              <w:bottom w:w="100" w:type="dxa"/>
              <w:right w:w="100" w:type="dxa"/>
            </w:tcMar>
          </w:tcPr>
          <w:p w14:paraId="77DDA388"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0.63</w:t>
            </w:r>
          </w:p>
        </w:tc>
        <w:tc>
          <w:tcPr>
            <w:tcW w:w="3075" w:type="dxa"/>
            <w:shd w:val="clear" w:color="auto" w:fill="auto"/>
            <w:tcMar>
              <w:top w:w="100" w:type="dxa"/>
              <w:left w:w="100" w:type="dxa"/>
              <w:bottom w:w="100" w:type="dxa"/>
              <w:right w:w="100" w:type="dxa"/>
            </w:tcMar>
          </w:tcPr>
          <w:p w14:paraId="0CD79C82"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P10 is located about 60 m from the Portoviejo highway, close to Puerto Napo. Downstream from a mining area.</w:t>
            </w:r>
          </w:p>
        </w:tc>
      </w:tr>
      <w:tr w:rsidR="00CA4874" w:rsidRPr="00BC5641" w14:paraId="16B9C751" w14:textId="77777777" w:rsidTr="00BC5641">
        <w:tc>
          <w:tcPr>
            <w:tcW w:w="675" w:type="dxa"/>
            <w:shd w:val="clear" w:color="auto" w:fill="auto"/>
            <w:tcMar>
              <w:top w:w="100" w:type="dxa"/>
              <w:left w:w="100" w:type="dxa"/>
              <w:bottom w:w="100" w:type="dxa"/>
              <w:right w:w="100" w:type="dxa"/>
            </w:tcMar>
          </w:tcPr>
          <w:p w14:paraId="657AED8B"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P11</w:t>
            </w:r>
          </w:p>
        </w:tc>
        <w:tc>
          <w:tcPr>
            <w:tcW w:w="1350" w:type="dxa"/>
            <w:shd w:val="clear" w:color="auto" w:fill="auto"/>
            <w:tcMar>
              <w:top w:w="100" w:type="dxa"/>
              <w:left w:w="100" w:type="dxa"/>
              <w:bottom w:w="100" w:type="dxa"/>
              <w:right w:w="100" w:type="dxa"/>
            </w:tcMar>
          </w:tcPr>
          <w:p w14:paraId="37F7CB15"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1°03′00″S - 77°48′42″O</w:t>
            </w:r>
          </w:p>
        </w:tc>
        <w:tc>
          <w:tcPr>
            <w:tcW w:w="1065" w:type="dxa"/>
            <w:shd w:val="clear" w:color="auto" w:fill="auto"/>
            <w:tcMar>
              <w:top w:w="100" w:type="dxa"/>
              <w:left w:w="100" w:type="dxa"/>
              <w:bottom w:w="100" w:type="dxa"/>
              <w:right w:w="100" w:type="dxa"/>
            </w:tcMar>
          </w:tcPr>
          <w:p w14:paraId="3836B973"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 xml:space="preserve"> 440.4</w:t>
            </w:r>
          </w:p>
        </w:tc>
        <w:tc>
          <w:tcPr>
            <w:tcW w:w="1185" w:type="dxa"/>
            <w:shd w:val="clear" w:color="auto" w:fill="auto"/>
            <w:tcMar>
              <w:top w:w="100" w:type="dxa"/>
              <w:left w:w="100" w:type="dxa"/>
              <w:bottom w:w="100" w:type="dxa"/>
              <w:right w:w="100" w:type="dxa"/>
            </w:tcMar>
          </w:tcPr>
          <w:p w14:paraId="26753BEF"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Río Yutzupino</w:t>
            </w:r>
          </w:p>
        </w:tc>
        <w:tc>
          <w:tcPr>
            <w:tcW w:w="855" w:type="dxa"/>
            <w:shd w:val="clear" w:color="auto" w:fill="auto"/>
            <w:tcMar>
              <w:top w:w="100" w:type="dxa"/>
              <w:left w:w="100" w:type="dxa"/>
              <w:bottom w:w="100" w:type="dxa"/>
              <w:right w:w="100" w:type="dxa"/>
            </w:tcMar>
          </w:tcPr>
          <w:p w14:paraId="7A88FA6A"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0.26</w:t>
            </w:r>
          </w:p>
        </w:tc>
        <w:tc>
          <w:tcPr>
            <w:tcW w:w="840" w:type="dxa"/>
            <w:shd w:val="clear" w:color="auto" w:fill="auto"/>
            <w:tcMar>
              <w:top w:w="100" w:type="dxa"/>
              <w:left w:w="100" w:type="dxa"/>
              <w:bottom w:w="100" w:type="dxa"/>
              <w:right w:w="100" w:type="dxa"/>
            </w:tcMar>
          </w:tcPr>
          <w:p w14:paraId="73FBB65B" w14:textId="77777777" w:rsidR="00CA4874" w:rsidRPr="00BC5641" w:rsidRDefault="00670321">
            <w:pPr>
              <w:widowControl w:val="0"/>
              <w:spacing w:after="0" w:line="240" w:lineRule="auto"/>
              <w:jc w:val="center"/>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0.04</w:t>
            </w:r>
          </w:p>
        </w:tc>
        <w:tc>
          <w:tcPr>
            <w:tcW w:w="3075" w:type="dxa"/>
            <w:shd w:val="clear" w:color="auto" w:fill="auto"/>
            <w:tcMar>
              <w:top w:w="100" w:type="dxa"/>
              <w:left w:w="100" w:type="dxa"/>
              <w:bottom w:w="100" w:type="dxa"/>
              <w:right w:w="100" w:type="dxa"/>
            </w:tcMar>
          </w:tcPr>
          <w:p w14:paraId="1A8FB905" w14:textId="77777777" w:rsidR="00CA4874" w:rsidRPr="00BC5641" w:rsidRDefault="00670321">
            <w:pPr>
              <w:widowControl w:val="0"/>
              <w:spacing w:after="0" w:line="240" w:lineRule="auto"/>
              <w:rPr>
                <w:rFonts w:ascii="Times New Roman" w:eastAsia="Times New Roman" w:hAnsi="Times New Roman" w:cs="Times New Roman"/>
                <w:sz w:val="20"/>
                <w:szCs w:val="20"/>
              </w:rPr>
            </w:pPr>
            <w:r w:rsidRPr="00BC5641">
              <w:rPr>
                <w:rFonts w:ascii="Times New Roman" w:eastAsia="Times New Roman" w:hAnsi="Times New Roman" w:cs="Times New Roman"/>
                <w:sz w:val="20"/>
                <w:szCs w:val="20"/>
              </w:rPr>
              <w:t>P11 is located about 40 m from the Portoviejo highway, close to Puerto Napo. Downstream from a mining area.</w:t>
            </w:r>
          </w:p>
        </w:tc>
      </w:tr>
    </w:tbl>
    <w:p w14:paraId="70202160" w14:textId="77777777" w:rsidR="00CA4874" w:rsidRDefault="00CA4874">
      <w:pPr>
        <w:spacing w:after="0" w:line="276" w:lineRule="auto"/>
        <w:jc w:val="both"/>
        <w:rPr>
          <w:rFonts w:ascii="Times New Roman" w:eastAsia="Times New Roman" w:hAnsi="Times New Roman" w:cs="Times New Roman"/>
        </w:rPr>
      </w:pPr>
    </w:p>
    <w:p w14:paraId="03E44E7D" w14:textId="77777777" w:rsidR="00BC5641" w:rsidRPr="00BC5641" w:rsidRDefault="00BC5641" w:rsidP="00BC5641">
      <w:pPr>
        <w:rPr>
          <w:rFonts w:ascii="Times New Roman" w:eastAsia="Times New Roman" w:hAnsi="Times New Roman" w:cs="Times New Roman"/>
          <w:sz w:val="24"/>
          <w:szCs w:val="24"/>
        </w:rPr>
      </w:pPr>
      <w:r w:rsidRPr="00BC5641">
        <w:rPr>
          <w:rFonts w:ascii="Times New Roman" w:eastAsia="Times New Roman" w:hAnsi="Times New Roman" w:cs="Times New Roman"/>
          <w:b/>
          <w:sz w:val="24"/>
          <w:szCs w:val="24"/>
        </w:rPr>
        <w:t>Integrative index based on Multiple Lines of Evidence</w:t>
      </w:r>
    </w:p>
    <w:p w14:paraId="68A3BF6A" w14:textId="6A0AD30C" w:rsidR="00BC5641" w:rsidRDefault="00BC5641" w:rsidP="00BC564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LOE physicochemical and the LOE metals exposure assessment, two equal methods of evaluation were used to assign values into the integrated index</w:t>
      </w:r>
      <w:r>
        <w:rPr>
          <w:rFonts w:ascii="Times New Roman" w:eastAsia="Times New Roman" w:hAnsi="Times New Roman" w:cs="Times New Roman"/>
          <w:sz w:val="24"/>
          <w:szCs w:val="24"/>
        </w:rPr>
        <w:t xml:space="preserve"> (Table S2)</w:t>
      </w:r>
      <w:r>
        <w:rPr>
          <w:rFonts w:ascii="Times New Roman" w:eastAsia="Times New Roman" w:hAnsi="Times New Roman" w:cs="Times New Roman"/>
          <w:sz w:val="24"/>
          <w:szCs w:val="24"/>
        </w:rPr>
        <w:t>. First, we select only the physicochemical parameters and metal species above TULSMA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{"citationID":"6MXR9DQb","properties":{"formattedCitation":"(MAE, 2015)","plainCitation":"(MAE, 2015)","noteIndex":0},"citationItems":[{"id":26820,"uris":["http://zotero.org/users/2148082/items/LAC8VZCG"],"uri":["http://zotero.org/users/2148082/items/LAC8VZCG"],"itemData":{"id":26820,"type":"article","publisher":"Ministerio del Ambiente, Ecuador","title":"Reforma Texto Unificado de Legislación Secundaria, Medio Ambiente, Libro VI","URL":"https://www.ambiente.gob.ec/wp-content/uploads/downloads/2018/05/Acuerdo-097.pdf","author":[{"family":"MAE","given":""}],"issued":{"date-parts":[["2015"]]}}}],"schema":"https://github.com/citation-style-language/schema/raw/master/csl-citation.json"} </w:instrText>
      </w:r>
      <w:r>
        <w:rPr>
          <w:rFonts w:ascii="Times New Roman" w:eastAsia="Times New Roman" w:hAnsi="Times New Roman" w:cs="Times New Roman"/>
          <w:sz w:val="24"/>
          <w:szCs w:val="24"/>
        </w:rPr>
        <w:fldChar w:fldCharType="separate"/>
      </w:r>
      <w:r w:rsidRPr="00BC5641">
        <w:rPr>
          <w:rFonts w:ascii="Times New Roman" w:hAnsi="Times New Roman" w:cs="Times New Roman"/>
          <w:sz w:val="24"/>
        </w:rPr>
        <w:t>(MAE, 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permissible limits. Then, we determine classes of values depending on how much these parameters exceed permissible limits on a 50 times-base, i.e., if values were 50 times lower than permissible limits, they received the highest score (low environment impact); if values were 50 times or more above the limits, scores were lower (high environmental impact). Secondly, we established a measure based on the total number of physicochemical parameters and metal species that exceed the permissible limits for each site. This measure is complementary to the first evaluation method because it is independent of the concentration or value of each parameter. In this case, if less than 20% of the physicochemical parameters and metals exceed the permissible limit, the higher score is assigned; if more than 80% of the physico-chemical parameters and metals species exceed the permissible limit, the lower score is assigned to the site.</w:t>
      </w:r>
    </w:p>
    <w:p w14:paraId="6CF33393" w14:textId="77777777" w:rsidR="00BC5641" w:rsidRDefault="00BC5641" w:rsidP="00BC5641">
      <w:pPr>
        <w:spacing w:after="0" w:line="276" w:lineRule="auto"/>
        <w:jc w:val="both"/>
        <w:rPr>
          <w:rFonts w:ascii="Times New Roman" w:eastAsia="Times New Roman" w:hAnsi="Times New Roman" w:cs="Times New Roman"/>
          <w:sz w:val="24"/>
          <w:szCs w:val="24"/>
        </w:rPr>
      </w:pPr>
    </w:p>
    <w:p w14:paraId="4BCFF484" w14:textId="1DDD918A" w:rsidR="00BC5641" w:rsidRDefault="00BC5641" w:rsidP="00BC5641">
      <w:p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For the LOE phytotoxicity of </w:t>
      </w:r>
      <w:r>
        <w:rPr>
          <w:rFonts w:ascii="Times New Roman" w:eastAsia="Times New Roman" w:hAnsi="Times New Roman" w:cs="Times New Roman"/>
          <w:i/>
          <w:sz w:val="24"/>
          <w:szCs w:val="24"/>
        </w:rPr>
        <w:t>L. sativa</w:t>
      </w:r>
      <w:r>
        <w:rPr>
          <w:rFonts w:ascii="Times New Roman" w:eastAsia="Times New Roman" w:hAnsi="Times New Roman" w:cs="Times New Roman"/>
          <w:sz w:val="24"/>
          <w:szCs w:val="24"/>
        </w:rPr>
        <w:t xml:space="preserve">, whenever growth enhanced or inhibition differ up to 20% from control, the higher score of 5 was assigned (low environmental impact); whenever growth inhibition differs 80% from control, the lower score was assigned (high environmental impact). For the mortality of </w:t>
      </w:r>
      <w:r>
        <w:rPr>
          <w:rFonts w:ascii="Times New Roman" w:eastAsia="Times New Roman" w:hAnsi="Times New Roman" w:cs="Times New Roman"/>
          <w:i/>
          <w:sz w:val="24"/>
          <w:szCs w:val="24"/>
        </w:rPr>
        <w:t>D. magna</w:t>
      </w:r>
      <w:r>
        <w:rPr>
          <w:rFonts w:ascii="Times New Roman" w:eastAsia="Times New Roman" w:hAnsi="Times New Roman" w:cs="Times New Roman"/>
          <w:sz w:val="24"/>
          <w:szCs w:val="24"/>
        </w:rPr>
        <w:t xml:space="preserve">, higher scores were assigned when </w:t>
      </w:r>
      <w:r>
        <w:rPr>
          <w:rFonts w:ascii="Times New Roman" w:eastAsia="Times New Roman" w:hAnsi="Times New Roman" w:cs="Times New Roman"/>
          <w:sz w:val="24"/>
          <w:szCs w:val="24"/>
        </w:rPr>
        <w:lastRenderedPageBreak/>
        <w:t>neonates survival rate was above 80%, and lower scores were assigned when neonates survival rates were less than 20%. For the LOE AAMBI, the higher score was assigned to AAMBI values classified as “excellent (&gt;121) and the lowest score was assigned when AAMBI values were classified as “bad” (&lt;35).</w:t>
      </w:r>
    </w:p>
    <w:p w14:paraId="58252550" w14:textId="77777777" w:rsidR="00BC5641" w:rsidRDefault="00BC5641" w:rsidP="00BC5641">
      <w:pPr>
        <w:spacing w:after="0" w:line="276" w:lineRule="auto"/>
        <w:jc w:val="both"/>
        <w:rPr>
          <w:rFonts w:ascii="Times New Roman" w:eastAsia="Times New Roman" w:hAnsi="Times New Roman" w:cs="Times New Roman"/>
        </w:rPr>
      </w:pPr>
    </w:p>
    <w:p w14:paraId="2481C6E0" w14:textId="4F6F6083" w:rsidR="00CA4874" w:rsidRPr="00BC5641" w:rsidRDefault="00670321">
      <w:pPr>
        <w:jc w:val="both"/>
        <w:rPr>
          <w:rFonts w:ascii="Times New Roman" w:eastAsia="Times New Roman" w:hAnsi="Times New Roman" w:cs="Times New Roman"/>
          <w:sz w:val="24"/>
          <w:szCs w:val="24"/>
        </w:rPr>
      </w:pPr>
      <w:r w:rsidRPr="00BC5641">
        <w:rPr>
          <w:rFonts w:ascii="Times New Roman" w:eastAsia="Times New Roman" w:hAnsi="Times New Roman" w:cs="Times New Roman"/>
          <w:sz w:val="24"/>
          <w:szCs w:val="24"/>
        </w:rPr>
        <w:t xml:space="preserve">Table S2. Parameters and the respective scores used </w:t>
      </w:r>
      <w:r w:rsidR="00BC5641" w:rsidRPr="00BC5641">
        <w:rPr>
          <w:rFonts w:ascii="Times New Roman" w:eastAsia="Times New Roman" w:hAnsi="Times New Roman" w:cs="Times New Roman"/>
          <w:sz w:val="24"/>
          <w:szCs w:val="24"/>
        </w:rPr>
        <w:t>to calculate</w:t>
      </w:r>
      <w:r w:rsidRPr="00BC5641">
        <w:rPr>
          <w:rFonts w:ascii="Times New Roman" w:eastAsia="Times New Roman" w:hAnsi="Times New Roman" w:cs="Times New Roman"/>
          <w:sz w:val="24"/>
          <w:szCs w:val="24"/>
        </w:rPr>
        <w:t xml:space="preserve"> the integrated </w:t>
      </w:r>
      <w:r w:rsidR="00BC5641" w:rsidRPr="00BC5641">
        <w:rPr>
          <w:rFonts w:ascii="Times New Roman" w:eastAsia="Times New Roman" w:hAnsi="Times New Roman" w:cs="Times New Roman"/>
          <w:sz w:val="24"/>
          <w:szCs w:val="24"/>
        </w:rPr>
        <w:t>index that</w:t>
      </w:r>
      <w:r w:rsidRPr="00BC5641">
        <w:rPr>
          <w:rFonts w:ascii="Times New Roman" w:eastAsia="Times New Roman" w:hAnsi="Times New Roman" w:cs="Times New Roman"/>
          <w:sz w:val="24"/>
          <w:szCs w:val="24"/>
        </w:rPr>
        <w:t xml:space="preserve"> includes the four LOE </w:t>
      </w:r>
      <w:r w:rsidR="00BC5641" w:rsidRPr="00BC5641">
        <w:rPr>
          <w:rFonts w:ascii="Times New Roman" w:eastAsia="Times New Roman" w:hAnsi="Times New Roman" w:cs="Times New Roman"/>
          <w:sz w:val="24"/>
          <w:szCs w:val="24"/>
        </w:rPr>
        <w:t>of freshwater</w:t>
      </w:r>
      <w:r w:rsidRPr="00BC5641">
        <w:rPr>
          <w:rFonts w:ascii="Times New Roman" w:eastAsia="Times New Roman" w:hAnsi="Times New Roman" w:cs="Times New Roman"/>
          <w:sz w:val="24"/>
          <w:szCs w:val="24"/>
        </w:rPr>
        <w:t xml:space="preserve"> parameters (Physico-chemical, Metal concentrations, Macroinvertebrates and Toxicity) assessed in the study area.</w:t>
      </w:r>
    </w:p>
    <w:p w14:paraId="246EF310" w14:textId="77777777" w:rsidR="00BC5641" w:rsidRPr="00BC5641" w:rsidRDefault="00BC5641">
      <w:pPr>
        <w:jc w:val="both"/>
        <w:rPr>
          <w:rFonts w:ascii="Times New Roman" w:eastAsia="Times New Roman" w:hAnsi="Times New Roman" w:cs="Times New Roman"/>
        </w:rPr>
      </w:pPr>
    </w:p>
    <w:tbl>
      <w:tblPr>
        <w:tblStyle w:val="a0"/>
        <w:tblW w:w="10260" w:type="dxa"/>
        <w:tblInd w:w="-740" w:type="dxa"/>
        <w:tblBorders>
          <w:top w:val="nil"/>
          <w:left w:val="nil"/>
          <w:bottom w:val="nil"/>
          <w:right w:val="nil"/>
          <w:insideH w:val="nil"/>
          <w:insideV w:val="nil"/>
        </w:tblBorders>
        <w:tblLayout w:type="fixed"/>
        <w:tblLook w:val="0600" w:firstRow="0" w:lastRow="0" w:firstColumn="0" w:lastColumn="0" w:noHBand="1" w:noVBand="1"/>
      </w:tblPr>
      <w:tblGrid>
        <w:gridCol w:w="2070"/>
        <w:gridCol w:w="7035"/>
        <w:gridCol w:w="1155"/>
      </w:tblGrid>
      <w:tr w:rsidR="00CA4874" w:rsidRPr="00BC5641" w14:paraId="25693E8B" w14:textId="77777777" w:rsidTr="00BC5641">
        <w:trPr>
          <w:trHeight w:val="530"/>
        </w:trPr>
        <w:tc>
          <w:tcPr>
            <w:tcW w:w="9105" w:type="dxa"/>
            <w:gridSpan w:val="2"/>
            <w:tcBorders>
              <w:top w:val="single" w:sz="18" w:space="0" w:color="000000"/>
              <w:left w:val="nil"/>
              <w:bottom w:val="single" w:sz="8" w:space="0" w:color="000000"/>
              <w:right w:val="single" w:sz="8" w:space="0" w:color="CCCCCC"/>
            </w:tcBorders>
            <w:shd w:val="clear" w:color="auto" w:fill="auto"/>
            <w:tcMar>
              <w:top w:w="100" w:type="dxa"/>
              <w:left w:w="100" w:type="dxa"/>
              <w:bottom w:w="100" w:type="dxa"/>
              <w:right w:w="100" w:type="dxa"/>
            </w:tcMar>
          </w:tcPr>
          <w:p w14:paraId="21B75625"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Ranking categories</w:t>
            </w:r>
          </w:p>
        </w:tc>
        <w:tc>
          <w:tcPr>
            <w:tcW w:w="1155" w:type="dxa"/>
            <w:tcBorders>
              <w:top w:val="single" w:sz="18" w:space="0" w:color="000000"/>
              <w:left w:val="nil"/>
              <w:bottom w:val="single" w:sz="8" w:space="0" w:color="000000"/>
              <w:right w:val="nil"/>
            </w:tcBorders>
            <w:shd w:val="clear" w:color="auto" w:fill="auto"/>
            <w:tcMar>
              <w:top w:w="100" w:type="dxa"/>
              <w:left w:w="100" w:type="dxa"/>
              <w:bottom w:w="100" w:type="dxa"/>
              <w:right w:w="100" w:type="dxa"/>
            </w:tcMar>
          </w:tcPr>
          <w:p w14:paraId="117089F5"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Score</w:t>
            </w:r>
          </w:p>
        </w:tc>
      </w:tr>
      <w:tr w:rsidR="00CA4874" w:rsidRPr="00BC5641" w14:paraId="59130DFC" w14:textId="77777777">
        <w:trPr>
          <w:trHeight w:val="285"/>
        </w:trPr>
        <w:tc>
          <w:tcPr>
            <w:tcW w:w="2070" w:type="dxa"/>
            <w:vMerge w:val="restart"/>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191195C"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4686C779"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3B9F39C2"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6677A848"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177FC613"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1BDE7A4E"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4106CD0A"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3CF4D625"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17C8174B"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72326784"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12BA39E7"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0D4C0BA4"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39675950"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Physico - chemical concentrations </w:t>
            </w:r>
          </w:p>
        </w:tc>
        <w:tc>
          <w:tcPr>
            <w:tcW w:w="7035" w:type="dxa"/>
            <w:tcBorders>
              <w:top w:val="single" w:sz="8" w:space="0" w:color="000000"/>
              <w:left w:val="nil"/>
              <w:bottom w:val="nil"/>
              <w:right w:val="nil"/>
            </w:tcBorders>
            <w:shd w:val="clear" w:color="auto" w:fill="auto"/>
            <w:tcMar>
              <w:top w:w="100" w:type="dxa"/>
              <w:left w:w="100" w:type="dxa"/>
              <w:bottom w:w="100" w:type="dxa"/>
              <w:right w:w="100" w:type="dxa"/>
            </w:tcMar>
          </w:tcPr>
          <w:p w14:paraId="4CDA1785"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 Physico-chemical values exceed limit permissible</w:t>
            </w:r>
          </w:p>
        </w:tc>
        <w:tc>
          <w:tcPr>
            <w:tcW w:w="1155" w:type="dxa"/>
            <w:tcBorders>
              <w:top w:val="single" w:sz="8" w:space="0" w:color="000000"/>
              <w:left w:val="nil"/>
              <w:bottom w:val="nil"/>
              <w:right w:val="nil"/>
            </w:tcBorders>
            <w:shd w:val="clear" w:color="auto" w:fill="auto"/>
            <w:tcMar>
              <w:top w:w="100" w:type="dxa"/>
              <w:left w:w="100" w:type="dxa"/>
              <w:bottom w:w="100" w:type="dxa"/>
              <w:right w:w="100" w:type="dxa"/>
            </w:tcMar>
          </w:tcPr>
          <w:p w14:paraId="65C531C4"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w:t>
            </w:r>
          </w:p>
        </w:tc>
      </w:tr>
      <w:tr w:rsidR="00CA4874" w:rsidRPr="00BC5641" w14:paraId="0DC3D7CC" w14:textId="77777777">
        <w:trPr>
          <w:trHeight w:val="40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B0C57F6"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339742EC"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less than 50 times low of the limit permissible value</w:t>
            </w:r>
          </w:p>
        </w:tc>
        <w:tc>
          <w:tcPr>
            <w:tcW w:w="1155" w:type="dxa"/>
            <w:shd w:val="clear" w:color="auto" w:fill="auto"/>
            <w:tcMar>
              <w:top w:w="100" w:type="dxa"/>
              <w:left w:w="100" w:type="dxa"/>
              <w:bottom w:w="100" w:type="dxa"/>
              <w:right w:w="100" w:type="dxa"/>
            </w:tcMar>
          </w:tcPr>
          <w:p w14:paraId="4CEF274F"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5</w:t>
            </w:r>
          </w:p>
        </w:tc>
      </w:tr>
      <w:tr w:rsidR="00CA4874" w:rsidRPr="00BC5641" w14:paraId="0564FFEA" w14:textId="77777777">
        <w:trPr>
          <w:trHeight w:val="52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2D3A5546"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31E61FB2" w14:textId="0AB4D51F" w:rsidR="00CA4874" w:rsidRPr="00BC5641" w:rsidRDefault="00BC564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w:t>
            </w:r>
            <w:r w:rsidR="00670321" w:rsidRPr="00BC5641">
              <w:rPr>
                <w:rFonts w:ascii="Times New Roman" w:eastAsia="Times New Roman" w:hAnsi="Times New Roman" w:cs="Times New Roman"/>
                <w:bCs/>
                <w:sz w:val="20"/>
                <w:szCs w:val="20"/>
              </w:rPr>
              <w:t xml:space="preserve"> between 50 times low of the limit permissible value until the limit permissible value </w:t>
            </w:r>
          </w:p>
        </w:tc>
        <w:tc>
          <w:tcPr>
            <w:tcW w:w="1155" w:type="dxa"/>
            <w:shd w:val="clear" w:color="auto" w:fill="auto"/>
            <w:tcMar>
              <w:top w:w="100" w:type="dxa"/>
              <w:left w:w="100" w:type="dxa"/>
              <w:bottom w:w="100" w:type="dxa"/>
              <w:right w:w="100" w:type="dxa"/>
            </w:tcMar>
          </w:tcPr>
          <w:p w14:paraId="645AAB28"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3.6 - 4.9</w:t>
            </w:r>
          </w:p>
        </w:tc>
      </w:tr>
      <w:tr w:rsidR="00CA4874" w:rsidRPr="00BC5641" w14:paraId="1E496453" w14:textId="77777777">
        <w:trPr>
          <w:trHeight w:val="4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0EBA7A72"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2F81100" w14:textId="5A7CD9E8" w:rsidR="00CA4874" w:rsidRPr="00BC5641" w:rsidRDefault="00BC564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w:t>
            </w:r>
            <w:r w:rsidR="00670321" w:rsidRPr="00BC5641">
              <w:rPr>
                <w:rFonts w:ascii="Times New Roman" w:eastAsia="Times New Roman" w:hAnsi="Times New Roman" w:cs="Times New Roman"/>
                <w:bCs/>
                <w:sz w:val="20"/>
                <w:szCs w:val="20"/>
              </w:rPr>
              <w:t xml:space="preserve"> from limit permissible value until 50 times upper of the limit permissible value</w:t>
            </w:r>
          </w:p>
        </w:tc>
        <w:tc>
          <w:tcPr>
            <w:tcW w:w="1155" w:type="dxa"/>
            <w:shd w:val="clear" w:color="auto" w:fill="auto"/>
            <w:tcMar>
              <w:top w:w="100" w:type="dxa"/>
              <w:left w:w="100" w:type="dxa"/>
              <w:bottom w:w="100" w:type="dxa"/>
              <w:right w:w="100" w:type="dxa"/>
            </w:tcMar>
          </w:tcPr>
          <w:p w14:paraId="21B0FF93"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1.8 - 3.5 </w:t>
            </w:r>
          </w:p>
        </w:tc>
      </w:tr>
      <w:tr w:rsidR="00CA4874" w:rsidRPr="00BC5641" w14:paraId="5DA7DF96" w14:textId="77777777">
        <w:trPr>
          <w:trHeight w:val="30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009A874B"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344F222"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between 50 to 100 times upper the limit permissible value</w:t>
            </w:r>
          </w:p>
        </w:tc>
        <w:tc>
          <w:tcPr>
            <w:tcW w:w="1155" w:type="dxa"/>
            <w:shd w:val="clear" w:color="auto" w:fill="auto"/>
            <w:tcMar>
              <w:top w:w="100" w:type="dxa"/>
              <w:left w:w="100" w:type="dxa"/>
              <w:bottom w:w="100" w:type="dxa"/>
              <w:right w:w="100" w:type="dxa"/>
            </w:tcMar>
          </w:tcPr>
          <w:p w14:paraId="4709CA6F"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0.1 - 1.7 </w:t>
            </w:r>
          </w:p>
        </w:tc>
      </w:tr>
      <w:tr w:rsidR="00CA4874" w:rsidRPr="00BC5641" w14:paraId="68F390FF" w14:textId="77777777">
        <w:trPr>
          <w:trHeight w:val="28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0C39607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1036D9C7"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more than 100 times upper of the limit permissible value</w:t>
            </w:r>
          </w:p>
        </w:tc>
        <w:tc>
          <w:tcPr>
            <w:tcW w:w="1155" w:type="dxa"/>
            <w:tcBorders>
              <w:bottom w:val="single" w:sz="8" w:space="0" w:color="808080"/>
            </w:tcBorders>
            <w:shd w:val="clear" w:color="auto" w:fill="auto"/>
            <w:tcMar>
              <w:top w:w="100" w:type="dxa"/>
              <w:left w:w="100" w:type="dxa"/>
              <w:bottom w:w="100" w:type="dxa"/>
              <w:right w:w="100" w:type="dxa"/>
            </w:tcMar>
          </w:tcPr>
          <w:p w14:paraId="234D5646"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w:t>
            </w:r>
          </w:p>
        </w:tc>
      </w:tr>
      <w:tr w:rsidR="00CA4874" w:rsidRPr="00BC5641" w14:paraId="198FFB00" w14:textId="77777777">
        <w:trPr>
          <w:trHeight w:val="30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630E711C"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single" w:sz="8" w:space="0" w:color="000000"/>
              <w:left w:val="nil"/>
              <w:bottom w:val="nil"/>
              <w:right w:val="nil"/>
            </w:tcBorders>
            <w:shd w:val="clear" w:color="auto" w:fill="auto"/>
            <w:tcMar>
              <w:top w:w="100" w:type="dxa"/>
              <w:left w:w="100" w:type="dxa"/>
              <w:bottom w:w="100" w:type="dxa"/>
              <w:right w:w="100" w:type="dxa"/>
            </w:tcMar>
          </w:tcPr>
          <w:p w14:paraId="3C161D48" w14:textId="2B63A591"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2- </w:t>
            </w:r>
            <w:r w:rsidR="00BC5641" w:rsidRPr="00BC5641">
              <w:rPr>
                <w:rFonts w:ascii="Times New Roman" w:eastAsia="Times New Roman" w:hAnsi="Times New Roman" w:cs="Times New Roman"/>
                <w:bCs/>
                <w:sz w:val="20"/>
                <w:szCs w:val="20"/>
              </w:rPr>
              <w:t>Number</w:t>
            </w:r>
            <w:r w:rsidRPr="00BC5641">
              <w:rPr>
                <w:rFonts w:ascii="Times New Roman" w:eastAsia="Times New Roman" w:hAnsi="Times New Roman" w:cs="Times New Roman"/>
                <w:bCs/>
                <w:sz w:val="20"/>
                <w:szCs w:val="20"/>
              </w:rPr>
              <w:t xml:space="preserve"> of Physico-chemical parameters exceed limit permissible </w:t>
            </w:r>
          </w:p>
        </w:tc>
        <w:tc>
          <w:tcPr>
            <w:tcW w:w="1155" w:type="dxa"/>
            <w:tcBorders>
              <w:top w:val="single" w:sz="8" w:space="0" w:color="808080"/>
            </w:tcBorders>
            <w:shd w:val="clear" w:color="auto" w:fill="auto"/>
            <w:tcMar>
              <w:top w:w="100" w:type="dxa"/>
              <w:left w:w="100" w:type="dxa"/>
              <w:bottom w:w="100" w:type="dxa"/>
              <w:right w:w="100" w:type="dxa"/>
            </w:tcMar>
          </w:tcPr>
          <w:p w14:paraId="376E3264"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w:t>
            </w:r>
          </w:p>
        </w:tc>
      </w:tr>
      <w:tr w:rsidR="00CA4874" w:rsidRPr="00BC5641" w14:paraId="487BB26B" w14:textId="77777777">
        <w:trPr>
          <w:trHeight w:val="55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39CEC37"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761EE32D"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less than 19% of parameters exceed limit permissible </w:t>
            </w:r>
          </w:p>
        </w:tc>
        <w:tc>
          <w:tcPr>
            <w:tcW w:w="1155" w:type="dxa"/>
            <w:shd w:val="clear" w:color="auto" w:fill="auto"/>
            <w:tcMar>
              <w:top w:w="100" w:type="dxa"/>
              <w:left w:w="100" w:type="dxa"/>
              <w:bottom w:w="100" w:type="dxa"/>
              <w:right w:w="100" w:type="dxa"/>
            </w:tcMar>
          </w:tcPr>
          <w:p w14:paraId="19FE3674"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4.1 - 5</w:t>
            </w:r>
          </w:p>
        </w:tc>
      </w:tr>
      <w:tr w:rsidR="00CA4874" w:rsidRPr="00BC5641" w14:paraId="3B490EC9" w14:textId="77777777">
        <w:trPr>
          <w:trHeight w:val="48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C788824"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70B9BAE"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39% to 20% parameters exceed limit permissible </w:t>
            </w:r>
          </w:p>
        </w:tc>
        <w:tc>
          <w:tcPr>
            <w:tcW w:w="1155" w:type="dxa"/>
            <w:shd w:val="clear" w:color="auto" w:fill="auto"/>
            <w:tcMar>
              <w:top w:w="100" w:type="dxa"/>
              <w:left w:w="100" w:type="dxa"/>
              <w:bottom w:w="100" w:type="dxa"/>
              <w:right w:w="100" w:type="dxa"/>
            </w:tcMar>
          </w:tcPr>
          <w:p w14:paraId="23602A72"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3.1 -4.0</w:t>
            </w:r>
          </w:p>
        </w:tc>
      </w:tr>
      <w:tr w:rsidR="00CA4874" w:rsidRPr="00BC5641" w14:paraId="71868DE5" w14:textId="77777777">
        <w:trPr>
          <w:trHeight w:val="52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7CC917C6"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9A1F034"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59% to 40% parameters exceed limit permissible </w:t>
            </w:r>
          </w:p>
        </w:tc>
        <w:tc>
          <w:tcPr>
            <w:tcW w:w="1155" w:type="dxa"/>
            <w:shd w:val="clear" w:color="auto" w:fill="auto"/>
            <w:tcMar>
              <w:top w:w="100" w:type="dxa"/>
              <w:left w:w="100" w:type="dxa"/>
              <w:bottom w:w="100" w:type="dxa"/>
              <w:right w:w="100" w:type="dxa"/>
            </w:tcMar>
          </w:tcPr>
          <w:p w14:paraId="6488DCAC"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2.1 -3.0</w:t>
            </w:r>
          </w:p>
        </w:tc>
      </w:tr>
      <w:tr w:rsidR="00CA4874" w:rsidRPr="00BC5641" w14:paraId="66FA5819" w14:textId="77777777">
        <w:trPr>
          <w:trHeight w:val="36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51FE7B1C"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AC5B0D3"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79% to 60% parameters exceed limit permissible </w:t>
            </w:r>
          </w:p>
        </w:tc>
        <w:tc>
          <w:tcPr>
            <w:tcW w:w="1155" w:type="dxa"/>
            <w:shd w:val="clear" w:color="auto" w:fill="auto"/>
            <w:tcMar>
              <w:top w:w="100" w:type="dxa"/>
              <w:left w:w="100" w:type="dxa"/>
              <w:bottom w:w="100" w:type="dxa"/>
              <w:right w:w="100" w:type="dxa"/>
            </w:tcMar>
          </w:tcPr>
          <w:p w14:paraId="7D1D4559"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1.1 - 2.0</w:t>
            </w:r>
          </w:p>
        </w:tc>
      </w:tr>
      <w:tr w:rsidR="00CA4874" w:rsidRPr="00BC5641" w14:paraId="2DE9F6BD" w14:textId="77777777">
        <w:trPr>
          <w:trHeight w:val="55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2D129F29"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3E70A6D6" w14:textId="51D64E3F"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more than 80% of </w:t>
            </w:r>
            <w:r w:rsidR="00BC5641" w:rsidRPr="00BC5641">
              <w:rPr>
                <w:rFonts w:ascii="Times New Roman" w:eastAsia="Times New Roman" w:hAnsi="Times New Roman" w:cs="Times New Roman"/>
                <w:bCs/>
                <w:sz w:val="20"/>
                <w:szCs w:val="20"/>
              </w:rPr>
              <w:t>parameters exceed</w:t>
            </w:r>
            <w:r w:rsidRPr="00BC5641">
              <w:rPr>
                <w:rFonts w:ascii="Times New Roman" w:eastAsia="Times New Roman" w:hAnsi="Times New Roman" w:cs="Times New Roman"/>
                <w:bCs/>
                <w:sz w:val="20"/>
                <w:szCs w:val="20"/>
              </w:rPr>
              <w:t xml:space="preserve"> limit permissible </w:t>
            </w:r>
          </w:p>
        </w:tc>
        <w:tc>
          <w:tcPr>
            <w:tcW w:w="1155" w:type="dxa"/>
            <w:tcBorders>
              <w:bottom w:val="single" w:sz="8" w:space="0" w:color="000000"/>
            </w:tcBorders>
            <w:shd w:val="clear" w:color="auto" w:fill="auto"/>
            <w:tcMar>
              <w:top w:w="100" w:type="dxa"/>
              <w:left w:w="100" w:type="dxa"/>
              <w:bottom w:w="100" w:type="dxa"/>
              <w:right w:w="100" w:type="dxa"/>
            </w:tcMar>
          </w:tcPr>
          <w:p w14:paraId="02BD2967"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0 - 1.0</w:t>
            </w:r>
          </w:p>
        </w:tc>
      </w:tr>
      <w:tr w:rsidR="00CA4874" w:rsidRPr="00BC5641" w14:paraId="6FC36D1D" w14:textId="77777777">
        <w:trPr>
          <w:trHeight w:val="300"/>
        </w:trPr>
        <w:tc>
          <w:tcPr>
            <w:tcW w:w="2070"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03AB6B7C"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62472EB7"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5FD804EF"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7D423896"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7081C4AE"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3D634085"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23AF0B28"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0D4BB309"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2C2007E8"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63DC2C7D"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10A3B61E"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738E564A" w14:textId="77777777" w:rsidR="00CA4874" w:rsidRPr="00BC5641" w:rsidRDefault="00CA4874">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p>
          <w:p w14:paraId="36915A55"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Metal concentrations </w:t>
            </w:r>
          </w:p>
        </w:tc>
        <w:tc>
          <w:tcPr>
            <w:tcW w:w="7035" w:type="dxa"/>
            <w:tcBorders>
              <w:top w:val="single" w:sz="8" w:space="0" w:color="000000"/>
              <w:left w:val="nil"/>
              <w:bottom w:val="nil"/>
              <w:right w:val="nil"/>
            </w:tcBorders>
            <w:shd w:val="clear" w:color="auto" w:fill="auto"/>
            <w:tcMar>
              <w:top w:w="100" w:type="dxa"/>
              <w:left w:w="100" w:type="dxa"/>
              <w:bottom w:w="100" w:type="dxa"/>
              <w:right w:w="100" w:type="dxa"/>
            </w:tcMar>
          </w:tcPr>
          <w:p w14:paraId="014335B1"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 Metals values exceed limit permissible</w:t>
            </w:r>
          </w:p>
        </w:tc>
        <w:tc>
          <w:tcPr>
            <w:tcW w:w="1155" w:type="dxa"/>
            <w:tcBorders>
              <w:top w:val="single" w:sz="8" w:space="0" w:color="000000"/>
              <w:left w:val="nil"/>
              <w:bottom w:val="nil"/>
              <w:right w:val="nil"/>
            </w:tcBorders>
            <w:shd w:val="clear" w:color="auto" w:fill="auto"/>
            <w:tcMar>
              <w:top w:w="100" w:type="dxa"/>
              <w:left w:w="100" w:type="dxa"/>
              <w:bottom w:w="100" w:type="dxa"/>
              <w:right w:w="100" w:type="dxa"/>
            </w:tcMar>
          </w:tcPr>
          <w:p w14:paraId="0A6F6D5E"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w:t>
            </w:r>
          </w:p>
        </w:tc>
      </w:tr>
      <w:tr w:rsidR="00CA4874" w:rsidRPr="00BC5641" w14:paraId="30E1470E" w14:textId="77777777">
        <w:trPr>
          <w:trHeight w:val="34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73DDF32"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5BA84160"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less than 50 times low of the limit permissible value</w:t>
            </w:r>
          </w:p>
        </w:tc>
        <w:tc>
          <w:tcPr>
            <w:tcW w:w="1155" w:type="dxa"/>
            <w:shd w:val="clear" w:color="auto" w:fill="auto"/>
            <w:tcMar>
              <w:top w:w="100" w:type="dxa"/>
              <w:left w:w="100" w:type="dxa"/>
              <w:bottom w:w="100" w:type="dxa"/>
              <w:right w:w="100" w:type="dxa"/>
            </w:tcMar>
          </w:tcPr>
          <w:p w14:paraId="60E0F343"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5</w:t>
            </w:r>
          </w:p>
        </w:tc>
      </w:tr>
      <w:tr w:rsidR="00CA4874" w:rsidRPr="00BC5641" w14:paraId="0F010686" w14:textId="77777777">
        <w:trPr>
          <w:trHeight w:val="4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D6FA546"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F244951" w14:textId="25849989"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Values are between 50 times low of the limit permissible value until the limit permissible value </w:t>
            </w:r>
          </w:p>
        </w:tc>
        <w:tc>
          <w:tcPr>
            <w:tcW w:w="1155" w:type="dxa"/>
            <w:shd w:val="clear" w:color="auto" w:fill="auto"/>
            <w:tcMar>
              <w:top w:w="100" w:type="dxa"/>
              <w:left w:w="100" w:type="dxa"/>
              <w:bottom w:w="100" w:type="dxa"/>
              <w:right w:w="100" w:type="dxa"/>
            </w:tcMar>
          </w:tcPr>
          <w:p w14:paraId="3E1D8EEE"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3.6 - 4.9</w:t>
            </w:r>
          </w:p>
        </w:tc>
      </w:tr>
      <w:tr w:rsidR="00CA4874" w:rsidRPr="00BC5641" w14:paraId="2411A926" w14:textId="77777777">
        <w:trPr>
          <w:trHeight w:val="49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563EFC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55F2D932" w14:textId="6B02DDA8"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from limit permissible value until 50 times upper of the limit permissible value</w:t>
            </w:r>
          </w:p>
        </w:tc>
        <w:tc>
          <w:tcPr>
            <w:tcW w:w="1155" w:type="dxa"/>
            <w:shd w:val="clear" w:color="auto" w:fill="auto"/>
            <w:tcMar>
              <w:top w:w="100" w:type="dxa"/>
              <w:left w:w="100" w:type="dxa"/>
              <w:bottom w:w="100" w:type="dxa"/>
              <w:right w:w="100" w:type="dxa"/>
            </w:tcMar>
          </w:tcPr>
          <w:p w14:paraId="60833192"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1.8 - 3.5 </w:t>
            </w:r>
          </w:p>
        </w:tc>
      </w:tr>
      <w:tr w:rsidR="00CA4874" w:rsidRPr="00BC5641" w14:paraId="23E54C3A" w14:textId="77777777">
        <w:trPr>
          <w:trHeight w:val="34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5492DAFD"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0E800FE"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between 50 to 100 times upper the limit permissible value</w:t>
            </w:r>
          </w:p>
        </w:tc>
        <w:tc>
          <w:tcPr>
            <w:tcW w:w="1155" w:type="dxa"/>
            <w:shd w:val="clear" w:color="auto" w:fill="auto"/>
            <w:tcMar>
              <w:top w:w="100" w:type="dxa"/>
              <w:left w:w="100" w:type="dxa"/>
              <w:bottom w:w="100" w:type="dxa"/>
              <w:right w:w="100" w:type="dxa"/>
            </w:tcMar>
          </w:tcPr>
          <w:p w14:paraId="7F7AC505"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0.1 - 1.7 </w:t>
            </w:r>
          </w:p>
        </w:tc>
      </w:tr>
      <w:tr w:rsidR="00CA4874" w:rsidRPr="00BC5641" w14:paraId="285AEF5E" w14:textId="77777777">
        <w:trPr>
          <w:trHeight w:val="36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2EAA06D7"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4BD541AB"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Values are more than 100 times upper of the limit permissible value</w:t>
            </w:r>
          </w:p>
        </w:tc>
        <w:tc>
          <w:tcPr>
            <w:tcW w:w="1155" w:type="dxa"/>
            <w:tcBorders>
              <w:bottom w:val="single" w:sz="8" w:space="0" w:color="808080"/>
            </w:tcBorders>
            <w:shd w:val="clear" w:color="auto" w:fill="auto"/>
            <w:tcMar>
              <w:top w:w="100" w:type="dxa"/>
              <w:left w:w="100" w:type="dxa"/>
              <w:bottom w:w="100" w:type="dxa"/>
              <w:right w:w="100" w:type="dxa"/>
            </w:tcMar>
          </w:tcPr>
          <w:p w14:paraId="4F45159C"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w:t>
            </w:r>
          </w:p>
        </w:tc>
      </w:tr>
      <w:tr w:rsidR="00CA4874" w:rsidRPr="00BC5641" w14:paraId="77322A6E" w14:textId="77777777">
        <w:trPr>
          <w:trHeight w:val="31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39DBFFE"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single" w:sz="8" w:space="0" w:color="000000"/>
              <w:left w:val="nil"/>
              <w:bottom w:val="nil"/>
              <w:right w:val="nil"/>
            </w:tcBorders>
            <w:shd w:val="clear" w:color="auto" w:fill="auto"/>
            <w:tcMar>
              <w:top w:w="100" w:type="dxa"/>
              <w:left w:w="100" w:type="dxa"/>
              <w:bottom w:w="100" w:type="dxa"/>
              <w:right w:w="100" w:type="dxa"/>
            </w:tcMar>
          </w:tcPr>
          <w:p w14:paraId="15DB3AC2" w14:textId="1D41262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4- </w:t>
            </w:r>
            <w:r w:rsidR="00BC5641" w:rsidRPr="00BC5641">
              <w:rPr>
                <w:rFonts w:ascii="Times New Roman" w:eastAsia="Times New Roman" w:hAnsi="Times New Roman" w:cs="Times New Roman"/>
                <w:bCs/>
                <w:sz w:val="20"/>
                <w:szCs w:val="20"/>
              </w:rPr>
              <w:t>Number</w:t>
            </w:r>
            <w:r w:rsidRPr="00BC5641">
              <w:rPr>
                <w:rFonts w:ascii="Times New Roman" w:eastAsia="Times New Roman" w:hAnsi="Times New Roman" w:cs="Times New Roman"/>
                <w:bCs/>
                <w:sz w:val="20"/>
                <w:szCs w:val="20"/>
              </w:rPr>
              <w:t xml:space="preserve"> of Metals exceed</w:t>
            </w:r>
            <w:r w:rsidR="00BC5641" w:rsidRPr="00BC5641">
              <w:rPr>
                <w:rFonts w:ascii="Times New Roman" w:eastAsia="Times New Roman" w:hAnsi="Times New Roman" w:cs="Times New Roman"/>
                <w:bCs/>
                <w:sz w:val="20"/>
                <w:szCs w:val="20"/>
              </w:rPr>
              <w:t>ing</w:t>
            </w:r>
            <w:r w:rsidRPr="00BC5641">
              <w:rPr>
                <w:rFonts w:ascii="Times New Roman" w:eastAsia="Times New Roman" w:hAnsi="Times New Roman" w:cs="Times New Roman"/>
                <w:bCs/>
                <w:sz w:val="20"/>
                <w:szCs w:val="20"/>
              </w:rPr>
              <w:t xml:space="preserve"> permissible </w:t>
            </w:r>
            <w:r w:rsidR="00BC5641" w:rsidRPr="00BC5641">
              <w:rPr>
                <w:rFonts w:ascii="Times New Roman" w:eastAsia="Times New Roman" w:hAnsi="Times New Roman" w:cs="Times New Roman"/>
                <w:bCs/>
                <w:sz w:val="20"/>
                <w:szCs w:val="20"/>
              </w:rPr>
              <w:t>limit</w:t>
            </w:r>
            <w:r w:rsidR="00BC5641" w:rsidRPr="00BC5641">
              <w:rPr>
                <w:rFonts w:ascii="Times New Roman" w:eastAsia="Times New Roman" w:hAnsi="Times New Roman" w:cs="Times New Roman"/>
                <w:bCs/>
                <w:sz w:val="20"/>
                <w:szCs w:val="20"/>
              </w:rPr>
              <w:t>s</w:t>
            </w:r>
          </w:p>
        </w:tc>
        <w:tc>
          <w:tcPr>
            <w:tcW w:w="1155" w:type="dxa"/>
            <w:tcBorders>
              <w:top w:val="single" w:sz="8" w:space="0" w:color="808080"/>
            </w:tcBorders>
            <w:shd w:val="clear" w:color="auto" w:fill="auto"/>
            <w:tcMar>
              <w:top w:w="100" w:type="dxa"/>
              <w:left w:w="100" w:type="dxa"/>
              <w:bottom w:w="100" w:type="dxa"/>
              <w:right w:w="100" w:type="dxa"/>
            </w:tcMar>
          </w:tcPr>
          <w:p w14:paraId="1669E2E5"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w:t>
            </w:r>
          </w:p>
        </w:tc>
      </w:tr>
      <w:tr w:rsidR="00CA4874" w:rsidRPr="00BC5641" w14:paraId="4C60A420" w14:textId="77777777">
        <w:trPr>
          <w:trHeight w:val="4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5A92A37D"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696D10B"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less than 19% of parameters exceed limit permissible </w:t>
            </w:r>
          </w:p>
        </w:tc>
        <w:tc>
          <w:tcPr>
            <w:tcW w:w="1155" w:type="dxa"/>
            <w:shd w:val="clear" w:color="auto" w:fill="auto"/>
            <w:tcMar>
              <w:top w:w="100" w:type="dxa"/>
              <w:left w:w="100" w:type="dxa"/>
              <w:bottom w:w="100" w:type="dxa"/>
              <w:right w:w="100" w:type="dxa"/>
            </w:tcMar>
          </w:tcPr>
          <w:p w14:paraId="22DE7CA6"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4.1 - 5</w:t>
            </w:r>
          </w:p>
        </w:tc>
      </w:tr>
      <w:tr w:rsidR="00CA4874" w:rsidRPr="00BC5641" w14:paraId="78F10461" w14:textId="77777777">
        <w:trPr>
          <w:trHeight w:val="51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28545D4"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3DD4A690"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39% to 20% parameters exceed limit permissible </w:t>
            </w:r>
          </w:p>
        </w:tc>
        <w:tc>
          <w:tcPr>
            <w:tcW w:w="1155" w:type="dxa"/>
            <w:shd w:val="clear" w:color="auto" w:fill="auto"/>
            <w:tcMar>
              <w:top w:w="100" w:type="dxa"/>
              <w:left w:w="100" w:type="dxa"/>
              <w:bottom w:w="100" w:type="dxa"/>
              <w:right w:w="100" w:type="dxa"/>
            </w:tcMar>
          </w:tcPr>
          <w:p w14:paraId="2206C645"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3.1 -4.0</w:t>
            </w:r>
          </w:p>
        </w:tc>
      </w:tr>
      <w:tr w:rsidR="00CA4874" w:rsidRPr="00BC5641" w14:paraId="4734117B" w14:textId="77777777">
        <w:trPr>
          <w:trHeight w:val="52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5141E9BC"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68B0ABBC"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59% to 40% parameters exceed limit permissible </w:t>
            </w:r>
          </w:p>
        </w:tc>
        <w:tc>
          <w:tcPr>
            <w:tcW w:w="1155" w:type="dxa"/>
            <w:shd w:val="clear" w:color="auto" w:fill="auto"/>
            <w:tcMar>
              <w:top w:w="100" w:type="dxa"/>
              <w:left w:w="100" w:type="dxa"/>
              <w:bottom w:w="100" w:type="dxa"/>
              <w:right w:w="100" w:type="dxa"/>
            </w:tcMar>
          </w:tcPr>
          <w:p w14:paraId="5CB92E5A"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2.1 -3.0</w:t>
            </w:r>
          </w:p>
        </w:tc>
      </w:tr>
      <w:tr w:rsidR="00CA4874" w:rsidRPr="00BC5641" w14:paraId="15F52FE7" w14:textId="77777777">
        <w:trPr>
          <w:trHeight w:val="4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38F6CE8"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051D63A" w14:textId="77777777"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between 79% to 60% parameters exceed limit permissible </w:t>
            </w:r>
          </w:p>
        </w:tc>
        <w:tc>
          <w:tcPr>
            <w:tcW w:w="1155" w:type="dxa"/>
            <w:shd w:val="clear" w:color="auto" w:fill="auto"/>
            <w:tcMar>
              <w:top w:w="100" w:type="dxa"/>
              <w:left w:w="100" w:type="dxa"/>
              <w:bottom w:w="100" w:type="dxa"/>
              <w:right w:w="100" w:type="dxa"/>
            </w:tcMar>
          </w:tcPr>
          <w:p w14:paraId="7E942FA8"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1.1 - 2.0</w:t>
            </w:r>
          </w:p>
        </w:tc>
      </w:tr>
      <w:tr w:rsidR="00CA4874" w:rsidRPr="00BC5641" w14:paraId="5E3ACD71" w14:textId="77777777">
        <w:trPr>
          <w:trHeight w:val="5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7A3B6BBC"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54A0FBB0" w14:textId="6D030FA6" w:rsidR="00CA4874" w:rsidRPr="00BC5641" w:rsidRDefault="00670321">
            <w:pPr>
              <w:keepNext/>
              <w:keepLines/>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Of the total amount of parameters, more than 80% of </w:t>
            </w:r>
            <w:r w:rsidR="00BC5641" w:rsidRPr="00BC5641">
              <w:rPr>
                <w:rFonts w:ascii="Times New Roman" w:eastAsia="Times New Roman" w:hAnsi="Times New Roman" w:cs="Times New Roman"/>
                <w:bCs/>
                <w:sz w:val="20"/>
                <w:szCs w:val="20"/>
              </w:rPr>
              <w:t>parameters exceed</w:t>
            </w:r>
            <w:r w:rsidRPr="00BC5641">
              <w:rPr>
                <w:rFonts w:ascii="Times New Roman" w:eastAsia="Times New Roman" w:hAnsi="Times New Roman" w:cs="Times New Roman"/>
                <w:bCs/>
                <w:sz w:val="20"/>
                <w:szCs w:val="20"/>
              </w:rPr>
              <w:t xml:space="preserve"> limit permissible </w:t>
            </w:r>
          </w:p>
        </w:tc>
        <w:tc>
          <w:tcPr>
            <w:tcW w:w="1155" w:type="dxa"/>
            <w:tcBorders>
              <w:bottom w:val="single" w:sz="8" w:space="0" w:color="000000"/>
            </w:tcBorders>
            <w:shd w:val="clear" w:color="auto" w:fill="auto"/>
            <w:tcMar>
              <w:top w:w="100" w:type="dxa"/>
              <w:left w:w="100" w:type="dxa"/>
              <w:bottom w:w="100" w:type="dxa"/>
              <w:right w:w="100" w:type="dxa"/>
            </w:tcMar>
          </w:tcPr>
          <w:p w14:paraId="3EE47A76" w14:textId="77777777" w:rsidR="00CA4874" w:rsidRPr="00BC5641" w:rsidRDefault="00670321">
            <w:pPr>
              <w:keepNext/>
              <w:keepLines/>
              <w:pBdr>
                <w:top w:val="nil"/>
                <w:left w:val="nil"/>
                <w:bottom w:val="nil"/>
                <w:right w:val="nil"/>
                <w:between w:val="nil"/>
              </w:pBdr>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0 - 1.0</w:t>
            </w:r>
          </w:p>
        </w:tc>
      </w:tr>
      <w:tr w:rsidR="00CA4874" w:rsidRPr="00BC5641" w14:paraId="44C97593" w14:textId="77777777">
        <w:trPr>
          <w:trHeight w:val="327"/>
        </w:trPr>
        <w:tc>
          <w:tcPr>
            <w:tcW w:w="2070"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10E85A52"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3CDDAF57"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1F9C753F"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504AC728"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5FC71821"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73F59894"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2FEB69DE"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7549261D"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124816C8"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729EAE07"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4C87254C"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Toxicity bioassay</w:t>
            </w:r>
          </w:p>
        </w:tc>
        <w:tc>
          <w:tcPr>
            <w:tcW w:w="7035" w:type="dxa"/>
            <w:tcBorders>
              <w:top w:val="single" w:sz="8" w:space="0" w:color="000000"/>
            </w:tcBorders>
            <w:shd w:val="clear" w:color="auto" w:fill="auto"/>
            <w:tcMar>
              <w:top w:w="100" w:type="dxa"/>
              <w:left w:w="100" w:type="dxa"/>
              <w:bottom w:w="100" w:type="dxa"/>
              <w:right w:w="100" w:type="dxa"/>
            </w:tcMar>
          </w:tcPr>
          <w:p w14:paraId="77AEBE08"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5 - Daphnia Magna</w:t>
            </w:r>
          </w:p>
        </w:tc>
        <w:tc>
          <w:tcPr>
            <w:tcW w:w="1155" w:type="dxa"/>
            <w:tcBorders>
              <w:top w:val="single" w:sz="8" w:space="0" w:color="000000"/>
            </w:tcBorders>
            <w:shd w:val="clear" w:color="auto" w:fill="auto"/>
            <w:tcMar>
              <w:top w:w="100" w:type="dxa"/>
              <w:left w:w="100" w:type="dxa"/>
              <w:bottom w:w="100" w:type="dxa"/>
              <w:right w:w="100" w:type="dxa"/>
            </w:tcMar>
          </w:tcPr>
          <w:p w14:paraId="05BD288E" w14:textId="77777777" w:rsidR="00CA4874" w:rsidRPr="00BC5641" w:rsidRDefault="00CA4874">
            <w:pPr>
              <w:keepNext/>
              <w:keepLines/>
              <w:spacing w:after="0" w:line="240" w:lineRule="auto"/>
              <w:jc w:val="center"/>
              <w:rPr>
                <w:rFonts w:ascii="Times New Roman" w:eastAsia="Times New Roman" w:hAnsi="Times New Roman" w:cs="Times New Roman"/>
                <w:bCs/>
                <w:sz w:val="20"/>
                <w:szCs w:val="20"/>
              </w:rPr>
            </w:pPr>
          </w:p>
        </w:tc>
      </w:tr>
      <w:tr w:rsidR="00CA4874" w:rsidRPr="00BC5641" w14:paraId="1D7F3037" w14:textId="77777777">
        <w:trPr>
          <w:trHeight w:val="21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7FB065C2"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D3CD01E" w14:textId="5D33AEDD"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Neonates survives more than </w:t>
            </w:r>
            <w:r w:rsidR="00BC5641" w:rsidRPr="00BC5641">
              <w:rPr>
                <w:rFonts w:ascii="Times New Roman" w:eastAsia="Times New Roman" w:hAnsi="Times New Roman" w:cs="Times New Roman"/>
                <w:bCs/>
                <w:sz w:val="20"/>
                <w:szCs w:val="20"/>
              </w:rPr>
              <w:t>8</w:t>
            </w:r>
            <w:r w:rsidRPr="00BC5641">
              <w:rPr>
                <w:rFonts w:ascii="Times New Roman" w:eastAsia="Times New Roman" w:hAnsi="Times New Roman" w:cs="Times New Roman"/>
                <w:bCs/>
                <w:sz w:val="20"/>
                <w:szCs w:val="20"/>
              </w:rPr>
              <w:t>0%</w:t>
            </w:r>
          </w:p>
        </w:tc>
        <w:tc>
          <w:tcPr>
            <w:tcW w:w="1155" w:type="dxa"/>
            <w:shd w:val="clear" w:color="auto" w:fill="auto"/>
            <w:tcMar>
              <w:top w:w="100" w:type="dxa"/>
              <w:left w:w="100" w:type="dxa"/>
              <w:bottom w:w="100" w:type="dxa"/>
              <w:right w:w="100" w:type="dxa"/>
            </w:tcMar>
          </w:tcPr>
          <w:p w14:paraId="1108E67E"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4.1 - 5</w:t>
            </w:r>
          </w:p>
        </w:tc>
      </w:tr>
      <w:tr w:rsidR="00CA4874" w:rsidRPr="00BC5641" w14:paraId="5F0060DC" w14:textId="77777777">
        <w:trPr>
          <w:trHeight w:val="30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369698D"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6E030935" w14:textId="744DD6EA"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Neonates survives </w:t>
            </w:r>
            <w:r w:rsidR="00BC5641" w:rsidRPr="00BC5641">
              <w:rPr>
                <w:rFonts w:ascii="Times New Roman" w:eastAsia="Times New Roman" w:hAnsi="Times New Roman" w:cs="Times New Roman"/>
                <w:bCs/>
                <w:sz w:val="20"/>
                <w:szCs w:val="20"/>
              </w:rPr>
              <w:t>between</w:t>
            </w:r>
            <w:r w:rsidRPr="00BC5641">
              <w:rPr>
                <w:rFonts w:ascii="Times New Roman" w:eastAsia="Times New Roman" w:hAnsi="Times New Roman" w:cs="Times New Roman"/>
                <w:bCs/>
                <w:sz w:val="20"/>
                <w:szCs w:val="20"/>
              </w:rPr>
              <w:t xml:space="preserve"> 60% and 79%</w:t>
            </w:r>
          </w:p>
        </w:tc>
        <w:tc>
          <w:tcPr>
            <w:tcW w:w="1155" w:type="dxa"/>
            <w:shd w:val="clear" w:color="auto" w:fill="auto"/>
            <w:tcMar>
              <w:top w:w="100" w:type="dxa"/>
              <w:left w:w="100" w:type="dxa"/>
              <w:bottom w:w="100" w:type="dxa"/>
              <w:right w:w="100" w:type="dxa"/>
            </w:tcMar>
          </w:tcPr>
          <w:p w14:paraId="05851EEF"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3.1 -4.0</w:t>
            </w:r>
          </w:p>
        </w:tc>
      </w:tr>
      <w:tr w:rsidR="00CA4874" w:rsidRPr="00BC5641" w14:paraId="3F661211" w14:textId="77777777">
        <w:trPr>
          <w:trHeight w:val="31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2C90ADF1"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56DBE1B" w14:textId="2ABC285D"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Neonates survives </w:t>
            </w:r>
            <w:r w:rsidR="00BC5641" w:rsidRPr="00BC5641">
              <w:rPr>
                <w:rFonts w:ascii="Times New Roman" w:eastAsia="Times New Roman" w:hAnsi="Times New Roman" w:cs="Times New Roman"/>
                <w:bCs/>
                <w:sz w:val="20"/>
                <w:szCs w:val="20"/>
              </w:rPr>
              <w:t>between</w:t>
            </w:r>
            <w:r w:rsidRPr="00BC5641">
              <w:rPr>
                <w:rFonts w:ascii="Times New Roman" w:eastAsia="Times New Roman" w:hAnsi="Times New Roman" w:cs="Times New Roman"/>
                <w:bCs/>
                <w:sz w:val="20"/>
                <w:szCs w:val="20"/>
              </w:rPr>
              <w:t xml:space="preserve"> 40% and 59%</w:t>
            </w:r>
          </w:p>
        </w:tc>
        <w:tc>
          <w:tcPr>
            <w:tcW w:w="1155" w:type="dxa"/>
            <w:shd w:val="clear" w:color="auto" w:fill="auto"/>
            <w:tcMar>
              <w:top w:w="100" w:type="dxa"/>
              <w:left w:w="100" w:type="dxa"/>
              <w:bottom w:w="100" w:type="dxa"/>
              <w:right w:w="100" w:type="dxa"/>
            </w:tcMar>
          </w:tcPr>
          <w:p w14:paraId="1E22FD8F"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2.1 -3.0</w:t>
            </w:r>
          </w:p>
        </w:tc>
      </w:tr>
      <w:tr w:rsidR="00CA4874" w:rsidRPr="00BC5641" w14:paraId="510A7C53" w14:textId="77777777">
        <w:trPr>
          <w:trHeight w:val="237"/>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9CFFC14"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B06664E" w14:textId="0F654125"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Neonates survives between 20% and 39% </w:t>
            </w:r>
          </w:p>
        </w:tc>
        <w:tc>
          <w:tcPr>
            <w:tcW w:w="1155" w:type="dxa"/>
            <w:shd w:val="clear" w:color="auto" w:fill="auto"/>
            <w:tcMar>
              <w:top w:w="100" w:type="dxa"/>
              <w:left w:w="100" w:type="dxa"/>
              <w:bottom w:w="100" w:type="dxa"/>
              <w:right w:w="100" w:type="dxa"/>
            </w:tcMar>
          </w:tcPr>
          <w:p w14:paraId="4F8F8C69"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1.1 - 2.0</w:t>
            </w:r>
          </w:p>
        </w:tc>
      </w:tr>
      <w:tr w:rsidR="00CA4874" w:rsidRPr="00BC5641" w14:paraId="6DEBDA5A" w14:textId="77777777">
        <w:trPr>
          <w:trHeight w:val="27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1A505060"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16282CA6"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Neonates survives less than 19% </w:t>
            </w:r>
          </w:p>
        </w:tc>
        <w:tc>
          <w:tcPr>
            <w:tcW w:w="1155" w:type="dxa"/>
            <w:tcBorders>
              <w:bottom w:val="single" w:sz="8" w:space="0" w:color="000000"/>
            </w:tcBorders>
            <w:shd w:val="clear" w:color="auto" w:fill="auto"/>
            <w:tcMar>
              <w:top w:w="100" w:type="dxa"/>
              <w:left w:w="100" w:type="dxa"/>
              <w:bottom w:w="100" w:type="dxa"/>
              <w:right w:w="100" w:type="dxa"/>
            </w:tcMar>
          </w:tcPr>
          <w:p w14:paraId="1E459182"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0 - 1.0</w:t>
            </w:r>
          </w:p>
        </w:tc>
      </w:tr>
      <w:tr w:rsidR="00CA4874" w:rsidRPr="00BC5641" w14:paraId="7C78F428" w14:textId="77777777">
        <w:trPr>
          <w:trHeight w:val="31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0C249C65"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tc>
        <w:tc>
          <w:tcPr>
            <w:tcW w:w="7035" w:type="dxa"/>
            <w:tcBorders>
              <w:top w:val="single" w:sz="8" w:space="0" w:color="000000"/>
              <w:left w:val="nil"/>
              <w:bottom w:val="nil"/>
              <w:right w:val="nil"/>
            </w:tcBorders>
            <w:shd w:val="clear" w:color="auto" w:fill="auto"/>
            <w:tcMar>
              <w:top w:w="100" w:type="dxa"/>
              <w:left w:w="100" w:type="dxa"/>
              <w:bottom w:w="100" w:type="dxa"/>
              <w:right w:w="100" w:type="dxa"/>
            </w:tcMar>
          </w:tcPr>
          <w:p w14:paraId="73907F2B"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6- Phytotoxicity (</w:t>
            </w:r>
            <w:r w:rsidRPr="00BC5641">
              <w:rPr>
                <w:rFonts w:ascii="Times New Roman" w:eastAsia="Times New Roman" w:hAnsi="Times New Roman" w:cs="Times New Roman"/>
                <w:bCs/>
                <w:i/>
                <w:iCs/>
                <w:sz w:val="20"/>
                <w:szCs w:val="20"/>
              </w:rPr>
              <w:t>Lactuca sativa</w:t>
            </w:r>
            <w:r w:rsidRPr="00BC5641">
              <w:rPr>
                <w:rFonts w:ascii="Times New Roman" w:eastAsia="Times New Roman" w:hAnsi="Times New Roman" w:cs="Times New Roman"/>
                <w:bCs/>
                <w:sz w:val="20"/>
                <w:szCs w:val="20"/>
              </w:rPr>
              <w:t>)</w:t>
            </w:r>
          </w:p>
        </w:tc>
        <w:tc>
          <w:tcPr>
            <w:tcW w:w="1155" w:type="dxa"/>
            <w:tcBorders>
              <w:top w:val="single" w:sz="8" w:space="0" w:color="000000"/>
              <w:left w:val="nil"/>
              <w:bottom w:val="nil"/>
              <w:right w:val="nil"/>
            </w:tcBorders>
            <w:shd w:val="clear" w:color="auto" w:fill="auto"/>
            <w:tcMar>
              <w:top w:w="100" w:type="dxa"/>
              <w:left w:w="100" w:type="dxa"/>
              <w:bottom w:w="100" w:type="dxa"/>
              <w:right w:w="100" w:type="dxa"/>
            </w:tcMar>
          </w:tcPr>
          <w:p w14:paraId="096B8278"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 </w:t>
            </w:r>
          </w:p>
        </w:tc>
      </w:tr>
      <w:tr w:rsidR="00CA4874" w:rsidRPr="00BC5641" w14:paraId="719A2AC8" w14:textId="77777777">
        <w:trPr>
          <w:trHeight w:val="192"/>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73B9612"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53F90DF9"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Growth enhanced or inhibition until 20% from control</w:t>
            </w:r>
          </w:p>
        </w:tc>
        <w:tc>
          <w:tcPr>
            <w:tcW w:w="1155" w:type="dxa"/>
            <w:shd w:val="clear" w:color="auto" w:fill="auto"/>
            <w:tcMar>
              <w:top w:w="100" w:type="dxa"/>
              <w:left w:w="100" w:type="dxa"/>
              <w:bottom w:w="100" w:type="dxa"/>
              <w:right w:w="100" w:type="dxa"/>
            </w:tcMar>
          </w:tcPr>
          <w:p w14:paraId="1499F6B5"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4.1 - 5</w:t>
            </w:r>
          </w:p>
        </w:tc>
      </w:tr>
      <w:tr w:rsidR="00CA4874" w:rsidRPr="00BC5641" w14:paraId="7BDCE321" w14:textId="77777777">
        <w:trPr>
          <w:trHeight w:val="22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268413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349B309A"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Growth enhanced or inhibition 21% to 40% from control</w:t>
            </w:r>
          </w:p>
        </w:tc>
        <w:tc>
          <w:tcPr>
            <w:tcW w:w="1155" w:type="dxa"/>
            <w:shd w:val="clear" w:color="auto" w:fill="auto"/>
            <w:tcMar>
              <w:top w:w="100" w:type="dxa"/>
              <w:left w:w="100" w:type="dxa"/>
              <w:bottom w:w="100" w:type="dxa"/>
              <w:right w:w="100" w:type="dxa"/>
            </w:tcMar>
          </w:tcPr>
          <w:p w14:paraId="40A45851"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3.1 -4.0</w:t>
            </w:r>
          </w:p>
        </w:tc>
      </w:tr>
      <w:tr w:rsidR="00CA4874" w:rsidRPr="00BC5641" w14:paraId="0CDB4FEC" w14:textId="77777777">
        <w:trPr>
          <w:trHeight w:val="1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640262AC"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A9039B9"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Growth enhanced or inhibition 41% to 60% from control</w:t>
            </w:r>
          </w:p>
        </w:tc>
        <w:tc>
          <w:tcPr>
            <w:tcW w:w="1155" w:type="dxa"/>
            <w:shd w:val="clear" w:color="auto" w:fill="auto"/>
            <w:tcMar>
              <w:top w:w="100" w:type="dxa"/>
              <w:left w:w="100" w:type="dxa"/>
              <w:bottom w:w="100" w:type="dxa"/>
              <w:right w:w="100" w:type="dxa"/>
            </w:tcMar>
          </w:tcPr>
          <w:p w14:paraId="1A0354DD"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2.1 -3.0</w:t>
            </w:r>
          </w:p>
        </w:tc>
      </w:tr>
      <w:tr w:rsidR="00CA4874" w:rsidRPr="00BC5641" w14:paraId="3BC5291E" w14:textId="77777777">
        <w:trPr>
          <w:trHeight w:val="34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5495B599"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0E649683"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Growth enhanced upper to 60% from control and inhibition 41% to 60% from control </w:t>
            </w:r>
          </w:p>
        </w:tc>
        <w:tc>
          <w:tcPr>
            <w:tcW w:w="1155" w:type="dxa"/>
            <w:shd w:val="clear" w:color="auto" w:fill="auto"/>
            <w:tcMar>
              <w:top w:w="100" w:type="dxa"/>
              <w:left w:w="100" w:type="dxa"/>
              <w:bottom w:w="100" w:type="dxa"/>
              <w:right w:w="100" w:type="dxa"/>
            </w:tcMar>
          </w:tcPr>
          <w:p w14:paraId="43EED098"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1.1 - 2.0</w:t>
            </w:r>
          </w:p>
        </w:tc>
      </w:tr>
      <w:tr w:rsidR="00CA4874" w:rsidRPr="00BC5641" w14:paraId="15D537D5" w14:textId="77777777">
        <w:trPr>
          <w:trHeight w:val="447"/>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15C72BD5"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8" w:space="0" w:color="000000"/>
              <w:right w:val="nil"/>
            </w:tcBorders>
            <w:shd w:val="clear" w:color="auto" w:fill="auto"/>
            <w:tcMar>
              <w:top w:w="100" w:type="dxa"/>
              <w:left w:w="100" w:type="dxa"/>
              <w:bottom w:w="100" w:type="dxa"/>
              <w:right w:w="100" w:type="dxa"/>
            </w:tcMar>
          </w:tcPr>
          <w:p w14:paraId="14E94C3E"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 xml:space="preserve">Growth inhibition upper 80% from control </w:t>
            </w:r>
          </w:p>
        </w:tc>
        <w:tc>
          <w:tcPr>
            <w:tcW w:w="1155" w:type="dxa"/>
            <w:tcBorders>
              <w:bottom w:val="single" w:sz="8" w:space="0" w:color="000000"/>
            </w:tcBorders>
            <w:shd w:val="clear" w:color="auto" w:fill="auto"/>
            <w:tcMar>
              <w:top w:w="100" w:type="dxa"/>
              <w:left w:w="100" w:type="dxa"/>
              <w:bottom w:w="100" w:type="dxa"/>
              <w:right w:w="100" w:type="dxa"/>
            </w:tcMar>
          </w:tcPr>
          <w:p w14:paraId="551EB366"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0 - 1.0</w:t>
            </w:r>
          </w:p>
        </w:tc>
      </w:tr>
      <w:tr w:rsidR="00CA4874" w:rsidRPr="00BC5641" w14:paraId="06DB9C0C" w14:textId="77777777">
        <w:trPr>
          <w:trHeight w:val="300"/>
        </w:trPr>
        <w:tc>
          <w:tcPr>
            <w:tcW w:w="2070" w:type="dxa"/>
            <w:vMerge w:val="restart"/>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FCBAFCF"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34247257"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75433AC9"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2F33204A"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576A86AE" w14:textId="77777777" w:rsidR="00CA4874" w:rsidRPr="00BC5641" w:rsidRDefault="00CA4874">
            <w:pPr>
              <w:keepNext/>
              <w:keepLines/>
              <w:spacing w:after="0" w:line="240" w:lineRule="auto"/>
              <w:rPr>
                <w:rFonts w:ascii="Times New Roman" w:eastAsia="Times New Roman" w:hAnsi="Times New Roman" w:cs="Times New Roman"/>
                <w:bCs/>
                <w:sz w:val="20"/>
                <w:szCs w:val="20"/>
              </w:rPr>
            </w:pPr>
          </w:p>
          <w:p w14:paraId="2CBDAC36"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Macroinvertebrates</w:t>
            </w:r>
          </w:p>
        </w:tc>
        <w:tc>
          <w:tcPr>
            <w:tcW w:w="8190" w:type="dxa"/>
            <w:gridSpan w:val="2"/>
            <w:tcBorders>
              <w:top w:val="single" w:sz="8" w:space="0" w:color="000000"/>
            </w:tcBorders>
            <w:shd w:val="clear" w:color="auto" w:fill="auto"/>
            <w:tcMar>
              <w:top w:w="100" w:type="dxa"/>
              <w:left w:w="100" w:type="dxa"/>
              <w:bottom w:w="100" w:type="dxa"/>
              <w:right w:w="100" w:type="dxa"/>
            </w:tcMar>
          </w:tcPr>
          <w:p w14:paraId="038455C8"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7 - AAMBI</w:t>
            </w:r>
          </w:p>
        </w:tc>
      </w:tr>
      <w:tr w:rsidR="00CA4874" w:rsidRPr="00BC5641" w14:paraId="1BA29FF7" w14:textId="77777777">
        <w:trPr>
          <w:trHeight w:val="22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31FE294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7E82C6CF" w14:textId="3A80D540"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Excellent (value &lt;121)</w:t>
            </w:r>
          </w:p>
        </w:tc>
        <w:tc>
          <w:tcPr>
            <w:tcW w:w="1155" w:type="dxa"/>
            <w:shd w:val="clear" w:color="auto" w:fill="auto"/>
            <w:tcMar>
              <w:top w:w="100" w:type="dxa"/>
              <w:left w:w="100" w:type="dxa"/>
              <w:bottom w:w="100" w:type="dxa"/>
              <w:right w:w="100" w:type="dxa"/>
            </w:tcMar>
          </w:tcPr>
          <w:p w14:paraId="7A11E59D"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5</w:t>
            </w:r>
          </w:p>
        </w:tc>
      </w:tr>
      <w:tr w:rsidR="00CA4874" w:rsidRPr="00BC5641" w14:paraId="26290026" w14:textId="77777777">
        <w:trPr>
          <w:trHeight w:val="165"/>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48DF77CF"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40041911"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Very Good (range value 90 - 120)</w:t>
            </w:r>
          </w:p>
        </w:tc>
        <w:tc>
          <w:tcPr>
            <w:tcW w:w="1155" w:type="dxa"/>
            <w:shd w:val="clear" w:color="auto" w:fill="auto"/>
            <w:tcMar>
              <w:top w:w="100" w:type="dxa"/>
              <w:left w:w="100" w:type="dxa"/>
              <w:bottom w:w="100" w:type="dxa"/>
              <w:right w:w="100" w:type="dxa"/>
            </w:tcMar>
          </w:tcPr>
          <w:p w14:paraId="784264FC"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3.6 - 4.9</w:t>
            </w:r>
          </w:p>
        </w:tc>
      </w:tr>
      <w:tr w:rsidR="00CA4874" w:rsidRPr="00BC5641" w14:paraId="0085F138" w14:textId="77777777">
        <w:trPr>
          <w:trHeight w:val="15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0DF77B2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6A3CA710"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God (range value 50 - 89)</w:t>
            </w:r>
          </w:p>
        </w:tc>
        <w:tc>
          <w:tcPr>
            <w:tcW w:w="1155" w:type="dxa"/>
            <w:shd w:val="clear" w:color="auto" w:fill="auto"/>
            <w:tcMar>
              <w:top w:w="100" w:type="dxa"/>
              <w:left w:w="100" w:type="dxa"/>
              <w:bottom w:w="100" w:type="dxa"/>
              <w:right w:w="100" w:type="dxa"/>
            </w:tcMar>
          </w:tcPr>
          <w:p w14:paraId="33E2027B"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2.0 - 3.5</w:t>
            </w:r>
          </w:p>
        </w:tc>
      </w:tr>
      <w:tr w:rsidR="00CA4874" w:rsidRPr="00BC5641" w14:paraId="23172E02" w14:textId="77777777">
        <w:trPr>
          <w:trHeight w:val="390"/>
        </w:trPr>
        <w:tc>
          <w:tcPr>
            <w:tcW w:w="2070" w:type="dxa"/>
            <w:vMerge/>
            <w:tcBorders>
              <w:bottom w:val="single" w:sz="8" w:space="0" w:color="000000"/>
              <w:right w:val="nil"/>
            </w:tcBorders>
            <w:shd w:val="clear" w:color="auto" w:fill="auto"/>
            <w:tcMar>
              <w:top w:w="100" w:type="dxa"/>
              <w:left w:w="100" w:type="dxa"/>
              <w:bottom w:w="100" w:type="dxa"/>
              <w:right w:w="100" w:type="dxa"/>
            </w:tcMar>
          </w:tcPr>
          <w:p w14:paraId="2D839E3A"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nil"/>
              <w:right w:val="nil"/>
            </w:tcBorders>
            <w:shd w:val="clear" w:color="auto" w:fill="auto"/>
            <w:tcMar>
              <w:top w:w="100" w:type="dxa"/>
              <w:left w:w="100" w:type="dxa"/>
              <w:bottom w:w="100" w:type="dxa"/>
              <w:right w:w="100" w:type="dxa"/>
            </w:tcMar>
          </w:tcPr>
          <w:p w14:paraId="2D59E958"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Regular (range value 36 - 49)</w:t>
            </w:r>
          </w:p>
        </w:tc>
        <w:tc>
          <w:tcPr>
            <w:tcW w:w="1155" w:type="dxa"/>
            <w:shd w:val="clear" w:color="auto" w:fill="auto"/>
            <w:tcMar>
              <w:top w:w="100" w:type="dxa"/>
              <w:left w:w="100" w:type="dxa"/>
              <w:bottom w:w="100" w:type="dxa"/>
              <w:right w:w="100" w:type="dxa"/>
            </w:tcMar>
          </w:tcPr>
          <w:p w14:paraId="6D59A4E1"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1.4 - 1.9</w:t>
            </w:r>
          </w:p>
        </w:tc>
      </w:tr>
      <w:tr w:rsidR="00CA4874" w:rsidRPr="00BC5641" w14:paraId="1E2D55A4" w14:textId="77777777">
        <w:trPr>
          <w:trHeight w:val="515"/>
        </w:trPr>
        <w:tc>
          <w:tcPr>
            <w:tcW w:w="2070" w:type="dxa"/>
            <w:vMerge/>
            <w:tcBorders>
              <w:bottom w:val="single" w:sz="18" w:space="0" w:color="000000"/>
              <w:right w:val="nil"/>
            </w:tcBorders>
            <w:shd w:val="clear" w:color="auto" w:fill="auto"/>
            <w:tcMar>
              <w:top w:w="100" w:type="dxa"/>
              <w:left w:w="100" w:type="dxa"/>
              <w:bottom w:w="100" w:type="dxa"/>
              <w:right w:w="100" w:type="dxa"/>
            </w:tcMar>
          </w:tcPr>
          <w:p w14:paraId="4B4CD1ED" w14:textId="77777777" w:rsidR="00CA4874" w:rsidRPr="00BC5641" w:rsidRDefault="00CA4874">
            <w:pPr>
              <w:widowControl w:val="0"/>
              <w:pBdr>
                <w:top w:val="nil"/>
                <w:left w:val="nil"/>
                <w:bottom w:val="nil"/>
                <w:right w:val="nil"/>
                <w:between w:val="nil"/>
              </w:pBdr>
              <w:spacing w:after="0" w:line="276" w:lineRule="auto"/>
              <w:rPr>
                <w:rFonts w:ascii="Times New Roman" w:eastAsia="Times New Roman" w:hAnsi="Times New Roman" w:cs="Times New Roman"/>
                <w:bCs/>
                <w:sz w:val="20"/>
                <w:szCs w:val="20"/>
              </w:rPr>
            </w:pPr>
          </w:p>
        </w:tc>
        <w:tc>
          <w:tcPr>
            <w:tcW w:w="7035" w:type="dxa"/>
            <w:tcBorders>
              <w:top w:val="nil"/>
              <w:left w:val="nil"/>
              <w:bottom w:val="single" w:sz="18" w:space="0" w:color="000000"/>
              <w:right w:val="nil"/>
            </w:tcBorders>
            <w:shd w:val="clear" w:color="auto" w:fill="auto"/>
            <w:tcMar>
              <w:top w:w="100" w:type="dxa"/>
              <w:left w:w="100" w:type="dxa"/>
              <w:bottom w:w="100" w:type="dxa"/>
              <w:right w:w="100" w:type="dxa"/>
            </w:tcMar>
          </w:tcPr>
          <w:p w14:paraId="5D1E4AB6" w14:textId="77777777" w:rsidR="00CA4874" w:rsidRPr="00BC5641" w:rsidRDefault="00670321">
            <w:pPr>
              <w:keepNext/>
              <w:keepLines/>
              <w:spacing w:after="0" w:line="240" w:lineRule="auto"/>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Bad (&lt;35)</w:t>
            </w:r>
          </w:p>
        </w:tc>
        <w:tc>
          <w:tcPr>
            <w:tcW w:w="1155" w:type="dxa"/>
            <w:tcBorders>
              <w:bottom w:val="single" w:sz="18" w:space="0" w:color="000000"/>
            </w:tcBorders>
            <w:shd w:val="clear" w:color="auto" w:fill="auto"/>
            <w:tcMar>
              <w:top w:w="100" w:type="dxa"/>
              <w:left w:w="100" w:type="dxa"/>
              <w:bottom w:w="100" w:type="dxa"/>
              <w:right w:w="100" w:type="dxa"/>
            </w:tcMar>
          </w:tcPr>
          <w:p w14:paraId="6E250B3F" w14:textId="77777777" w:rsidR="00CA4874" w:rsidRPr="00BC5641" w:rsidRDefault="00670321">
            <w:pPr>
              <w:keepNext/>
              <w:keepLines/>
              <w:spacing w:after="0" w:line="240" w:lineRule="auto"/>
              <w:jc w:val="center"/>
              <w:rPr>
                <w:rFonts w:ascii="Times New Roman" w:eastAsia="Times New Roman" w:hAnsi="Times New Roman" w:cs="Times New Roman"/>
                <w:bCs/>
                <w:sz w:val="20"/>
                <w:szCs w:val="20"/>
              </w:rPr>
            </w:pPr>
            <w:r w:rsidRPr="00BC5641">
              <w:rPr>
                <w:rFonts w:ascii="Times New Roman" w:eastAsia="Times New Roman" w:hAnsi="Times New Roman" w:cs="Times New Roman"/>
                <w:bCs/>
                <w:sz w:val="20"/>
                <w:szCs w:val="20"/>
              </w:rPr>
              <w:t>0 - 1.3</w:t>
            </w:r>
          </w:p>
        </w:tc>
      </w:tr>
    </w:tbl>
    <w:p w14:paraId="4E3890B4" w14:textId="77777777" w:rsidR="00572F97" w:rsidRPr="00BC5641" w:rsidRDefault="00572F97" w:rsidP="00572F97">
      <w:pPr>
        <w:rPr>
          <w:rFonts w:ascii="Times New Roman" w:eastAsia="Times New Roman" w:hAnsi="Times New Roman" w:cs="Times New Roman"/>
          <w:b/>
          <w:sz w:val="20"/>
          <w:szCs w:val="20"/>
        </w:rPr>
      </w:pPr>
    </w:p>
    <w:p w14:paraId="4C3B41D4" w14:textId="77777777" w:rsidR="00CA4874" w:rsidRDefault="00CA4874">
      <w:pPr>
        <w:rPr>
          <w:rFonts w:ascii="Times New Roman" w:eastAsia="Times New Roman" w:hAnsi="Times New Roman" w:cs="Times New Roman"/>
        </w:rPr>
      </w:pPr>
    </w:p>
    <w:sectPr w:rsidR="00CA487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B836" w14:textId="77777777" w:rsidR="00C25DC8" w:rsidRDefault="00C25DC8" w:rsidP="00BC5641">
      <w:pPr>
        <w:spacing w:after="0" w:line="240" w:lineRule="auto"/>
      </w:pPr>
      <w:r>
        <w:separator/>
      </w:r>
    </w:p>
  </w:endnote>
  <w:endnote w:type="continuationSeparator" w:id="0">
    <w:p w14:paraId="7C52DE8B" w14:textId="77777777" w:rsidR="00C25DC8" w:rsidRDefault="00C25DC8" w:rsidP="00BC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2B36" w14:textId="77777777" w:rsidR="00C25DC8" w:rsidRDefault="00C25DC8" w:rsidP="00BC5641">
      <w:pPr>
        <w:spacing w:after="0" w:line="240" w:lineRule="auto"/>
      </w:pPr>
      <w:r>
        <w:separator/>
      </w:r>
    </w:p>
  </w:footnote>
  <w:footnote w:type="continuationSeparator" w:id="0">
    <w:p w14:paraId="3844A5ED" w14:textId="77777777" w:rsidR="00C25DC8" w:rsidRDefault="00C25DC8" w:rsidP="00BC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74"/>
    <w:rsid w:val="00572F97"/>
    <w:rsid w:val="00670321"/>
    <w:rsid w:val="00BC5641"/>
    <w:rsid w:val="00C25DC8"/>
    <w:rsid w:val="00CA4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A041"/>
  <w15:docId w15:val="{C42ECA45-1B4A-411F-A5CD-878B4E16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C5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641"/>
  </w:style>
  <w:style w:type="paragraph" w:styleId="Footer">
    <w:name w:val="footer"/>
    <w:basedOn w:val="Normal"/>
    <w:link w:val="FooterChar"/>
    <w:uiPriority w:val="99"/>
    <w:unhideWhenUsed/>
    <w:rsid w:val="00BC5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4RqKLT4H8yLVWCh/x6xaNRy/oQ==">AMUW2mUJyIWzfJ2U1izRNL7mvbDwSgax1xoD4s+0PbTF38+mlvSxMDARJiKbRBp4hxS77Tu84dhZ2fr1CXq315ww9P4aVu+AK9dVMwkVRYKfpA3UbMdfhVs=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Roxana galaza naranjo</dc:creator>
  <cp:lastModifiedBy>Gabriel Massaine Moulatlet</cp:lastModifiedBy>
  <cp:revision>3</cp:revision>
  <dcterms:created xsi:type="dcterms:W3CDTF">2021-05-09T01:47:00Z</dcterms:created>
  <dcterms:modified xsi:type="dcterms:W3CDTF">2021-05-09T03:08:00Z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id="9HAHDdQA"/&gt;&lt;style id="http://www.zotero.org/styles/science-of-the-total-environment"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