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88" w:rsidRPr="004F4588" w:rsidRDefault="004F4588" w:rsidP="004F4588">
      <w:pPr>
        <w:adjustRightInd w:val="0"/>
        <w:snapToGrid w:val="0"/>
        <w:spacing w:after="240" w:line="228" w:lineRule="auto"/>
        <w:ind w:left="2552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Table S1.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Cox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analysis for DDFS including all patients (n = 909). CI, confidence interval; IGKC, immunoglobulin kappa C; HER2, human epidermal growth factor receptor 2; TNBC, triple-negative breast cancer </w:t>
      </w:r>
    </w:p>
    <w:tbl>
      <w:tblPr>
        <w:tblW w:w="7859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783"/>
        <w:gridCol w:w="1783"/>
        <w:gridCol w:w="1784"/>
      </w:tblGrid>
      <w:tr w:rsidR="004F4588" w:rsidRPr="004F4588" w:rsidTr="00C6536B">
        <w:tc>
          <w:tcPr>
            <w:tcW w:w="25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, continuous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0.982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0.920 – 1.048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0.589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median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median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0.948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0.685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–</w:t>
            </w: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1.312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0.748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75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th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quantile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≥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75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th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quantile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0.862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0.585 – 1.270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0.453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0.829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0.599 – 1.147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0.258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ER status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Negative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Positive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0.522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0.375 – 0.728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PR status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Negative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Positive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0.482 – 0.922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0.014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HER2 status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Negative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Positive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1.744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1.233 – 2.469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0.002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Molecular subtype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Luminal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TNBC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2.354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1.545 – 3.587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HER2+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2.143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1.476 – 3.112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Ki67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20%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20%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1.984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1.383 – 2.847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1.748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1.230 – 2.484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0.002</w:t>
            </w:r>
          </w:p>
        </w:tc>
      </w:tr>
      <w:tr w:rsidR="004F4588" w:rsidRPr="004F4588" w:rsidTr="00C6536B">
        <w:trPr>
          <w:trHeight w:val="180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2.149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1.053 – 4.382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0.035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c>
          <w:tcPr>
            <w:tcW w:w="25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4.331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1.911 - 9.814</w:t>
            </w:r>
          </w:p>
        </w:tc>
        <w:tc>
          <w:tcPr>
            <w:tcW w:w="1784" w:type="dxa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ind w:left="2041" w:firstLine="510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US" w:eastAsia="de-DE" w:bidi="en-US"/>
        </w:rPr>
        <w:t>1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n = 908,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US" w:eastAsia="de-DE" w:bidi="en-US"/>
        </w:rPr>
        <w:t>2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n = 809,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US" w:eastAsia="de-DE" w:bidi="en-US"/>
        </w:rPr>
        <w:t>3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n = 869</w:t>
      </w:r>
    </w:p>
    <w:p w:rsidR="004F4588" w:rsidRPr="004F4588" w:rsidRDefault="004F4588" w:rsidP="004F4588">
      <w:pPr>
        <w:adjustRightInd w:val="0"/>
        <w:snapToGrid w:val="0"/>
        <w:spacing w:after="120" w:line="228" w:lineRule="auto"/>
        <w:ind w:left="2552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br w:type="page"/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lastRenderedPageBreak/>
        <w:t>Table S2.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Cox multivariable analysis for DDFS (all patients). </w:t>
      </w:r>
      <w:proofErr w:type="gramStart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>868</w:t>
      </w:r>
      <w:proofErr w:type="gramEnd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 patients had complete data for all variables and were included in the multivariable analysis.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was dichotomized using the median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(a)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the top quartile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(b)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as cutoff. The results for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as a continuous variable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are shown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in Table 2. CI, confidence interval; IGKC, immunoglobulin kappa C; HER2, human epidermal growth factor receptor 2; TNBC, triple-negative breast cancer</w:t>
      </w:r>
    </w:p>
    <w:p w:rsidR="004F4588" w:rsidRPr="004F4588" w:rsidRDefault="004F4588" w:rsidP="004F4588">
      <w:pPr>
        <w:adjustRightInd w:val="0"/>
        <w:snapToGrid w:val="0"/>
        <w:spacing w:after="120" w:line="228" w:lineRule="auto"/>
        <w:ind w:left="2552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(a)</w:t>
      </w:r>
    </w:p>
    <w:tbl>
      <w:tblPr>
        <w:tblW w:w="7859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783"/>
        <w:gridCol w:w="1783"/>
        <w:gridCol w:w="1784"/>
      </w:tblGrid>
      <w:tr w:rsidR="004F4588" w:rsidRPr="004F4588" w:rsidTr="00C6536B">
        <w:tc>
          <w:tcPr>
            <w:tcW w:w="25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median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median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0.815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0.580 – 1.145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0.238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0.899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0.643 – 1.257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0.533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Molecular subtype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Luminal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TNBC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2.467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1.557 – 3.909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HER2+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2.007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1.355 – 2.972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1.622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1.123 – 2.343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0.010</w:t>
            </w:r>
          </w:p>
        </w:tc>
      </w:tr>
      <w:tr w:rsidR="004F4588" w:rsidRPr="004F4588" w:rsidTr="00C6536B">
        <w:trPr>
          <w:trHeight w:val="180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4.175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1.908 – 9.135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c>
          <w:tcPr>
            <w:tcW w:w="25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2.834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1.219 – 6.592</w:t>
            </w:r>
          </w:p>
        </w:tc>
        <w:tc>
          <w:tcPr>
            <w:tcW w:w="1784" w:type="dxa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0.016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after="0" w:line="228" w:lineRule="auto"/>
        <w:ind w:left="2552"/>
        <w:jc w:val="center"/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120" w:line="228" w:lineRule="auto"/>
        <w:ind w:left="2552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(b)</w:t>
      </w:r>
    </w:p>
    <w:tbl>
      <w:tblPr>
        <w:tblW w:w="7859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783"/>
        <w:gridCol w:w="1783"/>
        <w:gridCol w:w="1784"/>
      </w:tblGrid>
      <w:tr w:rsidR="004F4588" w:rsidRPr="004F4588" w:rsidTr="00C6536B">
        <w:tc>
          <w:tcPr>
            <w:tcW w:w="25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75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th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quantile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≥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75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th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quantile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0.619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0.410 – 0.934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0.022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0.904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0.646 – 1.263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0.553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Molecular subtype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Luminal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TNBC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2.689</w:t>
            </w:r>
          </w:p>
        </w:tc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1.690 – 4.279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HER2+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2.087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1.410 – 3.090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1.604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1.111 – 2.316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0.012</w:t>
            </w:r>
          </w:p>
        </w:tc>
      </w:tr>
      <w:tr w:rsidR="004F4588" w:rsidRPr="004F4588" w:rsidTr="00C6536B">
        <w:trPr>
          <w:trHeight w:val="180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1.974 – 9.464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&lt;0.001</w:t>
            </w: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2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c>
          <w:tcPr>
            <w:tcW w:w="25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2.979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1.282 – 6.924</w:t>
            </w:r>
          </w:p>
        </w:tc>
        <w:tc>
          <w:tcPr>
            <w:tcW w:w="1784" w:type="dxa"/>
          </w:tcPr>
          <w:p w:rsidR="004F4588" w:rsidRPr="004F4588" w:rsidRDefault="004F4588" w:rsidP="004F4588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0.011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after="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lastRenderedPageBreak/>
        <w:t>Table S3.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Cox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and multivariable analyses for DDFS in patients with TNBC</w:t>
      </w:r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.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Median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for the patients with TNBC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(a)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the top quartile </w:t>
      </w:r>
      <w:proofErr w:type="gramStart"/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(b)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was used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as a cut-off to distinguish between low and high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.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132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patients had data for IGKC and were included in the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analysis.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129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patients had complete data for all variables and were included in the multivariable analysis. CI, confidence interval; IGKC, immunoglobulin kappa C; HER2, human epidermal growth factor receptor 2</w:t>
      </w:r>
    </w:p>
    <w:p w:rsidR="004F4588" w:rsidRPr="004F4588" w:rsidRDefault="004F4588" w:rsidP="004F4588">
      <w:pPr>
        <w:adjustRightInd w:val="0"/>
        <w:snapToGrid w:val="0"/>
        <w:spacing w:after="12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(a)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0.198 – 0.882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0.022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0.146 – 0.712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0.005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0.427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0.209 – 0.874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0.020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0.324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0.150 – 0.701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0.839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0.388 – 1.813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0.654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1.469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0.630 – 3.427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0.373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2.796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1.076 – 7.262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3.932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1.321 – 11.705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I-II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0.642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0.286 – 1.442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0.283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0.735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0.319 – 1.693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0.470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>1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 n = 129;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 xml:space="preserve">2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grade was dichotomized as I-II vs III since there was only one TNBC patient with a grade I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tumor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.</w:t>
      </w:r>
    </w:p>
    <w:p w:rsidR="004F4588" w:rsidRPr="004F4588" w:rsidRDefault="004F4588" w:rsidP="004F4588">
      <w:pPr>
        <w:spacing w:after="0" w:line="240" w:lineRule="auto"/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GB" w:eastAsia="zh-CN"/>
        </w:rPr>
      </w:pPr>
    </w:p>
    <w:p w:rsidR="004F4588" w:rsidRPr="004F4588" w:rsidRDefault="004F4588" w:rsidP="004F4588">
      <w:pPr>
        <w:adjustRightInd w:val="0"/>
        <w:snapToGrid w:val="0"/>
        <w:spacing w:after="12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(b)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0.041 – 0.719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0.045 – 0.852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0.030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0.427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0.209 – 0.874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0.020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0.465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0.216 – 1.003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0.051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0.839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0.388 – 1.813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0.654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1.193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0.510 – 2.789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2.796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1.076 – 7.262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3.527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1.179 – 10.550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0.024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I-II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0.642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0.286 – 1.442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0.283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0.782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0.337 – 1.813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0.566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>1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 n = 129;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 xml:space="preserve">2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grade was dichotomized as I-II vs III since there was only one TNBC patient with a grade I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tumor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.</w:t>
      </w:r>
    </w:p>
    <w:p w:rsidR="004F4588" w:rsidRPr="004F4588" w:rsidRDefault="004F4588" w:rsidP="004F4588">
      <w:pPr>
        <w:spacing w:after="0" w:line="240" w:lineRule="auto"/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</w:pPr>
      <w:r w:rsidRPr="004F4588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br w:type="page"/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lastRenderedPageBreak/>
        <w:t>Table S4: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Cox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and multivariable analysis for DDFS in patients with luminal breast cancer.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574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patients had data for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and were included in the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analysis. </w:t>
      </w:r>
      <w:proofErr w:type="gramStart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>540</w:t>
      </w:r>
      <w:proofErr w:type="gramEnd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 patients had complete data for all variables and were included in the multivariable analysis.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was included as a continuous variable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(a)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the median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(b)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top quartile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 xml:space="preserve">(c)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of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in patient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with luminal breast cancer was used as a cut-off to distinguish between low and high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. CI, confidence interval; IGKC, immunoglobulin kappa C; HER2, human epidermal growth factor receptor 2</w:t>
      </w:r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 </w:t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(a)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0.968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0.876 – 1.070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0.524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0.960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0.868 – 1.061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0.419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0.569 – 1.490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1.135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0.685 – 1.880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0.623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2.454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1.454 – 4.142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2.228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1.285 – 3.865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3.171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0.440 – 22.847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0.252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4.208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0.574 – 30.832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0.157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3.793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1.521 – 9.459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3.241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1.284 – 8.183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0.013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GB" w:eastAsia="de-DE" w:bidi="en-US"/>
        </w:rPr>
      </w:pP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 xml:space="preserve">1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n = 573,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>2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n = 541</w:t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(b)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0.619-1.614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0.999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0.592 – 1.592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0.906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0.569 – 1.490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1.137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0.686 – 1.884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0.618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2.454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1.454 – 4.142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2.246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1.296 – 3.895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3.171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0.440 – 22.847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0.252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4.257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0.581 – 31.182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0.154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3.793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1.521 – 9.459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3.234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1.280 – 8.169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0.013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GB" w:eastAsia="de-DE" w:bidi="en-US"/>
        </w:rPr>
      </w:pP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 xml:space="preserve">1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n = 573,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>2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n = 541</w:t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right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lang w:val="en-US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br w:type="page"/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lastRenderedPageBreak/>
        <w:t>(c)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0.339 – 1.184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0.153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0.301 – 1.109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0.099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0.569 – 1.490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0.735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1.138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0.687 – 1.884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0.615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2.454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1.454 – 4.142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2.249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1.298 – 3.895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3.171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0.440 – 22.847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0.252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4.309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0.589 – 31.538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0.150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tabs>
                <w:tab w:val="left" w:pos="580"/>
                <w:tab w:val="center" w:pos="745"/>
              </w:tabs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II-III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3.793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1.521 – 9.459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3.305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1.308 – 8.349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0.011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GB" w:eastAsia="de-DE" w:bidi="en-US"/>
        </w:rPr>
      </w:pP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 xml:space="preserve">1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n = 573,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vertAlign w:val="superscript"/>
          <w:lang w:val="en-US" w:eastAsia="de-DE" w:bidi="en-US"/>
        </w:rPr>
        <w:t>2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n = 541</w:t>
      </w:r>
    </w:p>
    <w:p w:rsidR="004F4588" w:rsidRPr="004F4588" w:rsidRDefault="004F4588" w:rsidP="004F4588">
      <w:pPr>
        <w:spacing w:after="0" w:line="240" w:lineRule="auto"/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</w:pPr>
      <w:r w:rsidRPr="004F4588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br w:type="page"/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lastRenderedPageBreak/>
        <w:t>Table S5: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Cox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and multivariable analysis for DDFS in patients with HER2-positive breast cancer.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203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patients had data for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and were included in the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univariable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analysis. </w:t>
      </w:r>
      <w:proofErr w:type="gramStart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>199</w:t>
      </w:r>
      <w:proofErr w:type="gramEnd"/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 patients had complete data for all variables and were included in the multivariable analysis.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was included as a continuous variable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(a)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the median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(b)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or top quartile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szCs w:val="20"/>
          <w:lang w:val="en-US" w:eastAsia="de-DE" w:bidi="en-US"/>
        </w:rPr>
        <w:t>(c)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of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expression in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HER2-positive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patients </w:t>
      </w: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was used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 xml:space="preserve"> as a cut-off to distinguish between low and high </w:t>
      </w:r>
      <w:r w:rsidRPr="004F458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0"/>
          <w:lang w:val="en-US" w:eastAsia="de-DE" w:bidi="en-US"/>
        </w:rPr>
        <w:t>IGKC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  <w:t>. CI, confidence interval; IGKC, immunoglobulin kappa C; HER2, human epidermal growth factor receptor 2</w:t>
      </w: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szCs w:val="20"/>
          <w:lang w:val="en-US" w:eastAsia="de-DE" w:bidi="en-US"/>
        </w:rPr>
        <w:t xml:space="preserve">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</w:t>
      </w: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(a)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0.944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0.837 – 1.064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0.343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0.933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0.826 – 1.055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0.271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1.159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0.650 – 2.067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1.219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0.675 – 2.201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0.512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1.053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0.576 – 1.926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1.272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0.688 – 2.351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0.442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4.322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1.048 – 17.820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0.043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4.863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1.155 – 20.479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0.031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I-II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0.817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0.452 – 1.477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0.910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0.501 – 1.653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0.757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>1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 n = 199;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 xml:space="preserve">2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grade was dichotomized as I-II vs III since there was only five HER2-positive patients with a grade I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tumor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.</w:t>
      </w:r>
    </w:p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snapToGrid w:val="0"/>
          <w:color w:val="000000"/>
          <w:sz w:val="20"/>
          <w:szCs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t>(b)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median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0.386-1.226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0.406 – 1.315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0.295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1.159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0.650 – 2.067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1.230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0.680 – 2.225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0.494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1.053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0.576 – 1.926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1.269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0.687 – 2.344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0.447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4.322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1.048 – 17.820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0.043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4.584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1.091 – 19.258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0.038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I-II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0.817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0.452 – 1.477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0.930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0.510 – 1.696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0.813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>1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 n = 199;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 xml:space="preserve">2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grade was dichotomized as I-II vs III since there was only five HER2-positive patients with a grade I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tumor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.</w:t>
      </w:r>
    </w:p>
    <w:p w:rsidR="004F4588" w:rsidRPr="004F4588" w:rsidRDefault="004F4588" w:rsidP="004F4588">
      <w:pPr>
        <w:adjustRightInd w:val="0"/>
        <w:snapToGrid w:val="0"/>
        <w:spacing w:after="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lang w:val="en-GB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lang w:val="en-GB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lang w:val="en-GB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0" w:line="228" w:lineRule="auto"/>
        <w:jc w:val="both"/>
        <w:rPr>
          <w:rFonts w:ascii="Palatino Linotype" w:eastAsia="Times New Roman" w:hAnsi="Palatino Linotype" w:cs="Times New Roman"/>
          <w:bCs/>
          <w:snapToGrid w:val="0"/>
          <w:color w:val="000000"/>
          <w:sz w:val="20"/>
          <w:lang w:val="en-GB" w:eastAsia="de-DE" w:bidi="en-US"/>
        </w:rPr>
      </w:pPr>
    </w:p>
    <w:p w:rsidR="004F4588" w:rsidRPr="004F4588" w:rsidRDefault="004F4588" w:rsidP="004F4588">
      <w:pPr>
        <w:adjustRightInd w:val="0"/>
        <w:snapToGrid w:val="0"/>
        <w:spacing w:after="240" w:line="228" w:lineRule="auto"/>
        <w:jc w:val="center"/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</w:pPr>
      <w:r w:rsidRPr="004F4588">
        <w:rPr>
          <w:rFonts w:ascii="Palatino Linotype" w:eastAsia="Times New Roman" w:hAnsi="Palatino Linotype" w:cs="Times New Roman"/>
          <w:b/>
          <w:snapToGrid w:val="0"/>
          <w:color w:val="000000"/>
          <w:sz w:val="20"/>
          <w:lang w:val="en-US" w:eastAsia="de-DE" w:bidi="en-US"/>
        </w:rPr>
        <w:lastRenderedPageBreak/>
        <w:t>(c)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97"/>
        <w:gridCol w:w="1295"/>
        <w:gridCol w:w="1296"/>
        <w:gridCol w:w="1296"/>
        <w:gridCol w:w="1295"/>
        <w:gridCol w:w="1296"/>
      </w:tblGrid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Univariable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analysis</w:t>
            </w:r>
          </w:p>
        </w:tc>
        <w:tc>
          <w:tcPr>
            <w:tcW w:w="4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Multivariable analysis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Variable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Hazard ratio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P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  <w:t>IGKC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&lt;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i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≥ 75th quantile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0.527 – 1.709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0.500 – 1.656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0.757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sz w:val="20"/>
                <w:szCs w:val="20"/>
                <w:lang w:val="en-US" w:eastAsia="de-DE" w:bidi="en-US"/>
              </w:rPr>
              <w:t>≤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&gt; 50 years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1.159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0.650 – 2.067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1.208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0.669 – 2.183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0.531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pT2-4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1.053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0.576 – 1.926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0.867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1.264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0.684 – 2.336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0.455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proofErr w:type="spellStart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</w:t>
            </w:r>
            <w:proofErr w:type="spellEnd"/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stage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pN1-3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4.322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1.048 – 17.820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0.043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4.718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1.118 – 19.907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0.035</w:t>
            </w: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Grade I-II </w:t>
            </w: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1.000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</w:tr>
      <w:tr w:rsidR="004F4588" w:rsidRPr="004F4588" w:rsidTr="00C6536B">
        <w:trPr>
          <w:trHeight w:val="270"/>
          <w:jc w:val="center"/>
        </w:trPr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Grade III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0.817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0.452 – 1.477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Arial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0.504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0.909</w:t>
            </w:r>
          </w:p>
        </w:tc>
        <w:tc>
          <w:tcPr>
            <w:tcW w:w="1495" w:type="dxa"/>
            <w:tcBorders>
              <w:top w:val="nil"/>
              <w:bottom w:val="single" w:sz="8" w:space="0" w:color="auto"/>
            </w:tcBorders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0.499 – 1.655</w:t>
            </w:r>
          </w:p>
        </w:tc>
        <w:tc>
          <w:tcPr>
            <w:tcW w:w="149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F4588" w:rsidRPr="004F4588" w:rsidRDefault="004F4588" w:rsidP="004F4588">
            <w:pPr>
              <w:adjustRightInd w:val="0"/>
              <w:snapToGrid w:val="0"/>
              <w:spacing w:after="0"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4F4588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0.754</w:t>
            </w:r>
          </w:p>
        </w:tc>
      </w:tr>
    </w:tbl>
    <w:p w:rsidR="004F4588" w:rsidRPr="004F4588" w:rsidRDefault="004F4588" w:rsidP="004F4588">
      <w:pPr>
        <w:adjustRightInd w:val="0"/>
        <w:snapToGrid w:val="0"/>
        <w:spacing w:before="120" w:after="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</w:pPr>
      <w:proofErr w:type="gram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>1</w:t>
      </w:r>
      <w:proofErr w:type="gram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 n = 199;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vertAlign w:val="superscript"/>
          <w:lang w:val="en-GB" w:eastAsia="de-DE" w:bidi="en-US"/>
        </w:rPr>
        <w:t xml:space="preserve">2 </w:t>
      </w:r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 xml:space="preserve">grade was dichotomized as I-II vs III since there was only five HER2-positive patients with a grade I </w:t>
      </w:r>
      <w:proofErr w:type="spellStart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tumor</w:t>
      </w:r>
      <w:proofErr w:type="spellEnd"/>
      <w:r w:rsidRPr="004F4588">
        <w:rPr>
          <w:rFonts w:ascii="Palatino Linotype" w:eastAsia="Times New Roman" w:hAnsi="Palatino Linotype" w:cs="Times New Roman"/>
          <w:snapToGrid w:val="0"/>
          <w:color w:val="000000"/>
          <w:sz w:val="20"/>
          <w:lang w:val="en-GB" w:eastAsia="de-DE" w:bidi="en-US"/>
        </w:rPr>
        <w:t>.</w:t>
      </w:r>
    </w:p>
    <w:p w:rsidR="004F4588" w:rsidRPr="004F4588" w:rsidRDefault="004F4588" w:rsidP="004F4588">
      <w:pPr>
        <w:spacing w:after="0" w:line="240" w:lineRule="auto"/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</w:pPr>
      <w:r w:rsidRPr="004F4588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br w:type="page"/>
      </w:r>
    </w:p>
    <w:p w:rsidR="00592B8C" w:rsidRDefault="00592B8C">
      <w:bookmarkStart w:id="0" w:name="_GoBack"/>
      <w:bookmarkEnd w:id="0"/>
    </w:p>
    <w:sectPr w:rsidR="00592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2977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88"/>
    <w:rsid w:val="002308C2"/>
    <w:rsid w:val="004F4588"/>
    <w:rsid w:val="00567029"/>
    <w:rsid w:val="00592B8C"/>
    <w:rsid w:val="009336DE"/>
    <w:rsid w:val="00D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30469-48A7-4C46-B3AA-9711A93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4588"/>
    <w:pPr>
      <w:keepNext/>
      <w:keepLines/>
      <w:spacing w:before="240" w:after="0" w:line="260" w:lineRule="atLeast"/>
      <w:jc w:val="both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val="en-US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4"/>
    </w:pPr>
    <w:rPr>
      <w:rFonts w:asciiTheme="majorHAnsi" w:eastAsiaTheme="majorEastAsia" w:hAnsiTheme="majorHAnsi" w:cstheme="majorBidi"/>
      <w:noProof/>
      <w:color w:val="2E74B5" w:themeColor="accent1" w:themeShade="BF"/>
      <w:sz w:val="20"/>
      <w:szCs w:val="20"/>
      <w:lang w:val="en-US" w:eastAsia="zh-C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sz w:val="20"/>
      <w:szCs w:val="20"/>
      <w:lang w:val="en-US" w:eastAsia="zh-CN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sz w:val="20"/>
      <w:szCs w:val="20"/>
      <w:lang w:val="en-US" w:eastAsia="zh-CN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 w:eastAsia="zh-C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4588"/>
    <w:pPr>
      <w:keepNext/>
      <w:keepLines/>
      <w:spacing w:before="40" w:after="0" w:line="260" w:lineRule="atLeast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4588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58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val="en-US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20"/>
      <w:szCs w:val="20"/>
      <w:lang w:val="en-US"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588"/>
    <w:rPr>
      <w:rFonts w:asciiTheme="majorHAnsi" w:eastAsiaTheme="majorEastAsia" w:hAnsiTheme="majorHAnsi" w:cstheme="majorBidi"/>
      <w:noProof/>
      <w:color w:val="1F4D78" w:themeColor="accent1" w:themeShade="7F"/>
      <w:sz w:val="20"/>
      <w:szCs w:val="20"/>
      <w:lang w:val="en-US"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588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0"/>
      <w:szCs w:val="20"/>
      <w:lang w:val="en-US"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58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588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4F4588"/>
  </w:style>
  <w:style w:type="paragraph" w:customStyle="1" w:styleId="MDPI11articletype">
    <w:name w:val="MDPI_1.1_article_type"/>
    <w:next w:val="Standard"/>
    <w:qFormat/>
    <w:rsid w:val="004F4588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Standard"/>
    <w:qFormat/>
    <w:rsid w:val="004F458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Standard"/>
    <w:qFormat/>
    <w:rsid w:val="004F458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Standard"/>
    <w:next w:val="Standard"/>
    <w:qFormat/>
    <w:rsid w:val="004F4588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4F458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Standard"/>
    <w:qFormat/>
    <w:rsid w:val="004F458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Standard"/>
    <w:qFormat/>
    <w:rsid w:val="004F458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4F458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NormaleTabelle"/>
    <w:uiPriority w:val="99"/>
    <w:rsid w:val="004F4588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59"/>
    <w:rsid w:val="004F4588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F4588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4F4588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Kopfzeile">
    <w:name w:val="header"/>
    <w:basedOn w:val="Standard"/>
    <w:link w:val="KopfzeileZchn"/>
    <w:uiPriority w:val="99"/>
    <w:rsid w:val="004F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4F4588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4F4588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4F4588"/>
    <w:pPr>
      <w:ind w:firstLine="0"/>
    </w:pPr>
  </w:style>
  <w:style w:type="paragraph" w:customStyle="1" w:styleId="MDPI31text">
    <w:name w:val="MDPI_3.1_text"/>
    <w:qFormat/>
    <w:rsid w:val="004F458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4F458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4F4588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4F458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4F4588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4F4588"/>
    <w:pPr>
      <w:numPr>
        <w:numId w:val="5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4F4588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4F458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4F4588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4F4588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4F458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4F4588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4F4588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4F4588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81theorem">
    <w:name w:val="MDPI_8.1_theorem"/>
    <w:qFormat/>
    <w:rsid w:val="004F458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4F458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firstpage">
    <w:name w:val="MDPI_footer_firstpage"/>
    <w:qFormat/>
    <w:rsid w:val="004F4588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4F458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4F458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4F458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4F4588"/>
    <w:pPr>
      <w:numPr>
        <w:numId w:val="1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Sprechblasentext">
    <w:name w:val="Balloon Text"/>
    <w:basedOn w:val="Standard"/>
    <w:link w:val="SprechblasentextZchn"/>
    <w:uiPriority w:val="99"/>
    <w:rsid w:val="004F4588"/>
    <w:pPr>
      <w:spacing w:after="0" w:line="260" w:lineRule="atLeast"/>
      <w:jc w:val="both"/>
    </w:pPr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F4588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styleId="Zeilennummer">
    <w:name w:val="line number"/>
    <w:uiPriority w:val="99"/>
    <w:rsid w:val="004F4588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eTabelle"/>
    <w:uiPriority w:val="99"/>
    <w:rsid w:val="004F4588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de-D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4F4588"/>
    <w:rPr>
      <w:color w:val="0000FF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4F4588"/>
    <w:rPr>
      <w:color w:val="605E5C"/>
      <w:shd w:val="clear" w:color="auto" w:fill="E1DFDD"/>
    </w:rPr>
  </w:style>
  <w:style w:type="table" w:customStyle="1" w:styleId="Yksinkertainentaulukko41">
    <w:name w:val="Yksinkertainen taulukko 41"/>
    <w:basedOn w:val="NormaleTabelle"/>
    <w:uiPriority w:val="44"/>
    <w:rsid w:val="004F4588"/>
    <w:pPr>
      <w:spacing w:after="0" w:line="240" w:lineRule="auto"/>
    </w:pPr>
    <w:rPr>
      <w:rFonts w:ascii="Calibri" w:eastAsia="SimSu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4F4588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4F458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4F4588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4F4588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4F4588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4F4588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4F4588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4F4588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4F458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4F4588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4F4588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4F458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4F4588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4F4588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NormaleTabelle"/>
    <w:uiPriority w:val="99"/>
    <w:rsid w:val="004F4588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4F4588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4F458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4F4588"/>
  </w:style>
  <w:style w:type="paragraph" w:styleId="Literaturverzeichnis">
    <w:name w:val="Bibliography"/>
    <w:basedOn w:val="Standard"/>
    <w:next w:val="Standard"/>
    <w:uiPriority w:val="37"/>
    <w:semiHidden/>
    <w:unhideWhenUsed/>
    <w:rsid w:val="004F458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Textkrper">
    <w:name w:val="Body Text"/>
    <w:link w:val="TextkrperZchn"/>
    <w:rsid w:val="004F4588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rsid w:val="004F4588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Kommentarzeichen">
    <w:name w:val="annotation reference"/>
    <w:rsid w:val="004F4588"/>
    <w:rPr>
      <w:sz w:val="21"/>
      <w:szCs w:val="21"/>
    </w:rPr>
  </w:style>
  <w:style w:type="paragraph" w:styleId="Kommentartext">
    <w:name w:val="annotation text"/>
    <w:basedOn w:val="Standard"/>
    <w:link w:val="KommentartextZchn"/>
    <w:rsid w:val="004F458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rsid w:val="004F458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4F45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F4588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Endnotenzeichen">
    <w:name w:val="endnote reference"/>
    <w:rsid w:val="004F4588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4F4588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EndnotentextZchn">
    <w:name w:val="Endnotentext Zchn"/>
    <w:basedOn w:val="Absatz-Standardschriftart"/>
    <w:link w:val="Endnotentext"/>
    <w:semiHidden/>
    <w:rsid w:val="004F458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BesuchterLink">
    <w:name w:val="FollowedHyperlink"/>
    <w:rsid w:val="004F4588"/>
    <w:rPr>
      <w:color w:val="954F72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4F4588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4F458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StandardWeb">
    <w:name w:val="Normal (Web)"/>
    <w:basedOn w:val="Standard"/>
    <w:uiPriority w:val="99"/>
    <w:rsid w:val="004F458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val="en-US" w:eastAsia="zh-CN"/>
    </w:rPr>
  </w:style>
  <w:style w:type="paragraph" w:customStyle="1" w:styleId="MsoFootnoteText0">
    <w:name w:val="MsoFootnoteText"/>
    <w:basedOn w:val="StandardWeb"/>
    <w:qFormat/>
    <w:rsid w:val="004F4588"/>
    <w:rPr>
      <w:rFonts w:ascii="Times New Roman" w:hAnsi="Times New Roman"/>
    </w:rPr>
  </w:style>
  <w:style w:type="character" w:styleId="Seitenzahl">
    <w:name w:val="page number"/>
    <w:rsid w:val="004F4588"/>
  </w:style>
  <w:style w:type="character" w:styleId="Platzhaltertext">
    <w:name w:val="Placeholder Text"/>
    <w:uiPriority w:val="99"/>
    <w:semiHidden/>
    <w:rsid w:val="004F4588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4F4588"/>
    <w:pPr>
      <w:tabs>
        <w:tab w:val="left" w:pos="454"/>
      </w:tabs>
      <w:spacing w:after="0" w:line="276" w:lineRule="auto"/>
      <w:ind w:left="454" w:hanging="454"/>
    </w:pPr>
    <w:rPr>
      <w:rFonts w:ascii="Calibri" w:eastAsia="Calibri" w:hAnsi="Calibri" w:cs="Times New Roman"/>
      <w:lang w:val="de-CH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4F4588"/>
    <w:rPr>
      <w:rFonts w:ascii="Calibri" w:eastAsia="Calibri" w:hAnsi="Calibri" w:cs="Times New Roman"/>
      <w:lang w:val="de-CH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4F4588"/>
    <w:pPr>
      <w:spacing w:line="276" w:lineRule="auto"/>
      <w:jc w:val="left"/>
    </w:pPr>
    <w:rPr>
      <w:noProof w:val="0"/>
      <w:lang w:val="de-CH" w:eastAsia="en-US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4F45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rsid w:val="004F4588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4F4588"/>
    <w:pPr>
      <w:jc w:val="left"/>
    </w:pPr>
  </w:style>
  <w:style w:type="character" w:customStyle="1" w:styleId="CitaviChapterBibliographyHeadingZchn">
    <w:name w:val="Citavi Chapter Bibliography Heading Zchn"/>
    <w:basedOn w:val="KommentartextZchn"/>
    <w:link w:val="CitaviChapterBibliographyHeading"/>
    <w:uiPriority w:val="99"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zh-CN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4F4588"/>
    <w:pPr>
      <w:jc w:val="left"/>
      <w:outlineLvl w:val="9"/>
    </w:pPr>
  </w:style>
  <w:style w:type="character" w:customStyle="1" w:styleId="CitaviBibliographySubheading1Zchn">
    <w:name w:val="Citavi Bibliography Subheading 1 Zchn"/>
    <w:basedOn w:val="KommentartextZchn"/>
    <w:link w:val="CitaviBibliographySubheading1"/>
    <w:uiPriority w:val="99"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zh-CN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4F4588"/>
    <w:pPr>
      <w:jc w:val="left"/>
      <w:outlineLvl w:val="9"/>
    </w:pPr>
  </w:style>
  <w:style w:type="character" w:customStyle="1" w:styleId="CitaviBibliographySubheading2Zchn">
    <w:name w:val="Citavi Bibliography Subheading 2 Zchn"/>
    <w:basedOn w:val="KommentartextZchn"/>
    <w:link w:val="CitaviBibliographySubheading2"/>
    <w:uiPriority w:val="99"/>
    <w:rsid w:val="004F4588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zh-CN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4F4588"/>
    <w:pPr>
      <w:jc w:val="left"/>
      <w:outlineLvl w:val="9"/>
    </w:pPr>
  </w:style>
  <w:style w:type="character" w:customStyle="1" w:styleId="CitaviBibliographySubheading3Zchn">
    <w:name w:val="Citavi Bibliography Subheading 3 Zchn"/>
    <w:basedOn w:val="KommentartextZchn"/>
    <w:link w:val="CitaviBibliographySubheading3"/>
    <w:uiPriority w:val="99"/>
    <w:rsid w:val="004F458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val="en-US" w:eastAsia="zh-CN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4F4588"/>
    <w:pPr>
      <w:jc w:val="left"/>
      <w:outlineLvl w:val="9"/>
    </w:pPr>
  </w:style>
  <w:style w:type="character" w:customStyle="1" w:styleId="CitaviBibliographySubheading4Zchn">
    <w:name w:val="Citavi Bibliography Subheading 4 Zchn"/>
    <w:basedOn w:val="KommentartextZchn"/>
    <w:link w:val="CitaviBibliographySubheading4"/>
    <w:uiPriority w:val="99"/>
    <w:rsid w:val="004F4588"/>
    <w:rPr>
      <w:rFonts w:asciiTheme="majorHAnsi" w:eastAsiaTheme="majorEastAsia" w:hAnsiTheme="majorHAnsi" w:cstheme="majorBidi"/>
      <w:noProof/>
      <w:color w:val="2E74B5" w:themeColor="accent1" w:themeShade="BF"/>
      <w:sz w:val="20"/>
      <w:szCs w:val="20"/>
      <w:lang w:val="en-US" w:eastAsia="zh-CN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4F4588"/>
    <w:pPr>
      <w:jc w:val="left"/>
      <w:outlineLvl w:val="9"/>
    </w:pPr>
  </w:style>
  <w:style w:type="character" w:customStyle="1" w:styleId="CitaviBibliographySubheading5Zchn">
    <w:name w:val="Citavi Bibliography Subheading 5 Zchn"/>
    <w:basedOn w:val="KommentartextZchn"/>
    <w:link w:val="CitaviBibliographySubheading5"/>
    <w:uiPriority w:val="99"/>
    <w:rsid w:val="004F4588"/>
    <w:rPr>
      <w:rFonts w:asciiTheme="majorHAnsi" w:eastAsiaTheme="majorEastAsia" w:hAnsiTheme="majorHAnsi" w:cstheme="majorBidi"/>
      <w:noProof/>
      <w:color w:val="1F4D78" w:themeColor="accent1" w:themeShade="7F"/>
      <w:sz w:val="20"/>
      <w:szCs w:val="20"/>
      <w:lang w:val="en-US" w:eastAsia="zh-CN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4F4588"/>
    <w:pPr>
      <w:jc w:val="left"/>
      <w:outlineLvl w:val="9"/>
    </w:pPr>
  </w:style>
  <w:style w:type="character" w:customStyle="1" w:styleId="CitaviBibliographySubheading6Zchn">
    <w:name w:val="Citavi Bibliography Subheading 6 Zchn"/>
    <w:basedOn w:val="KommentartextZchn"/>
    <w:link w:val="CitaviBibliographySubheading6"/>
    <w:uiPriority w:val="99"/>
    <w:rsid w:val="004F4588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0"/>
      <w:szCs w:val="20"/>
      <w:lang w:val="en-US" w:eastAsia="zh-CN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4F4588"/>
    <w:pPr>
      <w:jc w:val="left"/>
      <w:outlineLvl w:val="9"/>
    </w:pPr>
  </w:style>
  <w:style w:type="character" w:customStyle="1" w:styleId="CitaviBibliographySubheading7Zchn">
    <w:name w:val="Citavi Bibliography Subheading 7 Zchn"/>
    <w:basedOn w:val="KommentartextZchn"/>
    <w:link w:val="CitaviBibliographySubheading7"/>
    <w:uiPriority w:val="99"/>
    <w:rsid w:val="004F458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 w:eastAsia="zh-CN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4F4588"/>
    <w:pPr>
      <w:jc w:val="left"/>
      <w:outlineLvl w:val="9"/>
    </w:pPr>
  </w:style>
  <w:style w:type="character" w:customStyle="1" w:styleId="CitaviBibliographySubheading8Zchn">
    <w:name w:val="Citavi Bibliography Subheading 8 Zchn"/>
    <w:basedOn w:val="KommentartextZchn"/>
    <w:link w:val="CitaviBibliographySubheading8"/>
    <w:uiPriority w:val="99"/>
    <w:rsid w:val="004F4588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Marcus</dc:creator>
  <cp:keywords/>
  <dc:description/>
  <cp:lastModifiedBy>Schmidt, Marcus</cp:lastModifiedBy>
  <cp:revision>1</cp:revision>
  <dcterms:created xsi:type="dcterms:W3CDTF">2021-05-29T12:57:00Z</dcterms:created>
  <dcterms:modified xsi:type="dcterms:W3CDTF">2021-05-29T13:00:00Z</dcterms:modified>
</cp:coreProperties>
</file>