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67" w:rsidRPr="001C3C1B" w:rsidRDefault="00612C67" w:rsidP="00612C67">
      <w:pPr>
        <w:pStyle w:val="Heading1"/>
        <w:spacing w:before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C3C1B">
        <w:rPr>
          <w:rFonts w:asciiTheme="minorHAnsi" w:hAnsiTheme="minorHAnsi"/>
          <w:b/>
          <w:bCs/>
          <w:color w:val="auto"/>
          <w:sz w:val="22"/>
          <w:szCs w:val="22"/>
        </w:rPr>
        <w:t>Supplementary Materials</w:t>
      </w:r>
      <w:bookmarkStart w:id="0" w:name="_GoBack"/>
      <w:bookmarkEnd w:id="0"/>
    </w:p>
    <w:p w:rsidR="00612C67" w:rsidRPr="001C3C1B" w:rsidRDefault="00612C67" w:rsidP="00612C67">
      <w:pPr>
        <w:rPr>
          <w:b/>
          <w:bCs/>
        </w:rPr>
      </w:pPr>
      <w:r w:rsidRPr="001C3C1B">
        <w:rPr>
          <w:b/>
          <w:bCs/>
        </w:rPr>
        <w:t>Table S1. Characteristics of the 1,037 surveyed infants under six months of age, by study site.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1242"/>
        <w:gridCol w:w="1318"/>
        <w:gridCol w:w="1242"/>
        <w:gridCol w:w="1720"/>
        <w:gridCol w:w="1198"/>
        <w:gridCol w:w="1440"/>
        <w:gridCol w:w="921"/>
      </w:tblGrid>
      <w:tr w:rsidR="00612C67" w:rsidRPr="001C3C1B" w:rsidTr="00612C67">
        <w:trPr>
          <w:trHeight w:val="300"/>
          <w:tblHeader/>
        </w:trPr>
        <w:tc>
          <w:tcPr>
            <w:tcW w:w="1747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 xml:space="preserve"> 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Jimma (n = 610)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Deder (n = 428)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Difference (Jimma - Deder)</w:t>
            </w:r>
          </w:p>
        </w:tc>
      </w:tr>
      <w:tr w:rsidR="00612C67" w:rsidRPr="001C3C1B" w:rsidTr="00612C67">
        <w:trPr>
          <w:trHeight w:val="300"/>
          <w:tblHeader/>
        </w:trPr>
        <w:tc>
          <w:tcPr>
            <w:tcW w:w="1747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 xml:space="preserve"> 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mean or %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mean or %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difference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p-value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r w:rsidRPr="001C3C1B">
              <w:t>Household members</w:t>
            </w: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5.1; 5.5</w:t>
            </w: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5.6</w:t>
            </w:r>
          </w:p>
        </w:tc>
        <w:tc>
          <w:tcPr>
            <w:tcW w:w="61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5.4; 5.9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-0.33</w:t>
            </w:r>
          </w:p>
        </w:tc>
        <w:tc>
          <w:tcPr>
            <w:tcW w:w="51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-0.62; -0.04</w:t>
            </w:r>
          </w:p>
        </w:tc>
        <w:tc>
          <w:tcPr>
            <w:tcW w:w="330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0.025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Household children aged &lt;18 years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3.1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2.9; 3.2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3.4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3.2; 3.6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-0.35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-0.59; -0.11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0.005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Household head is male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98.9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97.6; 99.5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99.1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97.5; 99.6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-0.21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-1.45; 1.04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0.745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Household head formal education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No education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36.0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32.1; 40.1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31.1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26.9; 35.7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Grade 1-8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45.2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41.1; 49.4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45.8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41.1; 50.6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Grade 9-12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10.7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8.40; 13.5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18.3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14.9; 22.3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Technical and Vocational Education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0.70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0.30; 1.90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0.50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0.10; 1.90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College/University (%)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7.40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5.50; 9.90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4.30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2.70; 6.70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Mother as main Caregiver (%)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98.9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97.6; 99.5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99.8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98.3; 100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-0.91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-1.87; 0.05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0.063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Grandparent help in infant care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32.1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28.5; 35.9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41.1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36.5; 45.8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-9.00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-15.0; -3.03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0.003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Mother/Caregiver age (years)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25.7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25.2; 26.1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26.2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25.7; 26.7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-0.52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-1.20; 0.15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0.127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Mother/Caregiver is married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98.7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97.4; 99.3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99.1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97.5; 99.6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-0.37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-1.66; 0.92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0.572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Mother/Caregiver age at marriage (years)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18.0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17.8; 18.2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16.6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16.4; 16.8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1.42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1.13; 1.70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Time married (years)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7.66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7.22; 8.11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9.54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9.01; 10.1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-1.88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-2.57; -1.18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Mother/Caregiver formal education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No education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38.5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34.7; 42.4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44.4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39.7; 49.1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Grade 1-8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44.2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40.3; 48.2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48.1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43.4; 52.9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Grade 9-12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11.5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9.16; 14.2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5.87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3.99; 8.54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Technical and Vocational Education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1.80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1.00; 3.22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0.47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0.12; 1.86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College/University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4.09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2.78; 5.99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1.17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0.49; 2.79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Mother/Caregiver religion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Muslim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92.5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90.1; 94.3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96.7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94.5; 98.0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Orthodox Christian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5.60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4.00; 7.70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3.30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2.00; 5.50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Protestant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1.80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1.00; 3.20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0.00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Refused to answer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0.20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1.20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0.00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r w:rsidRPr="001C3C1B">
              <w:lastRenderedPageBreak/>
              <w:t>Infant's age (weeks)</w:t>
            </w: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12.4</w:t>
            </w:r>
          </w:p>
        </w:tc>
        <w:tc>
          <w:tcPr>
            <w:tcW w:w="472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11.9; 12.9</w:t>
            </w: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14.8</w:t>
            </w:r>
          </w:p>
        </w:tc>
        <w:tc>
          <w:tcPr>
            <w:tcW w:w="61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14.3; 15.4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-2.46</w:t>
            </w:r>
          </w:p>
        </w:tc>
        <w:tc>
          <w:tcPr>
            <w:tcW w:w="51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-3.20; -1.72</w:t>
            </w:r>
          </w:p>
        </w:tc>
        <w:tc>
          <w:tcPr>
            <w:tcW w:w="330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Infant is male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54.5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50.5; 58.4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56.6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51.8; 61.2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-2.07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-8.22; 4.08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0.509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 is singleton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98.4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97.0; 99.1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98.8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97.2; 99.5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-0.46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-1.90; 0.97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0.527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Siblings aged &lt;18 years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2.0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1.8; 2.1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2.4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2.2; 2.6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-0.47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-0.72; -0.22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Infant's birth order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1st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27.7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24.3; 31.4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21.1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17.5; 25.3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2nd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22.8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19.6; 26.3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17.6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14.3; 21.5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3rd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14.9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12.3; 18.0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15.3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12.1; 19.0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4th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11.1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8.87; 13.9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13.9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10.9; 17.5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5th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10.3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8.13; 13.0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12.7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9.84; 16.2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pPr>
              <w:ind w:left="324"/>
            </w:pPr>
            <w:r w:rsidRPr="001C3C1B">
              <w:t>6th+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13.3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10.8; 16.2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19.5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16.0; 23.5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 xml:space="preserve"> 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 xml:space="preserve"> 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Recent death of sibling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11.6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9.30; 14.4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19.5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16.0; 23.5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-7.84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-12.39; -3.30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 ever breastfed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98.4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97.0; 99.1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99.8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98.4; 100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-1.4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-2.51; -0.29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0.013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Infant received breastmilk as first food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98.0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96.6; 98.9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93.2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90.4; 95.2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4.84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2.21; 7.48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 was breastfed in the past 24 hrs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94.6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92.5; 96.1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93.4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90.6; 95.4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1.17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-1.79; 4.13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0.438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Breastfeeding frequency in past 24 hrs (times)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10.5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10.2; 10.8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10.4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10.1; 10.6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0.11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-0.24; 0.47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0.534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 exclusively breastfed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46.8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42.9; 50.8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51.9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47.1; 56.6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-5.07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-11.3; 1.12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0.108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Infant was bottle-fed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13.4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10.9; 16.4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17.8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14.5; 21.8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-4.42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-8.96; 0.12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0.056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Infant fed any solid, semi-solid or soft foods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1.64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0.88; 3.02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2.58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1.43; 4.60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-0.95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-2.76; 0.87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0.306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Bilateral pitting oedema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1.15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0.55; 2.39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0.00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1.15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0.30; 1.99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0.008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Weight (kg)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5.58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5.48; 5.68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5.68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5.57; 5.80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-0.1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-0.26; 0.05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0.185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Length (cm)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59.1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58.8; 59.5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60.4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59.9; 60.8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-1.24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-1.82; -0.67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Mid-upper arm circumference (cm)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12.5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12.4; 12.6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12.4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12.3; 12.5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0.05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-0.10; 0.21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0.487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Triceps skinfold (mm)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7.9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7.7; 8.0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7.6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7.4; 7.7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0.27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0.06; 0.48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0.011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Subscapular skinfold (mm)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7.1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7.0; 7.3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6.3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6.1; 6.4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0.86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0.67; 1.04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Head circumference (cm)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40.0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39.8; 40.2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40.8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40.6; 41.1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-0.79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-1.09; -0.49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Knee-to-heel length (mm)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147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146; 148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149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148; 151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-2.39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-4.14; -0.64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0.007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Weight-for-age z-score (WAZ)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-0.47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-0.57; -0.37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-0.89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-1.01; -0.77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0.42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0.26; 0.58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lastRenderedPageBreak/>
              <w:t>Length-for-age z-score (LAZ)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-0.28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-0.38; -0.18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-0.44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-0.58; -0.31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0.17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-0.01; 0.34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0.059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Weight-for-length z-score (WLZ)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-0.31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-0.40; -0.22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-0.7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-0.83; -0.58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0.39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0.23; 0.54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noWrap/>
            <w:hideMark/>
          </w:tcPr>
          <w:p w:rsidR="00612C67" w:rsidRPr="001C3C1B" w:rsidRDefault="00612C67" w:rsidP="00786E79">
            <w:r w:rsidRPr="001C3C1B">
              <w:t>Wasted (%)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7.45</w:t>
            </w:r>
          </w:p>
        </w:tc>
        <w:tc>
          <w:tcPr>
            <w:tcW w:w="4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5.61; 9.84</w:t>
            </w:r>
          </w:p>
        </w:tc>
        <w:tc>
          <w:tcPr>
            <w:tcW w:w="445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15.7</w:t>
            </w:r>
          </w:p>
        </w:tc>
        <w:tc>
          <w:tcPr>
            <w:tcW w:w="6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12.6; 19.5</w:t>
            </w:r>
          </w:p>
        </w:tc>
        <w:tc>
          <w:tcPr>
            <w:tcW w:w="429" w:type="pct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-8.28</w:t>
            </w:r>
          </w:p>
        </w:tc>
        <w:tc>
          <w:tcPr>
            <w:tcW w:w="51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-12.3; -4.23</w:t>
            </w:r>
          </w:p>
        </w:tc>
        <w:tc>
          <w:tcPr>
            <w:tcW w:w="330" w:type="pct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&lt;0.001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Stunted (%)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7.54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5.69; 9.93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12.9</w:t>
            </w:r>
          </w:p>
        </w:tc>
        <w:tc>
          <w:tcPr>
            <w:tcW w:w="6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10.0; 16.4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-5.31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-9.11; -1.50</w:t>
            </w:r>
          </w:p>
        </w:tc>
        <w:tc>
          <w:tcPr>
            <w:tcW w:w="33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0.006</w:t>
            </w:r>
          </w:p>
        </w:tc>
      </w:tr>
      <w:tr w:rsidR="00612C67" w:rsidRPr="001C3C1B" w:rsidTr="00786E79">
        <w:trPr>
          <w:trHeight w:val="300"/>
        </w:trPr>
        <w:tc>
          <w:tcPr>
            <w:tcW w:w="1747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r w:rsidRPr="001C3C1B">
              <w:t>Underweight (%)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10.4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8.2; 13.1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16.4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13.2; 20.3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474"/>
              </w:tabs>
            </w:pPr>
            <w:r w:rsidRPr="001C3C1B">
              <w:t>-6.00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-10.3; -1.72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tabs>
                <w:tab w:val="decimal" w:pos="206"/>
              </w:tabs>
            </w:pPr>
            <w:r w:rsidRPr="001C3C1B">
              <w:t>0.006</w:t>
            </w:r>
          </w:p>
        </w:tc>
      </w:tr>
      <w:tr w:rsidR="00612C67" w:rsidRPr="001C3C1B" w:rsidTr="00786E79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noWrap/>
          </w:tcPr>
          <w:p w:rsidR="00612C67" w:rsidRPr="001C3C1B" w:rsidRDefault="00612C67" w:rsidP="00786E79">
            <w:pPr>
              <w:rPr>
                <w:sz w:val="18"/>
                <w:szCs w:val="18"/>
              </w:rPr>
            </w:pPr>
            <w:r w:rsidRPr="001C3C1B">
              <w:rPr>
                <w:sz w:val="18"/>
                <w:szCs w:val="18"/>
              </w:rPr>
              <w:t>Underweight, stunted and wasted was defined as WAZ, LAZ and WLZ &lt;-2, respectively.</w:t>
            </w:r>
          </w:p>
        </w:tc>
      </w:tr>
    </w:tbl>
    <w:p w:rsidR="00612C67" w:rsidRPr="001C3C1B" w:rsidRDefault="00612C67" w:rsidP="00612C67"/>
    <w:p w:rsidR="00612C67" w:rsidRPr="001C3C1B" w:rsidRDefault="00612C67" w:rsidP="00612C67"/>
    <w:p w:rsidR="00612C67" w:rsidRPr="001C3C1B" w:rsidRDefault="00612C67" w:rsidP="00612C67">
      <w:pPr>
        <w:sectPr w:rsidR="00612C67" w:rsidRPr="001C3C1B" w:rsidSect="0008560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12C67" w:rsidRPr="001C3C1B" w:rsidRDefault="00612C67" w:rsidP="00612C67">
      <w:pPr>
        <w:rPr>
          <w:b/>
          <w:bCs/>
        </w:rPr>
      </w:pPr>
      <w:r w:rsidRPr="001C3C1B">
        <w:rPr>
          <w:b/>
          <w:bCs/>
        </w:rPr>
        <w:lastRenderedPageBreak/>
        <w:t xml:space="preserve">Table S2. </w:t>
      </w:r>
      <w:bookmarkStart w:id="1" w:name="_Hlk72880588"/>
      <w:r w:rsidRPr="001C3C1B">
        <w:rPr>
          <w:b/>
          <w:bCs/>
        </w:rPr>
        <w:t>Proportion of infants aged under 6 months with and without CIAF overlapping with low MUAC or underweight.</w:t>
      </w:r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655"/>
        <w:gridCol w:w="1198"/>
        <w:gridCol w:w="656"/>
        <w:gridCol w:w="1198"/>
        <w:gridCol w:w="656"/>
        <w:gridCol w:w="1198"/>
        <w:gridCol w:w="656"/>
        <w:gridCol w:w="1198"/>
        <w:gridCol w:w="656"/>
        <w:gridCol w:w="1195"/>
      </w:tblGrid>
      <w:tr w:rsidR="00612C67" w:rsidRPr="001C3C1B" w:rsidTr="00786E79">
        <w:trPr>
          <w:trHeight w:val="300"/>
        </w:trPr>
        <w:tc>
          <w:tcPr>
            <w:tcW w:w="168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0-5 weeks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6-10 weeks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11-15 weeks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16-20 weeks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21-25 weeks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</w:tcPr>
          <w:p w:rsidR="00612C67" w:rsidRPr="001C3C1B" w:rsidRDefault="00612C67" w:rsidP="00786E79">
            <w:pPr>
              <w:rPr>
                <w:b/>
                <w:bCs/>
              </w:rPr>
            </w:pPr>
          </w:p>
        </w:tc>
        <w:tc>
          <w:tcPr>
            <w:tcW w:w="664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18</w:t>
            </w:r>
          </w:p>
        </w:tc>
        <w:tc>
          <w:tcPr>
            <w:tcW w:w="664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57</w:t>
            </w:r>
          </w:p>
        </w:tc>
        <w:tc>
          <w:tcPr>
            <w:tcW w:w="664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58</w:t>
            </w:r>
          </w:p>
        </w:tc>
        <w:tc>
          <w:tcPr>
            <w:tcW w:w="664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59</w:t>
            </w:r>
          </w:p>
        </w:tc>
        <w:tc>
          <w:tcPr>
            <w:tcW w:w="663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31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bottom w:val="single" w:sz="4" w:space="0" w:color="auto"/>
            </w:tcBorders>
            <w:noWrap/>
            <w:vAlign w:val="center"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>Infants with CIAF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&lt;10.5cm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61.1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37.6; 80.4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17.5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9.68; 29.7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15.5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8.25; 27.3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10.2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4.62; 20.9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6.45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1.60; 22.6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72.2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47.8; 88.1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42.1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30.0; 55.2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25.9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16.2; 38.6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18.6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10.6; 30.7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16.1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6.82; 33.6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&lt;17 weeks, &lt;11.5 thereafter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72.2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47.8; 88.1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42.1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30.0; 55.2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25.9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16.2; 38.6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23.7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14.6; 36.2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32.3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18.2; 50.4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&lt;13 weeks, &lt;11.5 thereafter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72.2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47.8; 88.1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42.1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30.0; 55.2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34.5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23.4; 47.6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14.6; 36.2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32.3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18.2; 50.4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&lt;7 weeks, &lt;11.5 thereafter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72.2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47.8; 88.1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61.4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48.2; 73.1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39.7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27.9; 52.7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23.7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14.6; 36.2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32.3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18.2; 50.4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&lt;6 weeks, &lt;11.5 thereafter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72.2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47.8; 88.1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61.4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48.2; 73.1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27.9; 52.7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23.7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14.6; 36.2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32.3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18.2; 50.4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&lt;11.5cm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88.9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64.3; 97.3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61.4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48.2; 73.1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39.7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27.9; 52.7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23.7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14.6; 36.2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32.3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18.2; 50.4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Underweight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38.9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19.6; 62.4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64.9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51.7; 76.2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51.7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39.0; 64.3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67.8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54.9; 78.5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61.3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43.3; 76.7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>Infants without CIAF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75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210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227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184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109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&lt;10.5cm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40.0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29.5; 51.6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0.48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0.07; 3.33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52.4; 74.1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3.33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1.59; 6.85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&lt;17 weeks, &lt;11.5 thereafter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52.4; 74.1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3.33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1.59; 6.85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&lt;13 weeks, &lt;11.5 thereafter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52.4; 74.1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3.33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1.59; 6.85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0.88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0.22; 3.47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&lt;7 weeks, &lt;11.5 thereafter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52.4; 74.1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9.52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6.21; 14.3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3.08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1.47; 6.34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&lt;6 weeks, &lt;11.5 thereafter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52.4; 74.1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10.6; 20.3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3.08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1.47; 6.34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&lt;11.5cm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80.0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69.3; 87.7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14.8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10.6; 20.3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3.08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1.47; 6.34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9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  <w:tc>
          <w:tcPr>
            <w:tcW w:w="235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</w:t>
            </w:r>
          </w:p>
        </w:tc>
        <w:tc>
          <w:tcPr>
            <w:tcW w:w="428" w:type="pct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0.00; 0.00</w:t>
            </w:r>
          </w:p>
        </w:tc>
      </w:tr>
      <w:tr w:rsidR="00612C67" w:rsidRPr="001C3C1B" w:rsidTr="00786E79">
        <w:trPr>
          <w:trHeight w:val="300"/>
        </w:trPr>
        <w:tc>
          <w:tcPr>
            <w:tcW w:w="1681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Underweight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--</w:t>
            </w:r>
          </w:p>
        </w:tc>
      </w:tr>
      <w:tr w:rsidR="00612C67" w:rsidRPr="001C3C1B" w:rsidTr="00786E7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noWrap/>
          </w:tcPr>
          <w:p w:rsidR="00612C67" w:rsidRPr="001C3C1B" w:rsidRDefault="00612C67" w:rsidP="00786E79">
            <w:pPr>
              <w:rPr>
                <w:sz w:val="18"/>
                <w:szCs w:val="18"/>
              </w:rPr>
            </w:pPr>
            <w:r w:rsidRPr="001C3C1B">
              <w:rPr>
                <w:sz w:val="18"/>
                <w:szCs w:val="18"/>
              </w:rPr>
              <w:t>CIAF: Composite Index of Anthropometric Failure. MUAC: Mid-Upper Arm Circumference.</w:t>
            </w:r>
          </w:p>
        </w:tc>
      </w:tr>
    </w:tbl>
    <w:p w:rsidR="00612C67" w:rsidRPr="001C3C1B" w:rsidRDefault="00612C67" w:rsidP="00612C67"/>
    <w:p w:rsidR="00612C67" w:rsidRPr="001C3C1B" w:rsidRDefault="00612C67" w:rsidP="00612C67"/>
    <w:p w:rsidR="00612C67" w:rsidRPr="001C3C1B" w:rsidRDefault="00612C67" w:rsidP="00612C67">
      <w:pPr>
        <w:sectPr w:rsidR="00612C67" w:rsidRPr="001C3C1B" w:rsidSect="00633A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12C67" w:rsidRPr="001C3C1B" w:rsidRDefault="00612C67" w:rsidP="00612C67">
      <w:pPr>
        <w:rPr>
          <w:b/>
          <w:bCs/>
        </w:rPr>
      </w:pPr>
      <w:r w:rsidRPr="001C3C1B">
        <w:rPr>
          <w:b/>
          <w:bCs/>
        </w:rPr>
        <w:lastRenderedPageBreak/>
        <w:t>Table S3. Proportion of CIAF categories overlapping with low MUAC.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607"/>
        <w:gridCol w:w="1105"/>
        <w:gridCol w:w="672"/>
        <w:gridCol w:w="1228"/>
        <w:gridCol w:w="759"/>
        <w:gridCol w:w="1385"/>
        <w:gridCol w:w="678"/>
        <w:gridCol w:w="1231"/>
        <w:gridCol w:w="607"/>
        <w:gridCol w:w="1105"/>
        <w:gridCol w:w="623"/>
        <w:gridCol w:w="1133"/>
      </w:tblGrid>
      <w:tr w:rsidR="00612C67" w:rsidRPr="001C3C1B" w:rsidTr="00786E79">
        <w:trPr>
          <w:trHeight w:val="300"/>
        </w:trPr>
        <w:tc>
          <w:tcPr>
            <w:tcW w:w="1012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 xml:space="preserve">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Wasted only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Wasted &amp; Underweight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Wasted, Stunted &amp; Underweight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Stunted &amp; Underweight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Stunted only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Underweight only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noWrap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 xml:space="preserve"> </w:t>
            </w:r>
          </w:p>
        </w:tc>
        <w:tc>
          <w:tcPr>
            <w:tcW w:w="613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53</w:t>
            </w:r>
          </w:p>
        </w:tc>
        <w:tc>
          <w:tcPr>
            <w:tcW w:w="681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46</w:t>
            </w:r>
          </w:p>
        </w:tc>
        <w:tc>
          <w:tcPr>
            <w:tcW w:w="768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13</w:t>
            </w:r>
          </w:p>
        </w:tc>
        <w:tc>
          <w:tcPr>
            <w:tcW w:w="684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51</w:t>
            </w:r>
          </w:p>
        </w:tc>
        <w:tc>
          <w:tcPr>
            <w:tcW w:w="613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37</w:t>
            </w:r>
          </w:p>
        </w:tc>
        <w:tc>
          <w:tcPr>
            <w:tcW w:w="628" w:type="pct"/>
            <w:gridSpan w:val="2"/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n = 23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rPr>
                <w:b/>
                <w:bCs/>
              </w:rPr>
            </w:pPr>
            <w:r w:rsidRPr="001C3C1B">
              <w:rPr>
                <w:b/>
                <w:bCs/>
              </w:rPr>
              <w:t>Indicator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%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2C67" w:rsidRPr="001C3C1B" w:rsidRDefault="00612C67" w:rsidP="00786E79">
            <w:pPr>
              <w:jc w:val="center"/>
              <w:rPr>
                <w:b/>
                <w:bCs/>
              </w:rPr>
            </w:pPr>
            <w:r w:rsidRPr="001C3C1B">
              <w:rPr>
                <w:b/>
                <w:bCs/>
              </w:rPr>
              <w:t>95% CI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r w:rsidRPr="001C3C1B">
              <w:t>MUAC &lt;10.5cm</w:t>
            </w:r>
          </w:p>
        </w:tc>
        <w:tc>
          <w:tcPr>
            <w:tcW w:w="217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9.40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3.98; 20.8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17.4</w:t>
            </w:r>
          </w:p>
        </w:tc>
        <w:tc>
          <w:tcPr>
            <w:tcW w:w="440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8.94; 31.1</w:t>
            </w:r>
          </w:p>
        </w:tc>
        <w:tc>
          <w:tcPr>
            <w:tcW w:w="272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46.2</w:t>
            </w:r>
          </w:p>
        </w:tc>
        <w:tc>
          <w:tcPr>
            <w:tcW w:w="49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22.3; 71.9</w:t>
            </w:r>
          </w:p>
        </w:tc>
        <w:tc>
          <w:tcPr>
            <w:tcW w:w="243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31.4</w:t>
            </w:r>
          </w:p>
        </w:tc>
        <w:tc>
          <w:tcPr>
            <w:tcW w:w="441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20.2; 45.3</w:t>
            </w:r>
          </w:p>
        </w:tc>
        <w:tc>
          <w:tcPr>
            <w:tcW w:w="217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2.70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0.38; 16.9</w:t>
            </w:r>
          </w:p>
        </w:tc>
        <w:tc>
          <w:tcPr>
            <w:tcW w:w="223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8.70</w:t>
            </w:r>
          </w:p>
        </w:tc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2.18; 28.9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r w:rsidRPr="001C3C1B">
              <w:t>MUAC &lt;11.0cm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11.3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5.17; 23.0</w:t>
            </w:r>
          </w:p>
        </w:tc>
        <w:tc>
          <w:tcPr>
            <w:tcW w:w="2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34.8</w:t>
            </w:r>
          </w:p>
        </w:tc>
        <w:tc>
          <w:tcPr>
            <w:tcW w:w="44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22.5; 49.5</w:t>
            </w:r>
          </w:p>
        </w:tc>
        <w:tc>
          <w:tcPr>
            <w:tcW w:w="2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69.2</w:t>
            </w:r>
          </w:p>
        </w:tc>
        <w:tc>
          <w:tcPr>
            <w:tcW w:w="4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40.9; 88.0</w:t>
            </w:r>
          </w:p>
        </w:tc>
        <w:tc>
          <w:tcPr>
            <w:tcW w:w="24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52.9</w:t>
            </w:r>
          </w:p>
        </w:tc>
        <w:tc>
          <w:tcPr>
            <w:tcW w:w="4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39.4; 66.1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30.4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15.2; 51.6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 xml:space="preserve">MUAC &lt;11.0cm if &lt;17 weeks, </w:t>
            </w:r>
          </w:p>
          <w:p w:rsidR="00612C67" w:rsidRPr="001C3C1B" w:rsidRDefault="00612C67" w:rsidP="00786E79">
            <w:r w:rsidRPr="001C3C1B">
              <w:t>&lt;11.5 thereafter</w:t>
            </w:r>
          </w:p>
        </w:tc>
        <w:tc>
          <w:tcPr>
            <w:tcW w:w="217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11.3</w:t>
            </w:r>
          </w:p>
        </w:tc>
        <w:tc>
          <w:tcPr>
            <w:tcW w:w="3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5.17; 23.0</w:t>
            </w:r>
          </w:p>
        </w:tc>
        <w:tc>
          <w:tcPr>
            <w:tcW w:w="241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43.5</w:t>
            </w:r>
          </w:p>
        </w:tc>
        <w:tc>
          <w:tcPr>
            <w:tcW w:w="440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30.0; 58.0</w:t>
            </w:r>
          </w:p>
        </w:tc>
        <w:tc>
          <w:tcPr>
            <w:tcW w:w="2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92.3</w:t>
            </w:r>
          </w:p>
        </w:tc>
        <w:tc>
          <w:tcPr>
            <w:tcW w:w="4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60.9; 98.9</w:t>
            </w:r>
          </w:p>
        </w:tc>
        <w:tc>
          <w:tcPr>
            <w:tcW w:w="243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54.9</w:t>
            </w:r>
          </w:p>
        </w:tc>
        <w:tc>
          <w:tcPr>
            <w:tcW w:w="441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41.2; 67.9</w:t>
            </w:r>
          </w:p>
        </w:tc>
        <w:tc>
          <w:tcPr>
            <w:tcW w:w="217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30.4</w:t>
            </w:r>
          </w:p>
        </w:tc>
        <w:tc>
          <w:tcPr>
            <w:tcW w:w="40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15.2; 51.6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&lt;13 weeks,</w:t>
            </w:r>
          </w:p>
          <w:p w:rsidR="00612C67" w:rsidRPr="001C3C1B" w:rsidRDefault="00612C67" w:rsidP="00786E79">
            <w:r w:rsidRPr="001C3C1B">
              <w:t>&lt;11.5 thereafter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11.3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5.17; 23.0</w:t>
            </w:r>
          </w:p>
        </w:tc>
        <w:tc>
          <w:tcPr>
            <w:tcW w:w="2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50.0</w:t>
            </w:r>
          </w:p>
        </w:tc>
        <w:tc>
          <w:tcPr>
            <w:tcW w:w="44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35.9; 64.1</w:t>
            </w:r>
          </w:p>
        </w:tc>
        <w:tc>
          <w:tcPr>
            <w:tcW w:w="2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92.3</w:t>
            </w:r>
          </w:p>
        </w:tc>
        <w:tc>
          <w:tcPr>
            <w:tcW w:w="4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60.9; 98.9</w:t>
            </w:r>
          </w:p>
        </w:tc>
        <w:tc>
          <w:tcPr>
            <w:tcW w:w="24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56.9</w:t>
            </w:r>
          </w:p>
        </w:tc>
        <w:tc>
          <w:tcPr>
            <w:tcW w:w="4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43.1; 69.7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34.8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18.4; 55.7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&lt;7 weeks,</w:t>
            </w:r>
          </w:p>
          <w:p w:rsidR="00612C67" w:rsidRPr="001C3C1B" w:rsidRDefault="00612C67" w:rsidP="00786E79">
            <w:r w:rsidRPr="001C3C1B">
              <w:t>&lt;11.5 thereafter</w:t>
            </w:r>
          </w:p>
        </w:tc>
        <w:tc>
          <w:tcPr>
            <w:tcW w:w="217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20.8</w:t>
            </w:r>
          </w:p>
        </w:tc>
        <w:tc>
          <w:tcPr>
            <w:tcW w:w="3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11.9; 33.7</w:t>
            </w:r>
          </w:p>
        </w:tc>
        <w:tc>
          <w:tcPr>
            <w:tcW w:w="241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56.5</w:t>
            </w:r>
          </w:p>
        </w:tc>
        <w:tc>
          <w:tcPr>
            <w:tcW w:w="440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42.0; 70.0</w:t>
            </w:r>
          </w:p>
        </w:tc>
        <w:tc>
          <w:tcPr>
            <w:tcW w:w="272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92.3</w:t>
            </w:r>
          </w:p>
        </w:tc>
        <w:tc>
          <w:tcPr>
            <w:tcW w:w="4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60.9; 98.9</w:t>
            </w:r>
          </w:p>
        </w:tc>
        <w:tc>
          <w:tcPr>
            <w:tcW w:w="243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64.7</w:t>
            </w:r>
          </w:p>
        </w:tc>
        <w:tc>
          <w:tcPr>
            <w:tcW w:w="441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50.8; 76.5</w:t>
            </w:r>
          </w:p>
        </w:tc>
        <w:tc>
          <w:tcPr>
            <w:tcW w:w="217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43.5</w:t>
            </w:r>
          </w:p>
        </w:tc>
        <w:tc>
          <w:tcPr>
            <w:tcW w:w="406" w:type="pct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25.2; 63.7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shd w:val="clear" w:color="auto" w:fill="F2F2F2" w:themeFill="background1" w:themeFillShade="F2"/>
            <w:noWrap/>
            <w:vAlign w:val="center"/>
            <w:hideMark/>
          </w:tcPr>
          <w:p w:rsidR="00612C67" w:rsidRPr="001C3C1B" w:rsidRDefault="00612C67" w:rsidP="00786E79">
            <w:r w:rsidRPr="001C3C1B">
              <w:t>MUAC &lt;11.0cm if &lt;6 weeks,</w:t>
            </w:r>
          </w:p>
          <w:p w:rsidR="00612C67" w:rsidRPr="001C3C1B" w:rsidRDefault="00612C67" w:rsidP="00786E79">
            <w:r w:rsidRPr="001C3C1B">
              <w:t>&lt;11.5 thereafter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20.8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11.9; 33.7</w:t>
            </w:r>
          </w:p>
        </w:tc>
        <w:tc>
          <w:tcPr>
            <w:tcW w:w="2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56.5</w:t>
            </w:r>
          </w:p>
        </w:tc>
        <w:tc>
          <w:tcPr>
            <w:tcW w:w="440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42.0; 70.0</w:t>
            </w:r>
          </w:p>
        </w:tc>
        <w:tc>
          <w:tcPr>
            <w:tcW w:w="272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92.3</w:t>
            </w:r>
          </w:p>
        </w:tc>
        <w:tc>
          <w:tcPr>
            <w:tcW w:w="4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60.9; 98.9</w:t>
            </w:r>
          </w:p>
        </w:tc>
        <w:tc>
          <w:tcPr>
            <w:tcW w:w="24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64.7</w:t>
            </w:r>
          </w:p>
        </w:tc>
        <w:tc>
          <w:tcPr>
            <w:tcW w:w="441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50.8; 76.5</w:t>
            </w:r>
          </w:p>
        </w:tc>
        <w:tc>
          <w:tcPr>
            <w:tcW w:w="217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43.5</w:t>
            </w:r>
          </w:p>
        </w:tc>
        <w:tc>
          <w:tcPr>
            <w:tcW w:w="406" w:type="pct"/>
            <w:shd w:val="clear" w:color="auto" w:fill="F2F2F2" w:themeFill="background1" w:themeFillShade="F2"/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25.2; 63.7</w:t>
            </w:r>
          </w:p>
        </w:tc>
      </w:tr>
      <w:tr w:rsidR="00612C67" w:rsidRPr="001C3C1B" w:rsidTr="00786E79">
        <w:trPr>
          <w:trHeight w:val="300"/>
        </w:trPr>
        <w:tc>
          <w:tcPr>
            <w:tcW w:w="1012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r w:rsidRPr="001C3C1B">
              <w:t>MUAC &lt;11.5cm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24.5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14.8; 37.8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58.7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44.1; 71.9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92.3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60.9; 98.9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64.7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50.8; 76.5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8.11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2.63; 22.3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43.5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noWrap/>
            <w:hideMark/>
          </w:tcPr>
          <w:p w:rsidR="00612C67" w:rsidRPr="001C3C1B" w:rsidRDefault="00612C67" w:rsidP="00786E79">
            <w:pPr>
              <w:jc w:val="center"/>
            </w:pPr>
            <w:r w:rsidRPr="001C3C1B">
              <w:t>25.2; 63.7</w:t>
            </w:r>
          </w:p>
        </w:tc>
      </w:tr>
      <w:tr w:rsidR="00612C67" w:rsidRPr="001C3C1B" w:rsidTr="00786E79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noWrap/>
          </w:tcPr>
          <w:p w:rsidR="00612C67" w:rsidRPr="001C3C1B" w:rsidRDefault="00612C67" w:rsidP="00786E79">
            <w:pPr>
              <w:rPr>
                <w:sz w:val="18"/>
                <w:szCs w:val="18"/>
              </w:rPr>
            </w:pPr>
            <w:r w:rsidRPr="001C3C1B">
              <w:rPr>
                <w:sz w:val="18"/>
                <w:szCs w:val="18"/>
              </w:rPr>
              <w:t>CIAF: Composite Index of Anthropometric Failure. MUAC: Mid-Upper Arm Circumference.</w:t>
            </w:r>
          </w:p>
        </w:tc>
      </w:tr>
    </w:tbl>
    <w:p w:rsidR="00612C67" w:rsidRPr="001C3C1B" w:rsidRDefault="00612C67" w:rsidP="00612C67"/>
    <w:p w:rsidR="00612C67" w:rsidRPr="001C3C1B" w:rsidRDefault="00612C67" w:rsidP="00612C67"/>
    <w:p w:rsidR="00847897" w:rsidRDefault="00612C67"/>
    <w:sectPr w:rsidR="00847897" w:rsidSect="00612C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F2477"/>
    <w:multiLevelType w:val="hybridMultilevel"/>
    <w:tmpl w:val="F46EC9D8"/>
    <w:lvl w:ilvl="0" w:tplc="46F21B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5ECA"/>
    <w:multiLevelType w:val="hybridMultilevel"/>
    <w:tmpl w:val="88C6AAD0"/>
    <w:lvl w:ilvl="0" w:tplc="09EE6330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67A43"/>
    <w:multiLevelType w:val="hybridMultilevel"/>
    <w:tmpl w:val="6FEA0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02E4"/>
    <w:multiLevelType w:val="hybridMultilevel"/>
    <w:tmpl w:val="55609952"/>
    <w:lvl w:ilvl="0" w:tplc="FBEE7E1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7A7"/>
    <w:multiLevelType w:val="hybridMultilevel"/>
    <w:tmpl w:val="21CCDD5E"/>
    <w:lvl w:ilvl="0" w:tplc="61DEFD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567EF"/>
    <w:multiLevelType w:val="hybridMultilevel"/>
    <w:tmpl w:val="EDC6643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6B2236F5"/>
    <w:multiLevelType w:val="multilevel"/>
    <w:tmpl w:val="2818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8549F"/>
    <w:multiLevelType w:val="hybridMultilevel"/>
    <w:tmpl w:val="A7329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13C6"/>
    <w:multiLevelType w:val="hybridMultilevel"/>
    <w:tmpl w:val="A45C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3427A"/>
    <w:multiLevelType w:val="hybridMultilevel"/>
    <w:tmpl w:val="12AE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7"/>
    <w:rsid w:val="005D58A0"/>
    <w:rsid w:val="00612C67"/>
    <w:rsid w:val="00E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C98D2-C1DB-41EE-8914-4CBDD226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67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2C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6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2C67"/>
    <w:pPr>
      <w:ind w:left="720"/>
      <w:contextualSpacing/>
    </w:pPr>
  </w:style>
  <w:style w:type="table" w:styleId="TableGrid">
    <w:name w:val="Table Grid"/>
    <w:basedOn w:val="TableNormal"/>
    <w:uiPriority w:val="39"/>
    <w:rsid w:val="00612C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12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C67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2C67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C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C6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2C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2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C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2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C6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C67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12C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C67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12C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12C67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2C6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484A6421C274C9C39142525F5A4F7" ma:contentTypeVersion="13" ma:contentTypeDescription="Create a new document." ma:contentTypeScope="" ma:versionID="aa4a212f6fb7200db030e27a5c214fdc">
  <xsd:schema xmlns:xsd="http://www.w3.org/2001/XMLSchema" xmlns:xs="http://www.w3.org/2001/XMLSchema" xmlns:p="http://schemas.microsoft.com/office/2006/metadata/properties" xmlns:ns2="6a164dda-3779-4169-b957-e287451f6523" xmlns:ns3="14132c97-75c8-4718-b94c-105c7bd0a276" xmlns:ns4="33ad3730-1907-40f2-9750-388df4af6c70" targetNamespace="http://schemas.microsoft.com/office/2006/metadata/properties" ma:root="true" ma:fieldsID="da80fb2205bd583ab9b116f271a89a18" ns2:_="" ns3:_="" ns4:_="">
    <xsd:import namespace="6a164dda-3779-4169-b957-e287451f6523"/>
    <xsd:import namespace="14132c97-75c8-4718-b94c-105c7bd0a276"/>
    <xsd:import namespace="33ad3730-1907-40f2-9750-388df4af6c70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2c97-75c8-4718-b94c-105c7bd0a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3730-1907-40f2-9750-388df4af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07403b-203c-4ed3-95cd-88a852189123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Props1.xml><?xml version="1.0" encoding="utf-8"?>
<ds:datastoreItem xmlns:ds="http://schemas.openxmlformats.org/officeDocument/2006/customXml" ds:itemID="{C4686237-ED9B-41C9-941C-377B8DFB0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E51D1-465A-464C-9E0C-E3935DAA2EAF}"/>
</file>

<file path=customXml/itemProps3.xml><?xml version="1.0" encoding="utf-8"?>
<ds:datastoreItem xmlns:ds="http://schemas.openxmlformats.org/officeDocument/2006/customXml" ds:itemID="{4E000FBC-19E0-4D2E-AE88-14E2F0A2AB6F}"/>
</file>

<file path=customXml/itemProps4.xml><?xml version="1.0" encoding="utf-8"?>
<ds:datastoreItem xmlns:ds="http://schemas.openxmlformats.org/officeDocument/2006/customXml" ds:itemID="{36224D05-FE14-43BC-9168-B68DC8322920}"/>
</file>

<file path=customXml/itemProps5.xml><?xml version="1.0" encoding="utf-8"?>
<ds:datastoreItem xmlns:ds="http://schemas.openxmlformats.org/officeDocument/2006/customXml" ds:itemID="{77118B58-7C79-4A53-8C81-5CFEF2A9F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Rana</dc:creator>
  <cp:keywords/>
  <dc:description/>
  <cp:lastModifiedBy>Ritu Rana</cp:lastModifiedBy>
  <cp:revision>1</cp:revision>
  <dcterms:created xsi:type="dcterms:W3CDTF">2021-06-10T10:46:00Z</dcterms:created>
  <dcterms:modified xsi:type="dcterms:W3CDTF">2021-06-10T10:47:00Z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0x010100CC2484A6421C274C9C39142525F5A4F7</vt:lpwstr>
  </property>
</Properties>
</file>