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47A52" w14:textId="33C331A4" w:rsidR="000F1D58" w:rsidRPr="00EB30D7" w:rsidRDefault="004F383B" w:rsidP="004F383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B30D7">
        <w:rPr>
          <w:rFonts w:ascii="Times New Roman" w:hAnsi="Times New Roman" w:cs="Times New Roman"/>
          <w:b/>
          <w:bCs/>
          <w:sz w:val="28"/>
          <w:szCs w:val="28"/>
          <w:lang w:val="en-US"/>
        </w:rPr>
        <w:t>Suppl. File 2</w:t>
      </w:r>
    </w:p>
    <w:p w14:paraId="6254414F" w14:textId="3DB96934" w:rsidR="004F383B" w:rsidRDefault="004F383B" w:rsidP="004F383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4F383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Detection of IFN </w:t>
      </w:r>
      <w:r w:rsidRPr="004F383B">
        <w:rPr>
          <w:rFonts w:ascii="Symbol" w:hAnsi="Symbol" w:cs="Times New Roman"/>
          <w:b/>
          <w:bCs/>
          <w:sz w:val="28"/>
          <w:szCs w:val="28"/>
          <w:lang w:val="en-US"/>
        </w:rPr>
        <w:t>g</w:t>
      </w:r>
      <w:r w:rsidRPr="004F383B">
        <w:rPr>
          <w:rFonts w:ascii="Times New Roman" w:hAnsi="Times New Roman" w:cs="Times New Roman"/>
          <w:b/>
          <w:bCs/>
          <w:sz w:val="28"/>
          <w:szCs w:val="28"/>
          <w:lang w:val="en-US"/>
        </w:rPr>
        <w:t>-positive T cell pop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ulations: p</w:t>
      </w:r>
      <w:r w:rsidRPr="004F383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rotocol and gating strategy </w:t>
      </w:r>
    </w:p>
    <w:p w14:paraId="0D05C53D" w14:textId="77777777" w:rsidR="007A25F5" w:rsidRDefault="007A25F5" w:rsidP="004F383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576AAB6F" w14:textId="3A9EF00B" w:rsidR="007A25F5" w:rsidRDefault="007A25F5" w:rsidP="004F383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en-US"/>
        </w:rPr>
        <w:drawing>
          <wp:inline distT="0" distB="0" distL="0" distR="0" wp14:anchorId="7E6BAA96" wp14:editId="09AC9AC0">
            <wp:extent cx="6120130" cy="6455781"/>
            <wp:effectExtent l="0" t="0" r="127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455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A2960" w14:textId="0A7AF0D9" w:rsidR="007A25F5" w:rsidRDefault="007A25F5" w:rsidP="004F383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032F9F08" w14:textId="36DD8C4B" w:rsidR="004F383B" w:rsidRDefault="004F383B" w:rsidP="004F383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48BF8A07" w14:textId="06193C7E" w:rsidR="004F383B" w:rsidRDefault="004F383B" w:rsidP="004F383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27F1BFF6" w14:textId="7537BB6B" w:rsidR="004F383B" w:rsidRDefault="004F383B" w:rsidP="004F383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558FB173" w14:textId="29FD65C9" w:rsidR="007A25F5" w:rsidRDefault="007A25F5" w:rsidP="004F383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533CDCB3" w14:textId="129AB66E" w:rsidR="004F383B" w:rsidRDefault="004F383B" w:rsidP="004F383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en-US"/>
        </w:rPr>
        <w:lastRenderedPageBreak/>
        <w:drawing>
          <wp:inline distT="0" distB="0" distL="0" distR="0" wp14:anchorId="6F6236D2" wp14:editId="3EADF6E6">
            <wp:extent cx="6117590" cy="4235224"/>
            <wp:effectExtent l="0" t="0" r="381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7590" cy="4235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556603" w14:textId="4ED9B52B" w:rsidR="001D6A9F" w:rsidRDefault="001D6A9F" w:rsidP="008D775F">
      <w:pPr>
        <w:pStyle w:val="NormaleWeb"/>
        <w:spacing w:line="480" w:lineRule="auto"/>
        <w:jc w:val="both"/>
        <w:rPr>
          <w:bCs/>
          <w:lang w:val="en-US"/>
        </w:rPr>
      </w:pPr>
      <w:r w:rsidRPr="001D6A9F">
        <w:rPr>
          <w:rFonts w:eastAsiaTheme="minorHAnsi"/>
          <w:b/>
          <w:lang w:val="en-US"/>
        </w:rPr>
        <w:t>PCV2-specific, IFN-γ-positive T lymphocytes</w:t>
      </w:r>
      <w:r w:rsidRPr="001D6A9F">
        <w:rPr>
          <w:b/>
          <w:lang w:val="en-US"/>
        </w:rPr>
        <w:t xml:space="preserve">. </w:t>
      </w:r>
      <w:r w:rsidRPr="001D6A9F">
        <w:rPr>
          <w:rFonts w:eastAsia="+mn-ea"/>
          <w:bCs/>
          <w:kern w:val="24"/>
          <w:lang w:val="en-US"/>
        </w:rPr>
        <w:t xml:space="preserve"> PBMC of PCV2-vaccinated and/or infected pigs were grown over </w:t>
      </w:r>
      <w:r>
        <w:rPr>
          <w:rFonts w:eastAsia="+mn-ea"/>
          <w:bCs/>
          <w:kern w:val="24"/>
          <w:lang w:val="en-US"/>
        </w:rPr>
        <w:t>24 hours</w:t>
      </w:r>
      <w:r w:rsidRPr="001D6A9F">
        <w:rPr>
          <w:rFonts w:eastAsia="+mn-ea"/>
          <w:bCs/>
          <w:kern w:val="24"/>
          <w:lang w:val="en-US"/>
        </w:rPr>
        <w:t xml:space="preserve"> with and without purified, Baculovirus-expressed PCV2 capsid protein (2 </w:t>
      </w:r>
      <w:r w:rsidRPr="00EB30D7">
        <w:rPr>
          <w:rFonts w:ascii="Symbol" w:eastAsia="+mn-ea" w:hAnsi="Symbol"/>
          <w:bCs/>
          <w:kern w:val="24"/>
          <w:lang w:val="en-US"/>
        </w:rPr>
        <w:t>m</w:t>
      </w:r>
      <w:r w:rsidR="00EB30D7">
        <w:rPr>
          <w:rFonts w:eastAsia="+mn-ea"/>
          <w:bCs/>
          <w:kern w:val="24"/>
          <w:lang w:val="en-US"/>
        </w:rPr>
        <w:t>g</w:t>
      </w:r>
      <w:r w:rsidRPr="001D6A9F">
        <w:rPr>
          <w:rFonts w:eastAsia="+mn-ea"/>
          <w:bCs/>
          <w:kern w:val="24"/>
          <w:lang w:val="en-US"/>
        </w:rPr>
        <w:t xml:space="preserve">/mL). Different aliquots of </w:t>
      </w:r>
      <w:r w:rsidR="009D36B1">
        <w:rPr>
          <w:rFonts w:eastAsia="+mn-ea"/>
          <w:bCs/>
          <w:kern w:val="24"/>
          <w:lang w:val="en-US"/>
        </w:rPr>
        <w:t xml:space="preserve">PCV2-stimulated and control </w:t>
      </w:r>
      <w:r w:rsidRPr="001D6A9F">
        <w:rPr>
          <w:rFonts w:eastAsia="+mn-ea"/>
          <w:bCs/>
          <w:kern w:val="24"/>
          <w:lang w:val="en-US"/>
        </w:rPr>
        <w:t>cells were surface-stained with monoclonal antibodies to porcine CD4, CD8</w:t>
      </w:r>
      <w:r w:rsidRPr="001D6A9F">
        <w:rPr>
          <w:rFonts w:ascii="Symbol" w:eastAsia="+mn-ea" w:hAnsi="Symbol"/>
          <w:bCs/>
          <w:kern w:val="24"/>
          <w:lang w:val="en-US"/>
        </w:rPr>
        <w:t>a</w:t>
      </w:r>
      <w:r w:rsidRPr="001D6A9F">
        <w:rPr>
          <w:rFonts w:eastAsia="+mn-ea"/>
          <w:bCs/>
          <w:kern w:val="24"/>
          <w:lang w:val="en-US"/>
        </w:rPr>
        <w:t>, CD8</w:t>
      </w:r>
      <w:r w:rsidRPr="001D6A9F">
        <w:rPr>
          <w:rFonts w:ascii="Symbol" w:eastAsia="+mn-ea" w:hAnsi="Symbol"/>
          <w:bCs/>
          <w:kern w:val="24"/>
          <w:lang w:val="en-US"/>
        </w:rPr>
        <w:t>b</w:t>
      </w:r>
      <w:r w:rsidRPr="001D6A9F">
        <w:rPr>
          <w:rFonts w:eastAsia="+mn-ea"/>
          <w:bCs/>
          <w:kern w:val="24"/>
          <w:lang w:val="en-US"/>
        </w:rPr>
        <w:t xml:space="preserve"> and T cell Receptor (</w:t>
      </w:r>
      <w:proofErr w:type="spellStart"/>
      <w:r w:rsidRPr="001D6A9F">
        <w:rPr>
          <w:rFonts w:eastAsia="+mn-ea"/>
          <w:bCs/>
          <w:kern w:val="24"/>
          <w:lang w:val="en-US"/>
        </w:rPr>
        <w:t>TcR</w:t>
      </w:r>
      <w:proofErr w:type="spellEnd"/>
      <w:r w:rsidRPr="001D6A9F">
        <w:rPr>
          <w:rFonts w:eastAsia="+mn-ea"/>
          <w:bCs/>
          <w:kern w:val="24"/>
          <w:lang w:val="en-US"/>
        </w:rPr>
        <w:t xml:space="preserve">) </w:t>
      </w:r>
      <w:r w:rsidRPr="001D6A9F">
        <w:rPr>
          <w:rFonts w:ascii="Symbol" w:eastAsia="+mn-ea" w:hAnsi="Symbol"/>
          <w:bCs/>
          <w:kern w:val="24"/>
          <w:lang w:val="en-US"/>
        </w:rPr>
        <w:t xml:space="preserve">g/d, </w:t>
      </w:r>
      <w:r w:rsidRPr="001D6A9F">
        <w:rPr>
          <w:rFonts w:eastAsia="+mn-ea"/>
          <w:bCs/>
          <w:kern w:val="24"/>
          <w:lang w:val="en-US"/>
        </w:rPr>
        <w:t xml:space="preserve">respectively, followed by </w:t>
      </w:r>
      <w:r w:rsidRPr="001D6A9F">
        <w:rPr>
          <w:lang w:val="en-US"/>
        </w:rPr>
        <w:t>Alexa Fluor® 488 F(ab')</w:t>
      </w:r>
      <w:r w:rsidRPr="001D6A9F">
        <w:rPr>
          <w:vertAlign w:val="subscript"/>
          <w:lang w:val="en-US"/>
        </w:rPr>
        <w:t>2</w:t>
      </w:r>
      <w:r w:rsidRPr="001D6A9F">
        <w:rPr>
          <w:lang w:val="en-US"/>
        </w:rPr>
        <w:t xml:space="preserve"> fragment of goat, anti-mouse IgG, IgM (H+L). Next, cells were fixed, permeabilized and stained with </w:t>
      </w:r>
      <w:proofErr w:type="spellStart"/>
      <w:r w:rsidR="003F32AF">
        <w:rPr>
          <w:lang w:val="en-US"/>
        </w:rPr>
        <w:t>mAb</w:t>
      </w:r>
      <w:proofErr w:type="spellEnd"/>
      <w:r w:rsidR="003F32AF">
        <w:rPr>
          <w:lang w:val="en-US"/>
        </w:rPr>
        <w:t xml:space="preserve"> </w:t>
      </w:r>
      <w:r w:rsidR="00B85551">
        <w:rPr>
          <w:lang w:val="en-US"/>
        </w:rPr>
        <w:t xml:space="preserve">CC302 </w:t>
      </w:r>
      <w:r w:rsidRPr="001D6A9F">
        <w:rPr>
          <w:lang w:val="en-US"/>
        </w:rPr>
        <w:t xml:space="preserve">to </w:t>
      </w:r>
      <w:r w:rsidRPr="003F32AF">
        <w:rPr>
          <w:lang w:val="en-US"/>
        </w:rPr>
        <w:t>porcine IFN-</w:t>
      </w:r>
      <w:r w:rsidRPr="003F32AF">
        <w:rPr>
          <w:rFonts w:ascii="Symbol" w:hAnsi="Symbol"/>
          <w:lang w:val="en-US"/>
        </w:rPr>
        <w:t>g</w:t>
      </w:r>
      <w:r w:rsidRPr="003F32AF">
        <w:rPr>
          <w:lang w:val="en-US"/>
        </w:rPr>
        <w:t xml:space="preserve"> </w:t>
      </w:r>
      <w:r w:rsidRPr="001D6A9F">
        <w:rPr>
          <w:lang w:val="en-US"/>
        </w:rPr>
        <w:t>(B</w:t>
      </w:r>
      <w:r w:rsidR="00B85551">
        <w:rPr>
          <w:lang w:val="en-US"/>
        </w:rPr>
        <w:t>IO-RAD, code MCA 1783</w:t>
      </w:r>
      <w:r w:rsidRPr="001D6A9F">
        <w:rPr>
          <w:lang w:val="en-US"/>
        </w:rPr>
        <w:t>)</w:t>
      </w:r>
      <w:r w:rsidR="00B85551">
        <w:rPr>
          <w:lang w:val="en-US"/>
        </w:rPr>
        <w:t xml:space="preserve">, conjugated with </w:t>
      </w:r>
      <w:r w:rsidR="008D775F">
        <w:rPr>
          <w:lang w:val="en-US"/>
        </w:rPr>
        <w:t>PE-Cy5.5 (</w:t>
      </w:r>
      <w:r w:rsidR="008D775F" w:rsidRPr="008D775F">
        <w:rPr>
          <w:rFonts w:eastAsiaTheme="minorHAnsi"/>
          <w:lang w:val="en-US" w:eastAsia="en-US"/>
        </w:rPr>
        <w:t>Lightning-Link PE-Cy5.5 Antibody Labeling Kit</w:t>
      </w:r>
      <w:r w:rsidR="008D775F">
        <w:rPr>
          <w:lang w:val="en-US"/>
        </w:rPr>
        <w:t xml:space="preserve">, code </w:t>
      </w:r>
      <w:r w:rsidR="008D775F" w:rsidRPr="008D775F">
        <w:rPr>
          <w:rFonts w:eastAsiaTheme="minorHAnsi"/>
          <w:lang w:val="en-US" w:eastAsia="en-US"/>
        </w:rPr>
        <w:t>761-0010</w:t>
      </w:r>
      <w:r w:rsidR="008D775F">
        <w:rPr>
          <w:rFonts w:eastAsiaTheme="minorHAnsi"/>
          <w:lang w:val="en-US" w:eastAsia="en-US"/>
        </w:rPr>
        <w:t xml:space="preserve">, </w:t>
      </w:r>
      <w:r w:rsidR="008D775F" w:rsidRPr="008D775F">
        <w:rPr>
          <w:rFonts w:eastAsiaTheme="minorHAnsi"/>
          <w:lang w:val="en-US" w:eastAsia="en-US"/>
        </w:rPr>
        <w:t>Novus Biologicals Europe</w:t>
      </w:r>
      <w:r w:rsidR="008D775F">
        <w:rPr>
          <w:rFonts w:eastAsiaTheme="minorHAnsi"/>
          <w:lang w:val="en-US" w:eastAsia="en-US"/>
        </w:rPr>
        <w:t xml:space="preserve">, Abingdon, UK).  </w:t>
      </w:r>
      <w:r w:rsidRPr="001D6A9F">
        <w:rPr>
          <w:rFonts w:eastAsia="Arial Unicode MS"/>
          <w:lang w:val="en-US"/>
        </w:rPr>
        <w:t xml:space="preserve">Cells were gated </w:t>
      </w:r>
      <w:r w:rsidR="00845FA4">
        <w:rPr>
          <w:rFonts w:eastAsia="Arial Unicode MS"/>
          <w:lang w:val="en-US"/>
        </w:rPr>
        <w:t xml:space="preserve">(Panel A) </w:t>
      </w:r>
      <w:r w:rsidRPr="001D6A9F">
        <w:rPr>
          <w:rFonts w:eastAsia="Arial Unicode MS"/>
          <w:lang w:val="en-US"/>
        </w:rPr>
        <w:t xml:space="preserve">by a combination of forward and side scatter (A). </w:t>
      </w:r>
      <w:r w:rsidRPr="001D6A9F">
        <w:rPr>
          <w:lang w:val="en-US"/>
        </w:rPr>
        <w:t xml:space="preserve">Next, doublet and </w:t>
      </w:r>
      <w:proofErr w:type="spellStart"/>
      <w:r w:rsidRPr="001D6A9F">
        <w:rPr>
          <w:lang w:val="en-US"/>
        </w:rPr>
        <w:t>multiplet</w:t>
      </w:r>
      <w:proofErr w:type="spellEnd"/>
      <w:r w:rsidRPr="001D6A9F">
        <w:rPr>
          <w:lang w:val="en-US"/>
        </w:rPr>
        <w:t xml:space="preserve"> cells were discriminated from single cells in a FSC height / FSC area cytogram (B). </w:t>
      </w:r>
      <w:r w:rsidRPr="001D6A9F">
        <w:rPr>
          <w:rFonts w:eastAsia="Arial Unicode MS"/>
          <w:lang w:val="en-US"/>
        </w:rPr>
        <w:t xml:space="preserve">After selecting T lymphocyte populations in a SSC x green fluorescence cytogram (C), viable cells were </w:t>
      </w:r>
      <w:r w:rsidR="003E404E">
        <w:rPr>
          <w:rFonts w:eastAsia="Arial Unicode MS"/>
          <w:lang w:val="en-US"/>
        </w:rPr>
        <w:t xml:space="preserve">further </w:t>
      </w:r>
      <w:r w:rsidRPr="001D6A9F">
        <w:rPr>
          <w:rFonts w:eastAsia="Arial Unicode MS"/>
          <w:lang w:val="en-US"/>
        </w:rPr>
        <w:t>selected in a FSC x green fluorescence cytogram</w:t>
      </w:r>
      <w:r w:rsidR="00241134">
        <w:rPr>
          <w:rFonts w:eastAsia="Arial Unicode MS"/>
          <w:lang w:val="en-US"/>
        </w:rPr>
        <w:t xml:space="preserve"> as previously described </w:t>
      </w:r>
      <w:r w:rsidR="004E3487">
        <w:rPr>
          <w:rFonts w:eastAsia="Arial Unicode MS"/>
          <w:lang w:val="en-US"/>
        </w:rPr>
        <w:t>(</w:t>
      </w:r>
      <w:proofErr w:type="spellStart"/>
      <w:r w:rsidR="004E3487">
        <w:rPr>
          <w:rFonts w:eastAsia="Arial Unicode MS"/>
          <w:lang w:val="en-US"/>
        </w:rPr>
        <w:t>Walravens</w:t>
      </w:r>
      <w:proofErr w:type="spellEnd"/>
      <w:r w:rsidR="004E3487">
        <w:rPr>
          <w:rFonts w:eastAsia="Arial Unicode MS"/>
          <w:lang w:val="en-US"/>
        </w:rPr>
        <w:t xml:space="preserve"> et al., 2002)</w:t>
      </w:r>
      <w:r w:rsidRPr="001D6A9F">
        <w:rPr>
          <w:rFonts w:eastAsia="Arial Unicode MS"/>
          <w:lang w:val="en-US"/>
        </w:rPr>
        <w:t xml:space="preserve">. Finally, </w:t>
      </w:r>
      <w:r w:rsidR="00FE1E95">
        <w:rPr>
          <w:rFonts w:eastAsia="Arial Unicode MS"/>
          <w:lang w:val="en-US"/>
        </w:rPr>
        <w:t xml:space="preserve">such </w:t>
      </w:r>
      <w:r w:rsidRPr="001D6A9F">
        <w:rPr>
          <w:rFonts w:eastAsia="Arial Unicode MS"/>
          <w:lang w:val="en-US"/>
        </w:rPr>
        <w:t>viable cells were checked for expression of IFN-</w:t>
      </w:r>
      <w:r w:rsidRPr="001D6A9F">
        <w:rPr>
          <w:rFonts w:eastAsia="Arial Unicode MS"/>
        </w:rPr>
        <w:t>γ</w:t>
      </w:r>
      <w:r w:rsidRPr="001D6A9F">
        <w:rPr>
          <w:rFonts w:eastAsia="Arial Unicode MS"/>
          <w:lang w:val="en-US"/>
        </w:rPr>
        <w:t xml:space="preserve"> in a green x </w:t>
      </w:r>
      <w:r w:rsidR="008D775F">
        <w:rPr>
          <w:rFonts w:eastAsia="Arial Unicode MS"/>
          <w:lang w:val="en-US"/>
        </w:rPr>
        <w:t>red</w:t>
      </w:r>
      <w:r w:rsidRPr="001D6A9F">
        <w:rPr>
          <w:rFonts w:eastAsia="Arial Unicode MS"/>
          <w:lang w:val="en-US"/>
        </w:rPr>
        <w:t xml:space="preserve"> fluorescence cytogram</w:t>
      </w:r>
      <w:r w:rsidR="008D775F">
        <w:rPr>
          <w:rFonts w:eastAsia="Arial Unicode MS"/>
          <w:lang w:val="en-US"/>
        </w:rPr>
        <w:t xml:space="preserve"> (Panel B)</w:t>
      </w:r>
      <w:r w:rsidRPr="001D6A9F">
        <w:rPr>
          <w:rFonts w:eastAsia="Arial Unicode MS"/>
          <w:lang w:val="en-US"/>
        </w:rPr>
        <w:t xml:space="preserve">. </w:t>
      </w:r>
      <w:r w:rsidRPr="001D6A9F">
        <w:rPr>
          <w:bCs/>
          <w:lang w:val="en-US"/>
        </w:rPr>
        <w:t xml:space="preserve">The prevalence of </w:t>
      </w:r>
      <w:r w:rsidRPr="006B622D">
        <w:rPr>
          <w:bCs/>
          <w:lang w:val="en-US"/>
        </w:rPr>
        <w:t xml:space="preserve">IFN </w:t>
      </w:r>
      <w:r w:rsidRPr="006B622D">
        <w:rPr>
          <w:rFonts w:ascii="Symbol" w:hAnsi="Symbol"/>
          <w:bCs/>
          <w:lang w:val="en-US"/>
        </w:rPr>
        <w:t>g</w:t>
      </w:r>
      <w:r w:rsidRPr="006B622D">
        <w:rPr>
          <w:bCs/>
          <w:lang w:val="en-US"/>
        </w:rPr>
        <w:t>-</w:t>
      </w:r>
      <w:r w:rsidRPr="006B622D">
        <w:rPr>
          <w:bCs/>
          <w:lang w:val="en-US"/>
        </w:rPr>
        <w:lastRenderedPageBreak/>
        <w:t xml:space="preserve">positive </w:t>
      </w:r>
      <w:r w:rsidRPr="001D6A9F">
        <w:rPr>
          <w:bCs/>
          <w:lang w:val="en-US"/>
        </w:rPr>
        <w:t>in ORF2</w:t>
      </w:r>
      <w:r w:rsidR="002109EB">
        <w:rPr>
          <w:bCs/>
          <w:lang w:val="en-US"/>
        </w:rPr>
        <w:t xml:space="preserve"> antigen</w:t>
      </w:r>
      <w:r w:rsidRPr="001D6A9F">
        <w:rPr>
          <w:bCs/>
          <w:lang w:val="en-US"/>
        </w:rPr>
        <w:t xml:space="preserve">/stimulated and control cultures was investigated by Fisher’s exact test. To define a positive response, the adopted threshold </w:t>
      </w:r>
      <w:r w:rsidR="003C0F3A">
        <w:rPr>
          <w:bCs/>
          <w:lang w:val="en-US"/>
        </w:rPr>
        <w:t>amounted to</w:t>
      </w:r>
      <w:r w:rsidRPr="001D6A9F">
        <w:rPr>
          <w:bCs/>
          <w:lang w:val="en-US"/>
        </w:rPr>
        <w:t xml:space="preserve"> a 0.8% difference </w:t>
      </w:r>
      <w:r w:rsidR="00534674">
        <w:rPr>
          <w:bCs/>
          <w:lang w:val="en-US"/>
        </w:rPr>
        <w:t xml:space="preserve">in prevalence </w:t>
      </w:r>
      <w:r w:rsidRPr="001D6A9F">
        <w:rPr>
          <w:bCs/>
          <w:lang w:val="en-US"/>
        </w:rPr>
        <w:t>between ORF2</w:t>
      </w:r>
      <w:r w:rsidR="004B1809">
        <w:rPr>
          <w:bCs/>
          <w:lang w:val="en-US"/>
        </w:rPr>
        <w:t xml:space="preserve"> antigen</w:t>
      </w:r>
      <w:r w:rsidRPr="001D6A9F">
        <w:rPr>
          <w:bCs/>
          <w:lang w:val="en-US"/>
        </w:rPr>
        <w:t>-stimulated and control T cells, which corresponds to P&lt; 0.05 (significance threshold)</w:t>
      </w:r>
      <w:r w:rsidR="004B1809">
        <w:rPr>
          <w:bCs/>
          <w:lang w:val="en-US"/>
        </w:rPr>
        <w:t xml:space="preserve"> </w:t>
      </w:r>
      <w:r w:rsidR="004B1809" w:rsidRPr="001D6A9F">
        <w:rPr>
          <w:bCs/>
          <w:lang w:val="en-US"/>
        </w:rPr>
        <w:t>for 5,000 cells examined on average</w:t>
      </w:r>
      <w:r w:rsidRPr="001D6A9F">
        <w:rPr>
          <w:bCs/>
          <w:lang w:val="en-US"/>
        </w:rPr>
        <w:t xml:space="preserve">. </w:t>
      </w:r>
      <w:r w:rsidR="004B1809">
        <w:rPr>
          <w:bCs/>
          <w:lang w:val="en-US"/>
        </w:rPr>
        <w:t xml:space="preserve"> </w:t>
      </w:r>
    </w:p>
    <w:p w14:paraId="0B54A1DB" w14:textId="77777777" w:rsidR="004E3487" w:rsidRPr="00A97C2E" w:rsidRDefault="004E3487" w:rsidP="004E3487">
      <w:pPr>
        <w:pStyle w:val="NormaleWeb"/>
        <w:spacing w:line="480" w:lineRule="auto"/>
        <w:rPr>
          <w:lang w:val="en-US"/>
        </w:rPr>
      </w:pPr>
      <w:proofErr w:type="spellStart"/>
      <w:r w:rsidRPr="00A97C2E">
        <w:rPr>
          <w:lang w:val="en-US"/>
        </w:rPr>
        <w:t>Walravens</w:t>
      </w:r>
      <w:proofErr w:type="spellEnd"/>
      <w:r w:rsidRPr="00A97C2E">
        <w:rPr>
          <w:lang w:val="en-US"/>
        </w:rPr>
        <w:t xml:space="preserve"> K, </w:t>
      </w:r>
      <w:proofErr w:type="spellStart"/>
      <w:r w:rsidRPr="00A97C2E">
        <w:rPr>
          <w:lang w:val="en-US"/>
        </w:rPr>
        <w:t>Wellemans</w:t>
      </w:r>
      <w:proofErr w:type="spellEnd"/>
      <w:r w:rsidRPr="00A97C2E">
        <w:rPr>
          <w:lang w:val="en-US"/>
        </w:rPr>
        <w:t xml:space="preserve"> V, </w:t>
      </w:r>
      <w:proofErr w:type="spellStart"/>
      <w:r w:rsidRPr="00A97C2E">
        <w:rPr>
          <w:lang w:val="en-US"/>
        </w:rPr>
        <w:t>Weynants</w:t>
      </w:r>
      <w:proofErr w:type="spellEnd"/>
      <w:r w:rsidRPr="00A97C2E">
        <w:rPr>
          <w:lang w:val="en-US"/>
        </w:rPr>
        <w:t xml:space="preserve"> V, </w:t>
      </w:r>
      <w:proofErr w:type="spellStart"/>
      <w:r w:rsidRPr="00A97C2E">
        <w:rPr>
          <w:lang w:val="en-US"/>
        </w:rPr>
        <w:t>Boelaert</w:t>
      </w:r>
      <w:proofErr w:type="spellEnd"/>
      <w:r w:rsidRPr="00A97C2E">
        <w:rPr>
          <w:lang w:val="en-US"/>
        </w:rPr>
        <w:t xml:space="preserve"> F, </w:t>
      </w:r>
      <w:proofErr w:type="spellStart"/>
      <w:r w:rsidRPr="00A97C2E">
        <w:rPr>
          <w:lang w:val="en-US"/>
        </w:rPr>
        <w:t>deBergeyck</w:t>
      </w:r>
      <w:proofErr w:type="spellEnd"/>
      <w:r w:rsidRPr="00A97C2E">
        <w:rPr>
          <w:lang w:val="en-US"/>
        </w:rPr>
        <w:t xml:space="preserve"> V, </w:t>
      </w:r>
      <w:proofErr w:type="spellStart"/>
      <w:r w:rsidRPr="00A97C2E">
        <w:rPr>
          <w:lang w:val="en-US"/>
        </w:rPr>
        <w:t>Letesson</w:t>
      </w:r>
      <w:proofErr w:type="spellEnd"/>
      <w:r w:rsidRPr="00A97C2E">
        <w:rPr>
          <w:lang w:val="en-US"/>
        </w:rPr>
        <w:t xml:space="preserve"> JJ, et al. Analysis of the antigen-specific IFN-gamma producing T-cell subsets in cattle experimentally infected with Mycobacterium </w:t>
      </w:r>
      <w:proofErr w:type="spellStart"/>
      <w:r w:rsidRPr="00A97C2E">
        <w:rPr>
          <w:lang w:val="en-US"/>
        </w:rPr>
        <w:t>bovis</w:t>
      </w:r>
      <w:proofErr w:type="spellEnd"/>
      <w:r w:rsidRPr="00A97C2E">
        <w:rPr>
          <w:lang w:val="en-US"/>
        </w:rPr>
        <w:t xml:space="preserve">. Vet Immunol </w:t>
      </w:r>
      <w:proofErr w:type="spellStart"/>
      <w:r w:rsidRPr="00A97C2E">
        <w:rPr>
          <w:lang w:val="en-US"/>
        </w:rPr>
        <w:t>Immunopathol</w:t>
      </w:r>
      <w:proofErr w:type="spellEnd"/>
      <w:r w:rsidRPr="00A97C2E">
        <w:rPr>
          <w:lang w:val="en-US"/>
        </w:rPr>
        <w:t xml:space="preserve"> 2002 Jan 1;84(1-2):29-41.</w:t>
      </w:r>
    </w:p>
    <w:p w14:paraId="67C22679" w14:textId="5DFBEA3B" w:rsidR="004E3487" w:rsidRDefault="004E3487" w:rsidP="008D775F">
      <w:pPr>
        <w:pStyle w:val="NormaleWeb"/>
        <w:spacing w:line="480" w:lineRule="auto"/>
        <w:jc w:val="both"/>
        <w:rPr>
          <w:bCs/>
          <w:lang w:val="en-US"/>
        </w:rPr>
      </w:pPr>
    </w:p>
    <w:p w14:paraId="2455D18C" w14:textId="77777777" w:rsidR="004E3487" w:rsidRPr="001D6A9F" w:rsidRDefault="004E3487" w:rsidP="008D775F">
      <w:pPr>
        <w:pStyle w:val="NormaleWeb"/>
        <w:spacing w:line="480" w:lineRule="auto"/>
        <w:jc w:val="both"/>
        <w:rPr>
          <w:b/>
          <w:bCs/>
          <w:sz w:val="28"/>
          <w:szCs w:val="28"/>
          <w:lang w:val="en-US"/>
        </w:rPr>
      </w:pPr>
    </w:p>
    <w:sectPr w:rsidR="004E3487" w:rsidRPr="001D6A9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+mn-ea">
    <w:panose1 w:val="020B0604020202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83B"/>
    <w:rsid w:val="0003449A"/>
    <w:rsid w:val="000F1D58"/>
    <w:rsid w:val="001D6A9F"/>
    <w:rsid w:val="002109EB"/>
    <w:rsid w:val="00222939"/>
    <w:rsid w:val="00241134"/>
    <w:rsid w:val="00255ACE"/>
    <w:rsid w:val="00300B4F"/>
    <w:rsid w:val="003C0F3A"/>
    <w:rsid w:val="003E404E"/>
    <w:rsid w:val="003F32AF"/>
    <w:rsid w:val="004B1809"/>
    <w:rsid w:val="004E3487"/>
    <w:rsid w:val="004F383B"/>
    <w:rsid w:val="00534674"/>
    <w:rsid w:val="006B622D"/>
    <w:rsid w:val="007A25F5"/>
    <w:rsid w:val="00845FA4"/>
    <w:rsid w:val="008D775F"/>
    <w:rsid w:val="009C2A51"/>
    <w:rsid w:val="009D36B1"/>
    <w:rsid w:val="00A272F1"/>
    <w:rsid w:val="00B85551"/>
    <w:rsid w:val="00EB30D7"/>
    <w:rsid w:val="00FE1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B82E2"/>
  <w15:chartTrackingRefBased/>
  <w15:docId w15:val="{AC7844C7-3B50-5C48-B843-7F4B51C74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9C2A5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2411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0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8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05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83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57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9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46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52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BA02C81-73DB-A641-8786-6C065B3129C1}">
  <we:reference id="wa104380122" version="2.1.0.1" store="en-001" storeType="OMEX"/>
  <we:alternateReferences>
    <we:reference id="WA104380122" version="2.1.0.1" store="" storeType="OMEX"/>
  </we:alternateReferences>
  <we:properties>
    <we:property name="citations" value="{}"/>
    <we:property name="currentStyle" value="{&quot;id&quot;:&quot;10763&quot;,&quot;styleType&quot;:&quot;refworks&quot;,&quot;name&quot;:&quot;cinzia viral immuno&quot;,&quot;isInstitutional&quot;:false,&quot;isSorted&quot;:false,&quot;usesNumbers&quot;:false}"/>
    <we:property name="rcm.version" value="2"/>
    <we:property name="rw.control.unlocked" value="true"/>
  </we:properties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Amadori</dc:creator>
  <cp:keywords/>
  <dc:description/>
  <cp:lastModifiedBy>Massimo Amadori</cp:lastModifiedBy>
  <cp:revision>24</cp:revision>
  <dcterms:created xsi:type="dcterms:W3CDTF">2021-02-25T08:35:00Z</dcterms:created>
  <dcterms:modified xsi:type="dcterms:W3CDTF">2021-07-21T09:41:00Z</dcterms:modified>
</cp:coreProperties>
</file>