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21502" w14:textId="4B73CA24" w:rsidR="00F55522" w:rsidRPr="00DC383A" w:rsidRDefault="00565566" w:rsidP="00DC383A">
      <w:pPr>
        <w:widowControl w:val="0"/>
        <w:autoSpaceDE w:val="0"/>
        <w:autoSpaceDN w:val="0"/>
        <w:adjustRightInd w:val="0"/>
        <w:spacing w:beforeLines="60" w:before="144" w:afterLines="60" w:after="144" w:line="360" w:lineRule="auto"/>
        <w:jc w:val="both"/>
        <w:rPr>
          <w:b/>
          <w:bCs/>
          <w:color w:val="000000" w:themeColor="text1"/>
          <w:lang w:val="en-US"/>
        </w:rPr>
      </w:pPr>
      <w:r w:rsidRPr="00DC383A">
        <w:rPr>
          <w:b/>
          <w:bCs/>
          <w:color w:val="000000" w:themeColor="text1"/>
          <w:lang w:val="en-US"/>
        </w:rPr>
        <w:t>Dissection</w:t>
      </w:r>
      <w:r w:rsidR="00F5352E" w:rsidRPr="00DC383A">
        <w:rPr>
          <w:b/>
          <w:bCs/>
          <w:color w:val="000000" w:themeColor="text1"/>
          <w:lang w:val="en-US"/>
        </w:rPr>
        <w:t xml:space="preserve"> of t</w:t>
      </w:r>
      <w:r w:rsidR="00F55522" w:rsidRPr="00DC383A">
        <w:rPr>
          <w:b/>
          <w:bCs/>
          <w:color w:val="000000" w:themeColor="text1"/>
          <w:lang w:val="en-US"/>
        </w:rPr>
        <w:t xml:space="preserve">he </w:t>
      </w:r>
      <w:r w:rsidR="00F5352E" w:rsidRPr="00DC383A">
        <w:rPr>
          <w:b/>
          <w:bCs/>
          <w:color w:val="000000" w:themeColor="text1"/>
          <w:lang w:val="en-US"/>
        </w:rPr>
        <w:t>regulatory elements of the c</w:t>
      </w:r>
      <w:r w:rsidR="00F55522" w:rsidRPr="00DC383A">
        <w:rPr>
          <w:b/>
          <w:bCs/>
          <w:color w:val="000000" w:themeColor="text1"/>
          <w:lang w:val="en-US"/>
        </w:rPr>
        <w:t xml:space="preserve">omplex </w:t>
      </w:r>
      <w:r w:rsidR="00F5352E" w:rsidRPr="00DC383A">
        <w:rPr>
          <w:b/>
          <w:bCs/>
          <w:color w:val="000000" w:themeColor="text1"/>
          <w:lang w:val="en-US"/>
        </w:rPr>
        <w:t>expression pattern of Puckered, a dual-specificity JNK phosphatase</w:t>
      </w:r>
    </w:p>
    <w:p w14:paraId="410EA9C5" w14:textId="4E8B96B0" w:rsidR="00F55522" w:rsidRPr="00DC383A" w:rsidRDefault="00F55522" w:rsidP="00DC383A">
      <w:pPr>
        <w:widowControl w:val="0"/>
        <w:autoSpaceDE w:val="0"/>
        <w:autoSpaceDN w:val="0"/>
        <w:adjustRightInd w:val="0"/>
        <w:spacing w:beforeLines="60" w:before="144" w:afterLines="60" w:after="144" w:line="360" w:lineRule="auto"/>
        <w:jc w:val="both"/>
        <w:rPr>
          <w:color w:val="000000" w:themeColor="text1"/>
          <w:lang w:val="es-ES"/>
        </w:rPr>
      </w:pPr>
      <w:r w:rsidRPr="00DC383A">
        <w:rPr>
          <w:color w:val="000000" w:themeColor="text1"/>
          <w:lang w:val="es-ES"/>
        </w:rPr>
        <w:t>Katerina Karkali and Enrique Martin-Blanco</w:t>
      </w:r>
      <w:r w:rsidR="00D916F5">
        <w:rPr>
          <w:color w:val="000000" w:themeColor="text1"/>
          <w:lang w:val="es-ES"/>
        </w:rPr>
        <w:t>*</w:t>
      </w:r>
    </w:p>
    <w:p w14:paraId="525B160C" w14:textId="20B17844" w:rsidR="00F5352E" w:rsidRPr="00DC383A" w:rsidRDefault="00F5352E" w:rsidP="00DC383A">
      <w:pPr>
        <w:widowControl w:val="0"/>
        <w:autoSpaceDE w:val="0"/>
        <w:autoSpaceDN w:val="0"/>
        <w:adjustRightInd w:val="0"/>
        <w:spacing w:beforeLines="60" w:before="144" w:afterLines="60" w:after="144" w:line="360" w:lineRule="auto"/>
        <w:jc w:val="both"/>
        <w:rPr>
          <w:color w:val="000000" w:themeColor="text1"/>
          <w:lang w:val="es-ES"/>
        </w:rPr>
      </w:pPr>
      <w:r w:rsidRPr="00DC383A">
        <w:rPr>
          <w:color w:val="000000" w:themeColor="text1"/>
          <w:lang w:val="es-ES"/>
        </w:rPr>
        <w:t xml:space="preserve">Instituto de </w:t>
      </w:r>
      <w:r w:rsidR="0076397D" w:rsidRPr="00DC383A">
        <w:rPr>
          <w:color w:val="000000" w:themeColor="text1"/>
          <w:lang w:val="es-ES"/>
        </w:rPr>
        <w:t>Biología</w:t>
      </w:r>
      <w:r w:rsidRPr="00DC383A">
        <w:rPr>
          <w:color w:val="000000" w:themeColor="text1"/>
          <w:lang w:val="es-ES"/>
        </w:rPr>
        <w:t xml:space="preserve"> Molecular de Barcelona (IBMB-CSIC)</w:t>
      </w:r>
    </w:p>
    <w:p w14:paraId="31680955" w14:textId="4DBD4F03" w:rsidR="00F5352E" w:rsidRPr="00DC383A" w:rsidRDefault="00F5352E" w:rsidP="00DC383A">
      <w:pPr>
        <w:widowControl w:val="0"/>
        <w:autoSpaceDE w:val="0"/>
        <w:autoSpaceDN w:val="0"/>
        <w:adjustRightInd w:val="0"/>
        <w:spacing w:beforeLines="60" w:before="144" w:afterLines="60" w:after="144" w:line="360" w:lineRule="auto"/>
        <w:jc w:val="both"/>
        <w:rPr>
          <w:color w:val="000000" w:themeColor="text1"/>
          <w:lang w:val="es-ES"/>
        </w:rPr>
      </w:pPr>
      <w:r w:rsidRPr="00DC383A">
        <w:rPr>
          <w:color w:val="000000" w:themeColor="text1"/>
          <w:lang w:val="es-ES"/>
        </w:rPr>
        <w:t>Parc Cientific de Barcelona, Baldiri Reixac 10-12</w:t>
      </w:r>
    </w:p>
    <w:p w14:paraId="728D0B8A" w14:textId="3F2A37DA" w:rsidR="00F5352E" w:rsidRPr="00DC383A" w:rsidRDefault="00F5352E" w:rsidP="00DC383A">
      <w:pPr>
        <w:widowControl w:val="0"/>
        <w:autoSpaceDE w:val="0"/>
        <w:autoSpaceDN w:val="0"/>
        <w:adjustRightInd w:val="0"/>
        <w:spacing w:beforeLines="60" w:before="144" w:afterLines="60" w:after="144" w:line="360" w:lineRule="auto"/>
        <w:jc w:val="both"/>
        <w:rPr>
          <w:color w:val="000000" w:themeColor="text1"/>
          <w:lang w:val="en-US"/>
        </w:rPr>
      </w:pPr>
      <w:r w:rsidRPr="00DC383A">
        <w:rPr>
          <w:color w:val="000000" w:themeColor="text1"/>
          <w:lang w:val="en-US"/>
        </w:rPr>
        <w:t>Barcelona 08028</w:t>
      </w:r>
    </w:p>
    <w:p w14:paraId="51AD72FF" w14:textId="7E9E9F9D" w:rsidR="00F5352E" w:rsidRPr="00DC383A" w:rsidRDefault="00F5352E" w:rsidP="00DC383A">
      <w:pPr>
        <w:widowControl w:val="0"/>
        <w:autoSpaceDE w:val="0"/>
        <w:autoSpaceDN w:val="0"/>
        <w:adjustRightInd w:val="0"/>
        <w:spacing w:beforeLines="60" w:before="144" w:afterLines="60" w:after="144" w:line="360" w:lineRule="auto"/>
        <w:jc w:val="both"/>
        <w:rPr>
          <w:color w:val="000000" w:themeColor="text1"/>
          <w:lang w:val="en-US"/>
        </w:rPr>
      </w:pPr>
      <w:r w:rsidRPr="00DC383A">
        <w:rPr>
          <w:color w:val="000000" w:themeColor="text1"/>
          <w:lang w:val="en-US"/>
        </w:rPr>
        <w:t>Spain</w:t>
      </w:r>
    </w:p>
    <w:p w14:paraId="40364EB9" w14:textId="5C20B89A" w:rsidR="00F55522" w:rsidRPr="00D916F5" w:rsidRDefault="00F55522" w:rsidP="00DC383A">
      <w:pPr>
        <w:widowControl w:val="0"/>
        <w:autoSpaceDE w:val="0"/>
        <w:autoSpaceDN w:val="0"/>
        <w:adjustRightInd w:val="0"/>
        <w:spacing w:beforeLines="60" w:before="144" w:afterLines="60" w:after="144" w:line="360" w:lineRule="auto"/>
        <w:jc w:val="both"/>
        <w:rPr>
          <w:color w:val="000000" w:themeColor="text1"/>
          <w:lang w:val="en-US"/>
        </w:rPr>
      </w:pPr>
    </w:p>
    <w:p w14:paraId="6E56D48B" w14:textId="367FEB85" w:rsidR="00D916F5" w:rsidRPr="00D916F5" w:rsidRDefault="00D916F5" w:rsidP="00DC383A">
      <w:pPr>
        <w:widowControl w:val="0"/>
        <w:autoSpaceDE w:val="0"/>
        <w:autoSpaceDN w:val="0"/>
        <w:adjustRightInd w:val="0"/>
        <w:spacing w:beforeLines="60" w:before="144" w:afterLines="60" w:after="144" w:line="360" w:lineRule="auto"/>
        <w:jc w:val="both"/>
        <w:rPr>
          <w:color w:val="000000" w:themeColor="text1"/>
          <w:lang w:val="en-US"/>
        </w:rPr>
      </w:pPr>
      <w:r w:rsidRPr="00D916F5">
        <w:rPr>
          <w:color w:val="000000" w:themeColor="text1"/>
          <w:lang w:val="en-US"/>
        </w:rPr>
        <w:t>* Corresponding author: embbmc@ibmb.csic.es</w:t>
      </w:r>
    </w:p>
    <w:p w14:paraId="30C36D59" w14:textId="6844D86E" w:rsidR="006B33AC" w:rsidRPr="00DC383A" w:rsidRDefault="00F5352E" w:rsidP="00EC6246">
      <w:pPr>
        <w:spacing w:beforeLines="60" w:before="144" w:afterLines="60" w:after="144" w:line="360" w:lineRule="auto"/>
        <w:jc w:val="both"/>
        <w:rPr>
          <w:color w:val="000000" w:themeColor="text1"/>
          <w:lang w:val="en-US"/>
        </w:rPr>
      </w:pPr>
      <w:r w:rsidRPr="00DC383A">
        <w:rPr>
          <w:b/>
          <w:bCs/>
          <w:color w:val="000000" w:themeColor="text1"/>
          <w:lang w:val="en-US"/>
        </w:rPr>
        <w:br w:type="page"/>
      </w:r>
    </w:p>
    <w:p w14:paraId="67890415" w14:textId="77777777" w:rsidR="00DA3688" w:rsidRPr="00DC383A" w:rsidRDefault="00DA3688" w:rsidP="00DC383A">
      <w:pPr>
        <w:autoSpaceDE w:val="0"/>
        <w:autoSpaceDN w:val="0"/>
        <w:adjustRightInd w:val="0"/>
        <w:spacing w:beforeLines="60" w:before="144" w:afterLines="60" w:after="144" w:line="360" w:lineRule="auto"/>
        <w:jc w:val="both"/>
        <w:rPr>
          <w:b/>
          <w:bCs/>
          <w:color w:val="000000" w:themeColor="text1"/>
          <w:lang w:val="en-US"/>
        </w:rPr>
      </w:pPr>
      <w:r w:rsidRPr="00DC383A">
        <w:rPr>
          <w:b/>
          <w:bCs/>
          <w:color w:val="000000" w:themeColor="text1"/>
          <w:lang w:val="en-US"/>
        </w:rPr>
        <w:lastRenderedPageBreak/>
        <w:t>SUPPLEMENTARY FIGURE LEGENDS</w:t>
      </w:r>
    </w:p>
    <w:p w14:paraId="0E6E9111" w14:textId="77777777" w:rsidR="00DA3688" w:rsidRPr="00DC383A" w:rsidRDefault="00DA3688" w:rsidP="00DC383A">
      <w:pPr>
        <w:autoSpaceDE w:val="0"/>
        <w:autoSpaceDN w:val="0"/>
        <w:adjustRightInd w:val="0"/>
        <w:spacing w:beforeLines="60" w:before="144" w:afterLines="60" w:after="144" w:line="360" w:lineRule="auto"/>
        <w:jc w:val="both"/>
        <w:rPr>
          <w:color w:val="000000" w:themeColor="text1"/>
          <w:lang w:val="en-US"/>
        </w:rPr>
      </w:pPr>
    </w:p>
    <w:p w14:paraId="42C0012F" w14:textId="3F2F5A12" w:rsidR="00DA3688" w:rsidRPr="00DC383A" w:rsidRDefault="00DA3688" w:rsidP="00DC383A">
      <w:pPr>
        <w:autoSpaceDE w:val="0"/>
        <w:autoSpaceDN w:val="0"/>
        <w:adjustRightInd w:val="0"/>
        <w:spacing w:beforeLines="60" w:before="144" w:afterLines="60" w:after="144" w:line="360" w:lineRule="auto"/>
        <w:jc w:val="both"/>
        <w:rPr>
          <w:b/>
          <w:bCs/>
          <w:color w:val="000000" w:themeColor="text1"/>
          <w:lang w:val="en-US"/>
        </w:rPr>
      </w:pPr>
      <w:r w:rsidRPr="00DC383A">
        <w:rPr>
          <w:b/>
          <w:bCs/>
          <w:color w:val="000000" w:themeColor="text1"/>
          <w:lang w:val="en-US"/>
        </w:rPr>
        <w:t>Figure S1: PG2 CNS expression in larvae</w:t>
      </w:r>
    </w:p>
    <w:p w14:paraId="5AFA30E7" w14:textId="5D2EAE58" w:rsidR="00DA3688" w:rsidRPr="00DC383A" w:rsidRDefault="00DA3688" w:rsidP="00DC383A">
      <w:pPr>
        <w:autoSpaceDE w:val="0"/>
        <w:autoSpaceDN w:val="0"/>
        <w:adjustRightInd w:val="0"/>
        <w:spacing w:beforeLines="60" w:before="144" w:afterLines="60" w:after="144" w:line="360" w:lineRule="auto"/>
        <w:jc w:val="both"/>
        <w:rPr>
          <w:color w:val="000000" w:themeColor="text1"/>
          <w:lang w:val="en-US"/>
        </w:rPr>
      </w:pPr>
      <w:r w:rsidRPr="00DC383A">
        <w:rPr>
          <w:b/>
          <w:bCs/>
          <w:color w:val="000000" w:themeColor="text1"/>
          <w:lang w:val="en-US"/>
        </w:rPr>
        <w:t>A</w:t>
      </w:r>
      <w:r w:rsidRPr="00DC383A">
        <w:rPr>
          <w:color w:val="000000" w:themeColor="text1"/>
          <w:lang w:val="en-US"/>
        </w:rPr>
        <w:t xml:space="preserve">) General PG2-directed </w:t>
      </w:r>
      <w:r w:rsidR="00AA7656" w:rsidRPr="00DC383A">
        <w:rPr>
          <w:color w:val="000000" w:themeColor="text1"/>
          <w:lang w:val="en-US"/>
        </w:rPr>
        <w:t>expression</w:t>
      </w:r>
      <w:r w:rsidRPr="00DC383A">
        <w:rPr>
          <w:color w:val="000000" w:themeColor="text1"/>
          <w:lang w:val="en-US"/>
        </w:rPr>
        <w:t xml:space="preserve"> in glial cells (perineural/sub-perineural) decorating the overall surface of the thoracic ganglia and ventral segments (arrowhead) of a first instar larva.  It is also shown in scattered cells on the surface of the optic lobes (shaded in red).  Anterior is up.  Scale bar 50 µm.  </w:t>
      </w:r>
      <w:r w:rsidRPr="00DC383A">
        <w:rPr>
          <w:b/>
          <w:bCs/>
          <w:color w:val="000000" w:themeColor="text1"/>
          <w:lang w:val="en-US"/>
        </w:rPr>
        <w:t>B</w:t>
      </w:r>
      <w:r w:rsidRPr="00DC383A">
        <w:rPr>
          <w:color w:val="000000" w:themeColor="text1"/>
          <w:lang w:val="en-US"/>
        </w:rPr>
        <w:t xml:space="preserve">) transversal section across the abdominal segments from the image in </w:t>
      </w:r>
      <w:r w:rsidRPr="00DC383A">
        <w:rPr>
          <w:b/>
          <w:bCs/>
          <w:color w:val="000000" w:themeColor="text1"/>
          <w:lang w:val="en-US"/>
        </w:rPr>
        <w:t>A</w:t>
      </w:r>
      <w:r w:rsidRPr="00DC383A">
        <w:rPr>
          <w:color w:val="000000" w:themeColor="text1"/>
          <w:lang w:val="en-US"/>
        </w:rPr>
        <w:t xml:space="preserve">.  </w:t>
      </w:r>
      <w:r w:rsidR="00AA7656" w:rsidRPr="00DC383A">
        <w:rPr>
          <w:color w:val="000000" w:themeColor="text1"/>
          <w:lang w:val="en-US"/>
        </w:rPr>
        <w:t xml:space="preserve">The glial nuclei mostly localize at the ventral surface (arrowhead) but their cytoplasmic extensions cover the intercommissures and the whole surface of the VNC trunk.  </w:t>
      </w:r>
      <w:r w:rsidRPr="00DC383A">
        <w:rPr>
          <w:color w:val="000000" w:themeColor="text1"/>
          <w:lang w:val="en-US"/>
        </w:rPr>
        <w:t xml:space="preserve">Dorsal is up.  Scale bar 10 µm.  </w:t>
      </w:r>
      <w:r w:rsidRPr="00DC383A">
        <w:rPr>
          <w:b/>
          <w:bCs/>
          <w:color w:val="000000" w:themeColor="text1"/>
          <w:lang w:val="en-US"/>
        </w:rPr>
        <w:t>C</w:t>
      </w:r>
      <w:r w:rsidRPr="00DC383A">
        <w:rPr>
          <w:color w:val="000000" w:themeColor="text1"/>
          <w:lang w:val="en-US"/>
        </w:rPr>
        <w:t>) The optic lobe (shaded in red) of a PG2-expressing larvae is shown at high magnification.  Glial cells at its surface are highlighted (arrowheads).  Anterior is up.  Scale bar 10 µm.</w:t>
      </w:r>
    </w:p>
    <w:p w14:paraId="4B32FD09" w14:textId="77777777" w:rsidR="00DA3688" w:rsidRPr="00DC383A" w:rsidRDefault="00DA3688" w:rsidP="00DC383A">
      <w:pPr>
        <w:autoSpaceDE w:val="0"/>
        <w:autoSpaceDN w:val="0"/>
        <w:adjustRightInd w:val="0"/>
        <w:spacing w:beforeLines="60" w:before="144" w:afterLines="60" w:after="144" w:line="360" w:lineRule="auto"/>
        <w:jc w:val="both"/>
        <w:rPr>
          <w:color w:val="000000" w:themeColor="text1"/>
          <w:lang w:val="en-US"/>
        </w:rPr>
      </w:pPr>
    </w:p>
    <w:p w14:paraId="7E222A6B" w14:textId="77777777" w:rsidR="00DA3688" w:rsidRPr="00DC383A" w:rsidRDefault="00DA3688" w:rsidP="00DC383A">
      <w:pPr>
        <w:autoSpaceDE w:val="0"/>
        <w:autoSpaceDN w:val="0"/>
        <w:adjustRightInd w:val="0"/>
        <w:spacing w:beforeLines="60" w:before="144" w:afterLines="60" w:after="144" w:line="360" w:lineRule="auto"/>
        <w:jc w:val="both"/>
        <w:rPr>
          <w:b/>
          <w:color w:val="000000" w:themeColor="text1"/>
          <w:lang w:val="en-US"/>
        </w:rPr>
      </w:pPr>
      <w:r w:rsidRPr="00DC383A">
        <w:rPr>
          <w:b/>
          <w:color w:val="000000" w:themeColor="text1"/>
          <w:lang w:val="en-US"/>
        </w:rPr>
        <w:t>Figure S2: RS1-driven expression in embryonic and larval stages</w:t>
      </w:r>
    </w:p>
    <w:p w14:paraId="7FC23724" w14:textId="77777777" w:rsidR="00DA3688" w:rsidRPr="00DC383A" w:rsidRDefault="00DA3688" w:rsidP="00DC383A">
      <w:pPr>
        <w:autoSpaceDE w:val="0"/>
        <w:autoSpaceDN w:val="0"/>
        <w:adjustRightInd w:val="0"/>
        <w:spacing w:beforeLines="60" w:before="144" w:afterLines="60" w:after="144" w:line="360" w:lineRule="auto"/>
        <w:jc w:val="both"/>
        <w:rPr>
          <w:color w:val="000000" w:themeColor="text1"/>
          <w:lang w:val="en-US"/>
        </w:rPr>
      </w:pPr>
      <w:r w:rsidRPr="00DC383A">
        <w:rPr>
          <w:b/>
          <w:color w:val="000000" w:themeColor="text1"/>
          <w:lang w:val="en-US"/>
        </w:rPr>
        <w:t>A)</w:t>
      </w:r>
      <w:r w:rsidRPr="00DC383A">
        <w:rPr>
          <w:color w:val="000000" w:themeColor="text1"/>
          <w:lang w:val="en-US"/>
        </w:rPr>
        <w:t xml:space="preserve"> Dorsal view of a live stage 17 embryo expressing GFP under the control of the RS1 Gal4 line.  Expression is detected in some scattered epidermal cells and in two restricted groups at the anterior and posterior ends of the embryo (arrowheads).  Scale bar 100 µm.  </w:t>
      </w:r>
      <w:r w:rsidRPr="00DC383A">
        <w:rPr>
          <w:b/>
          <w:color w:val="000000" w:themeColor="text1"/>
          <w:lang w:val="en-US"/>
        </w:rPr>
        <w:t>B)</w:t>
      </w:r>
      <w:r w:rsidRPr="00DC383A">
        <w:rPr>
          <w:color w:val="000000" w:themeColor="text1"/>
          <w:lang w:val="en-US"/>
        </w:rPr>
        <w:t xml:space="preserve"> Lateral view of a dorsal-open stage 17, </w:t>
      </w:r>
      <w:r w:rsidRPr="00DC383A">
        <w:rPr>
          <w:i/>
          <w:color w:val="000000" w:themeColor="text1"/>
          <w:lang w:val="en-US"/>
        </w:rPr>
        <w:t>hep</w:t>
      </w:r>
      <w:r w:rsidRPr="00DC383A">
        <w:rPr>
          <w:color w:val="000000" w:themeColor="text1"/>
          <w:lang w:val="en-US"/>
        </w:rPr>
        <w:t xml:space="preserve"> null embryo showing RS1-driven GFP expression in an area around the posterior end and, ectopically, in the epidermis (arrowheads).  This expression is not observed in wild type embryos.  Scale bar 100 µm.</w:t>
      </w:r>
      <w:r w:rsidRPr="00DC383A">
        <w:rPr>
          <w:b/>
          <w:color w:val="000000" w:themeColor="text1"/>
          <w:lang w:val="en-US"/>
        </w:rPr>
        <w:t xml:space="preserve">  C </w:t>
      </w:r>
      <w:r w:rsidRPr="00DC383A">
        <w:rPr>
          <w:color w:val="000000" w:themeColor="text1"/>
          <w:lang w:val="en-US"/>
        </w:rPr>
        <w:t>and</w:t>
      </w:r>
      <w:r w:rsidRPr="00DC383A">
        <w:rPr>
          <w:b/>
          <w:color w:val="000000" w:themeColor="text1"/>
          <w:lang w:val="en-US"/>
        </w:rPr>
        <w:t xml:space="preserve"> D)</w:t>
      </w:r>
      <w:r w:rsidRPr="00DC383A">
        <w:rPr>
          <w:color w:val="000000" w:themeColor="text1"/>
          <w:lang w:val="en-US"/>
        </w:rPr>
        <w:t xml:space="preserve"> Dorsal (</w:t>
      </w:r>
      <w:r w:rsidRPr="00DC383A">
        <w:rPr>
          <w:b/>
          <w:color w:val="000000" w:themeColor="text1"/>
          <w:lang w:val="en-US"/>
        </w:rPr>
        <w:t>C</w:t>
      </w:r>
      <w:r w:rsidRPr="00DC383A">
        <w:rPr>
          <w:color w:val="000000" w:themeColor="text1"/>
          <w:lang w:val="en-US"/>
        </w:rPr>
        <w:t>) and lateral (</w:t>
      </w:r>
      <w:r w:rsidRPr="00DC383A">
        <w:rPr>
          <w:b/>
          <w:color w:val="000000" w:themeColor="text1"/>
          <w:lang w:val="en-US"/>
        </w:rPr>
        <w:t>D</w:t>
      </w:r>
      <w:r w:rsidRPr="00DC383A">
        <w:rPr>
          <w:color w:val="000000" w:themeColor="text1"/>
          <w:lang w:val="en-US"/>
        </w:rPr>
        <w:t>) views of a live third instar larva expressing GFP under the control of RS1.  The marker is expressed in a group of cells at the anterior end, at the posterior spiracles, scattered dorsal epidermal cells and the dorsal tracheal trunk (arrowheads).  Scale bar 400 µm.</w:t>
      </w:r>
    </w:p>
    <w:p w14:paraId="58CA4C0C" w14:textId="77777777" w:rsidR="00DA3688" w:rsidRPr="00DC383A" w:rsidRDefault="00DA3688" w:rsidP="00DC383A">
      <w:pPr>
        <w:autoSpaceDE w:val="0"/>
        <w:autoSpaceDN w:val="0"/>
        <w:adjustRightInd w:val="0"/>
        <w:spacing w:beforeLines="60" w:before="144" w:afterLines="60" w:after="144" w:line="360" w:lineRule="auto"/>
        <w:jc w:val="both"/>
        <w:rPr>
          <w:color w:val="000000" w:themeColor="text1"/>
          <w:lang w:val="en-US"/>
        </w:rPr>
      </w:pPr>
    </w:p>
    <w:p w14:paraId="63D45ED2" w14:textId="77777777" w:rsidR="00DA3688" w:rsidRPr="00DC383A" w:rsidRDefault="00DA3688" w:rsidP="00DC383A">
      <w:pPr>
        <w:autoSpaceDE w:val="0"/>
        <w:autoSpaceDN w:val="0"/>
        <w:adjustRightInd w:val="0"/>
        <w:spacing w:beforeLines="60" w:before="144" w:afterLines="60" w:after="144" w:line="360" w:lineRule="auto"/>
        <w:jc w:val="both"/>
        <w:rPr>
          <w:b/>
          <w:bCs/>
          <w:color w:val="000000" w:themeColor="text1"/>
          <w:lang w:val="en-US"/>
        </w:rPr>
      </w:pPr>
      <w:r w:rsidRPr="00DC383A">
        <w:rPr>
          <w:b/>
          <w:bCs/>
          <w:color w:val="000000" w:themeColor="text1"/>
          <w:lang w:val="en-US"/>
        </w:rPr>
        <w:t>Figure S3: PG3 is expressed in midline glia</w:t>
      </w:r>
    </w:p>
    <w:p w14:paraId="65467ECB" w14:textId="77777777" w:rsidR="00DA3688" w:rsidRPr="00DC383A" w:rsidRDefault="00DA3688" w:rsidP="00DC383A">
      <w:pPr>
        <w:autoSpaceDE w:val="0"/>
        <w:autoSpaceDN w:val="0"/>
        <w:adjustRightInd w:val="0"/>
        <w:spacing w:beforeLines="60" w:before="144" w:afterLines="60" w:after="144" w:line="360" w:lineRule="auto"/>
        <w:jc w:val="both"/>
        <w:rPr>
          <w:color w:val="000000" w:themeColor="text1"/>
          <w:lang w:val="en-US"/>
        </w:rPr>
      </w:pPr>
      <w:r w:rsidRPr="00DC383A">
        <w:rPr>
          <w:b/>
          <w:bCs/>
          <w:color w:val="000000" w:themeColor="text1"/>
          <w:lang w:val="en-US"/>
        </w:rPr>
        <w:t>A</w:t>
      </w:r>
      <w:r w:rsidRPr="00DC383A">
        <w:rPr>
          <w:color w:val="000000" w:themeColor="text1"/>
          <w:lang w:val="en-US"/>
        </w:rPr>
        <w:t xml:space="preserve"> and </w:t>
      </w:r>
      <w:r w:rsidRPr="00DC383A">
        <w:rPr>
          <w:b/>
          <w:bCs/>
          <w:color w:val="000000" w:themeColor="text1"/>
          <w:lang w:val="en-US"/>
        </w:rPr>
        <w:t>B</w:t>
      </w:r>
      <w:r w:rsidRPr="00DC383A">
        <w:rPr>
          <w:color w:val="000000" w:themeColor="text1"/>
          <w:lang w:val="en-US"/>
        </w:rPr>
        <w:t>) Flat preparation of embryos at stage 17 expressing GFP under the control of the PG3 Gal4 line.  Dorsal (</w:t>
      </w:r>
      <w:r w:rsidRPr="00DC383A">
        <w:rPr>
          <w:b/>
          <w:bCs/>
          <w:color w:val="000000" w:themeColor="text1"/>
          <w:lang w:val="en-US"/>
        </w:rPr>
        <w:t>A</w:t>
      </w:r>
      <w:r w:rsidRPr="00DC383A">
        <w:rPr>
          <w:color w:val="000000" w:themeColor="text1"/>
          <w:lang w:val="en-US"/>
        </w:rPr>
        <w:t>) and ventral (</w:t>
      </w:r>
      <w:r w:rsidRPr="00DC383A">
        <w:rPr>
          <w:b/>
          <w:bCs/>
          <w:color w:val="000000" w:themeColor="text1"/>
          <w:lang w:val="en-US"/>
        </w:rPr>
        <w:t>B</w:t>
      </w:r>
      <w:r w:rsidRPr="00DC383A">
        <w:rPr>
          <w:color w:val="000000" w:themeColor="text1"/>
          <w:lang w:val="en-US"/>
        </w:rPr>
        <w:t xml:space="preserve">) views of three segments of the ventral nerve cord (VNC) double stained with an anti-Repo antibody labelling most of the glial cells.  Arrowhead points to cells expressing GFP belonging to the midline glia.  Scale bar 10 µm.  Anterior is top.  </w:t>
      </w:r>
      <w:r w:rsidRPr="00DC383A">
        <w:rPr>
          <w:b/>
          <w:bCs/>
          <w:color w:val="000000" w:themeColor="text1"/>
          <w:lang w:val="en-US"/>
        </w:rPr>
        <w:t xml:space="preserve">C </w:t>
      </w:r>
      <w:r w:rsidRPr="00DC383A">
        <w:rPr>
          <w:color w:val="000000" w:themeColor="text1"/>
          <w:lang w:val="en-US"/>
        </w:rPr>
        <w:t>and</w:t>
      </w:r>
      <w:r w:rsidRPr="00DC383A">
        <w:rPr>
          <w:b/>
          <w:bCs/>
          <w:color w:val="000000" w:themeColor="text1"/>
          <w:lang w:val="en-US"/>
        </w:rPr>
        <w:t xml:space="preserve"> D</w:t>
      </w:r>
      <w:r w:rsidRPr="00DC383A">
        <w:rPr>
          <w:color w:val="000000" w:themeColor="text1"/>
          <w:lang w:val="en-US"/>
        </w:rPr>
        <w:t>) Frontal dorsal (</w:t>
      </w:r>
      <w:r w:rsidRPr="00DC383A">
        <w:rPr>
          <w:b/>
          <w:bCs/>
          <w:color w:val="000000" w:themeColor="text1"/>
          <w:lang w:val="en-US"/>
        </w:rPr>
        <w:t xml:space="preserve">C </w:t>
      </w:r>
      <w:r w:rsidRPr="00DC383A">
        <w:rPr>
          <w:color w:val="000000" w:themeColor="text1"/>
          <w:lang w:val="en-US"/>
        </w:rPr>
        <w:t>- anterior is up) and transverse view (</w:t>
      </w:r>
      <w:r w:rsidRPr="00DC383A">
        <w:rPr>
          <w:b/>
          <w:bCs/>
          <w:color w:val="000000" w:themeColor="text1"/>
          <w:lang w:val="en-US"/>
        </w:rPr>
        <w:t xml:space="preserve">D </w:t>
      </w:r>
      <w:r w:rsidRPr="00DC383A">
        <w:rPr>
          <w:color w:val="000000" w:themeColor="text1"/>
          <w:lang w:val="en-US"/>
        </w:rPr>
        <w:t xml:space="preserve">- dorsal is up) of first instar </w:t>
      </w:r>
      <w:r w:rsidRPr="00DC383A">
        <w:rPr>
          <w:color w:val="000000" w:themeColor="text1"/>
          <w:lang w:val="en-US"/>
        </w:rPr>
        <w:lastRenderedPageBreak/>
        <w:t xml:space="preserve">larvae preparations.  Shaded in red are the cell bodies of the dorsal midline glia and in yellow those of the ventral midline.  The arrowheads point to the massive expression observed in the tracheal branches penetrating the brain.  Scale bar 10 µm. </w:t>
      </w:r>
    </w:p>
    <w:p w14:paraId="5C7B3026" w14:textId="77777777" w:rsidR="00DA3688" w:rsidRPr="00DC383A" w:rsidRDefault="00DA3688" w:rsidP="00DC383A">
      <w:pPr>
        <w:autoSpaceDE w:val="0"/>
        <w:autoSpaceDN w:val="0"/>
        <w:adjustRightInd w:val="0"/>
        <w:spacing w:beforeLines="60" w:before="144" w:afterLines="60" w:after="144" w:line="360" w:lineRule="auto"/>
        <w:jc w:val="both"/>
        <w:rPr>
          <w:color w:val="000000" w:themeColor="text1"/>
          <w:lang w:val="en-US"/>
        </w:rPr>
      </w:pPr>
    </w:p>
    <w:p w14:paraId="7CF30C0D" w14:textId="77777777" w:rsidR="00DA3688" w:rsidRPr="00DC383A" w:rsidRDefault="00DA3688" w:rsidP="00DC383A">
      <w:pPr>
        <w:autoSpaceDE w:val="0"/>
        <w:autoSpaceDN w:val="0"/>
        <w:adjustRightInd w:val="0"/>
        <w:spacing w:beforeLines="60" w:before="144" w:afterLines="60" w:after="144" w:line="360" w:lineRule="auto"/>
        <w:jc w:val="both"/>
        <w:rPr>
          <w:b/>
          <w:bCs/>
          <w:color w:val="000000" w:themeColor="text1"/>
          <w:lang w:val="en-US"/>
        </w:rPr>
      </w:pPr>
      <w:r w:rsidRPr="00DC383A">
        <w:rPr>
          <w:b/>
          <w:bCs/>
          <w:color w:val="000000" w:themeColor="text1"/>
          <w:lang w:val="en-US"/>
        </w:rPr>
        <w:t>Figure S4: RS2 is expressed in both glia and neurons</w:t>
      </w:r>
    </w:p>
    <w:p w14:paraId="13223E4B" w14:textId="5E61C144" w:rsidR="00DA3688" w:rsidRPr="00DC383A" w:rsidRDefault="00DA3688" w:rsidP="00DC383A">
      <w:pPr>
        <w:autoSpaceDE w:val="0"/>
        <w:autoSpaceDN w:val="0"/>
        <w:adjustRightInd w:val="0"/>
        <w:spacing w:beforeLines="60" w:before="144" w:afterLines="60" w:after="144" w:line="360" w:lineRule="auto"/>
        <w:jc w:val="both"/>
        <w:rPr>
          <w:color w:val="000000" w:themeColor="text1"/>
          <w:lang w:val="en-US"/>
        </w:rPr>
      </w:pPr>
      <w:r w:rsidRPr="00DC383A">
        <w:rPr>
          <w:b/>
          <w:bCs/>
          <w:color w:val="000000" w:themeColor="text1"/>
          <w:lang w:val="en-US"/>
        </w:rPr>
        <w:t>A</w:t>
      </w:r>
      <w:r w:rsidRPr="00DC383A">
        <w:rPr>
          <w:color w:val="000000" w:themeColor="text1"/>
          <w:lang w:val="en-US"/>
        </w:rPr>
        <w:t xml:space="preserve"> to </w:t>
      </w:r>
      <w:r w:rsidRPr="00DC383A">
        <w:rPr>
          <w:b/>
          <w:bCs/>
          <w:color w:val="000000" w:themeColor="text1"/>
          <w:lang w:val="en-US"/>
        </w:rPr>
        <w:t>D</w:t>
      </w:r>
      <w:r w:rsidRPr="00DC383A">
        <w:rPr>
          <w:color w:val="000000" w:themeColor="text1"/>
          <w:lang w:val="en-US"/>
        </w:rPr>
        <w:t xml:space="preserve">) Flat preparation of embryos at stage 17 expressing GFP under the control of the RS2 Gal4 line.  Dorsal (A and C) and ventral (B and D) views of three segments of the ventral nerve cord (VNC) are shown.  </w:t>
      </w:r>
      <w:r w:rsidRPr="00DC383A">
        <w:rPr>
          <w:b/>
          <w:bCs/>
          <w:color w:val="000000" w:themeColor="text1"/>
          <w:lang w:val="en-US"/>
        </w:rPr>
        <w:t>A</w:t>
      </w:r>
      <w:r w:rsidRPr="00DC383A">
        <w:rPr>
          <w:color w:val="000000" w:themeColor="text1"/>
          <w:lang w:val="en-US"/>
        </w:rPr>
        <w:t xml:space="preserve"> and </w:t>
      </w:r>
      <w:r w:rsidRPr="00DC383A">
        <w:rPr>
          <w:b/>
          <w:bCs/>
          <w:color w:val="000000" w:themeColor="text1"/>
          <w:lang w:val="en-US"/>
        </w:rPr>
        <w:t>B</w:t>
      </w:r>
      <w:r w:rsidRPr="00DC383A">
        <w:rPr>
          <w:color w:val="000000" w:themeColor="text1"/>
          <w:lang w:val="en-US"/>
        </w:rPr>
        <w:t xml:space="preserve">) Double staining with an anti-ELAV pan-neural antibody.  Arrowhead point to individual neural cells </w:t>
      </w:r>
      <w:r w:rsidR="00AA7656" w:rsidRPr="00DC383A">
        <w:rPr>
          <w:color w:val="000000" w:themeColor="text1"/>
          <w:lang w:val="en-US"/>
        </w:rPr>
        <w:t>co</w:t>
      </w:r>
      <w:r w:rsidR="00AA7656" w:rsidRPr="00DC383A">
        <w:rPr>
          <w:color w:val="000000" w:themeColor="text1"/>
          <w:lang w:val="en-US"/>
        </w:rPr>
        <w:t>-</w:t>
      </w:r>
      <w:r w:rsidR="00AA7656" w:rsidRPr="00DC383A">
        <w:rPr>
          <w:color w:val="000000" w:themeColor="text1"/>
          <w:lang w:val="en-US"/>
        </w:rPr>
        <w:t>expressing</w:t>
      </w:r>
      <w:r w:rsidRPr="00DC383A">
        <w:rPr>
          <w:color w:val="000000" w:themeColor="text1"/>
          <w:lang w:val="en-US"/>
        </w:rPr>
        <w:t xml:space="preserve"> both markers.  </w:t>
      </w:r>
      <w:r w:rsidRPr="00DC383A">
        <w:rPr>
          <w:b/>
          <w:bCs/>
          <w:color w:val="000000" w:themeColor="text1"/>
          <w:lang w:val="en-US"/>
        </w:rPr>
        <w:t xml:space="preserve">C </w:t>
      </w:r>
      <w:r w:rsidRPr="00DC383A">
        <w:rPr>
          <w:color w:val="000000" w:themeColor="text1"/>
          <w:lang w:val="en-US"/>
        </w:rPr>
        <w:t>and</w:t>
      </w:r>
      <w:r w:rsidRPr="00DC383A">
        <w:rPr>
          <w:b/>
          <w:bCs/>
          <w:color w:val="000000" w:themeColor="text1"/>
          <w:lang w:val="en-US"/>
        </w:rPr>
        <w:t xml:space="preserve"> D</w:t>
      </w:r>
      <w:r w:rsidRPr="00DC383A">
        <w:rPr>
          <w:color w:val="000000" w:themeColor="text1"/>
          <w:lang w:val="en-US"/>
        </w:rPr>
        <w:t xml:space="preserve">) Double staining with an anti-Repo antibody labelling most of the glial cells.  Arrowhead points to cells </w:t>
      </w:r>
      <w:r w:rsidR="00AA7656" w:rsidRPr="00DC383A">
        <w:rPr>
          <w:color w:val="000000" w:themeColor="text1"/>
          <w:lang w:val="en-US"/>
        </w:rPr>
        <w:t>co-expressing</w:t>
      </w:r>
      <w:r w:rsidRPr="00DC383A">
        <w:rPr>
          <w:color w:val="000000" w:themeColor="text1"/>
          <w:lang w:val="en-US"/>
        </w:rPr>
        <w:t xml:space="preserve"> GFP and Repo (Glia).  Scale bar 10 µm.  In all cases anterior is top.</w:t>
      </w:r>
      <w:r w:rsidRPr="00DC383A">
        <w:rPr>
          <w:b/>
          <w:bCs/>
          <w:color w:val="000000" w:themeColor="text1"/>
          <w:lang w:val="en-US"/>
        </w:rPr>
        <w:t xml:space="preserve"> </w:t>
      </w:r>
      <w:r w:rsidRPr="00DC383A">
        <w:rPr>
          <w:color w:val="000000" w:themeColor="text1"/>
          <w:lang w:val="en-US"/>
        </w:rPr>
        <w:t xml:space="preserve"> </w:t>
      </w:r>
      <w:r w:rsidRPr="00DC383A">
        <w:rPr>
          <w:b/>
          <w:bCs/>
          <w:color w:val="000000" w:themeColor="text1"/>
          <w:lang w:val="en-US"/>
        </w:rPr>
        <w:t xml:space="preserve">E </w:t>
      </w:r>
      <w:r w:rsidRPr="00DC383A">
        <w:rPr>
          <w:color w:val="000000" w:themeColor="text1"/>
          <w:lang w:val="en-US"/>
        </w:rPr>
        <w:t>and</w:t>
      </w:r>
      <w:r w:rsidRPr="00DC383A">
        <w:rPr>
          <w:b/>
          <w:bCs/>
          <w:color w:val="000000" w:themeColor="text1"/>
          <w:lang w:val="en-US"/>
        </w:rPr>
        <w:t xml:space="preserve"> F</w:t>
      </w:r>
      <w:r w:rsidRPr="00DC383A">
        <w:rPr>
          <w:color w:val="000000" w:themeColor="text1"/>
          <w:lang w:val="en-US"/>
        </w:rPr>
        <w:t>) Frontal dorsal (</w:t>
      </w:r>
      <w:r w:rsidRPr="00DC383A">
        <w:rPr>
          <w:b/>
          <w:bCs/>
          <w:color w:val="000000" w:themeColor="text1"/>
          <w:lang w:val="en-US"/>
        </w:rPr>
        <w:t xml:space="preserve">E </w:t>
      </w:r>
      <w:r w:rsidRPr="00DC383A">
        <w:rPr>
          <w:color w:val="000000" w:themeColor="text1"/>
          <w:lang w:val="en-US"/>
        </w:rPr>
        <w:t>- anterior is up) and transverse view (</w:t>
      </w:r>
      <w:r w:rsidRPr="00DC383A">
        <w:rPr>
          <w:b/>
          <w:bCs/>
          <w:color w:val="000000" w:themeColor="text1"/>
          <w:lang w:val="en-US"/>
        </w:rPr>
        <w:t xml:space="preserve">F </w:t>
      </w:r>
      <w:r w:rsidRPr="00DC383A">
        <w:rPr>
          <w:color w:val="000000" w:themeColor="text1"/>
          <w:lang w:val="en-US"/>
        </w:rPr>
        <w:t xml:space="preserve">- dorsal is up) of first instar larvae preparations.  The arrowheads point to neural cells and the glial extensions colonizing the commissures.  Scale bar 10 µm. </w:t>
      </w:r>
    </w:p>
    <w:p w14:paraId="23BC888F" w14:textId="77777777" w:rsidR="00DA3688" w:rsidRPr="00DC383A" w:rsidRDefault="00DA3688" w:rsidP="00DC383A">
      <w:pPr>
        <w:autoSpaceDE w:val="0"/>
        <w:autoSpaceDN w:val="0"/>
        <w:adjustRightInd w:val="0"/>
        <w:spacing w:beforeLines="60" w:before="144" w:afterLines="60" w:after="144" w:line="360" w:lineRule="auto"/>
        <w:jc w:val="both"/>
        <w:rPr>
          <w:color w:val="000000" w:themeColor="text1"/>
          <w:lang w:val="en-US"/>
        </w:rPr>
      </w:pPr>
    </w:p>
    <w:p w14:paraId="12CF8A1A" w14:textId="77777777" w:rsidR="00DA3688" w:rsidRPr="00DC383A" w:rsidRDefault="00DA3688" w:rsidP="00DC383A">
      <w:pPr>
        <w:autoSpaceDE w:val="0"/>
        <w:autoSpaceDN w:val="0"/>
        <w:adjustRightInd w:val="0"/>
        <w:spacing w:beforeLines="60" w:before="144" w:afterLines="60" w:after="144" w:line="360" w:lineRule="auto"/>
        <w:jc w:val="both"/>
        <w:rPr>
          <w:b/>
          <w:color w:val="000000" w:themeColor="text1"/>
          <w:lang w:val="en-US"/>
        </w:rPr>
      </w:pPr>
      <w:r w:rsidRPr="00DC383A">
        <w:rPr>
          <w:b/>
          <w:color w:val="000000" w:themeColor="text1"/>
          <w:lang w:val="en-US"/>
        </w:rPr>
        <w:t xml:space="preserve">Figure S5: RS4-activation pattern </w:t>
      </w:r>
    </w:p>
    <w:p w14:paraId="3EF1CB1B" w14:textId="77777777" w:rsidR="00DA3688" w:rsidRPr="00DC383A" w:rsidRDefault="00DA3688" w:rsidP="00DC383A">
      <w:pPr>
        <w:autoSpaceDE w:val="0"/>
        <w:autoSpaceDN w:val="0"/>
        <w:adjustRightInd w:val="0"/>
        <w:spacing w:beforeLines="60" w:before="144" w:afterLines="60" w:after="144" w:line="360" w:lineRule="auto"/>
        <w:jc w:val="both"/>
        <w:rPr>
          <w:color w:val="000000" w:themeColor="text1"/>
          <w:lang w:val="en-US"/>
        </w:rPr>
      </w:pPr>
      <w:r w:rsidRPr="00DC383A">
        <w:rPr>
          <w:b/>
          <w:color w:val="000000" w:themeColor="text1"/>
          <w:lang w:val="en-US"/>
        </w:rPr>
        <w:t>A)</w:t>
      </w:r>
      <w:r w:rsidRPr="00DC383A">
        <w:rPr>
          <w:bCs/>
          <w:color w:val="000000" w:themeColor="text1"/>
          <w:lang w:val="en-US"/>
        </w:rPr>
        <w:t xml:space="preserve"> Expression </w:t>
      </w:r>
      <w:r w:rsidRPr="00DC383A">
        <w:rPr>
          <w:color w:val="000000" w:themeColor="text1"/>
          <w:lang w:val="en-US"/>
        </w:rPr>
        <w:t xml:space="preserve">of a RS4-directed GFP-reporter </w:t>
      </w:r>
      <w:r w:rsidRPr="00DC383A">
        <w:rPr>
          <w:bCs/>
          <w:color w:val="000000" w:themeColor="text1"/>
          <w:lang w:val="en-US"/>
        </w:rPr>
        <w:t>on a live late stage 17 embryo.  S</w:t>
      </w:r>
      <w:r w:rsidRPr="00DC383A">
        <w:rPr>
          <w:color w:val="000000" w:themeColor="text1"/>
          <w:lang w:val="en-US"/>
        </w:rPr>
        <w:t xml:space="preserve">alivary glands (arrowhead), the posterior spiracles and conspicuous groups of epithelial cells are labelled.  Scale bar 100 µm.  B) GFP expression as a marker for PG4 activity in whole mount preparations recapitulate that detected live (arrowhead).  Scale bar 100 µm.  </w:t>
      </w:r>
      <w:r w:rsidRPr="00DC383A">
        <w:rPr>
          <w:b/>
          <w:color w:val="000000" w:themeColor="text1"/>
          <w:lang w:val="en-US"/>
        </w:rPr>
        <w:t xml:space="preserve">C </w:t>
      </w:r>
      <w:r w:rsidRPr="00DC383A">
        <w:rPr>
          <w:bCs/>
          <w:color w:val="000000" w:themeColor="text1"/>
          <w:lang w:val="en-US"/>
        </w:rPr>
        <w:t>and</w:t>
      </w:r>
      <w:r w:rsidRPr="00DC383A">
        <w:rPr>
          <w:b/>
          <w:color w:val="000000" w:themeColor="text1"/>
          <w:lang w:val="en-US"/>
        </w:rPr>
        <w:t xml:space="preserve"> D)</w:t>
      </w:r>
      <w:r w:rsidRPr="00DC383A">
        <w:rPr>
          <w:color w:val="000000" w:themeColor="text1"/>
          <w:lang w:val="en-US"/>
        </w:rPr>
        <w:t xml:space="preserve"> Dorsal (</w:t>
      </w:r>
      <w:r w:rsidRPr="00DC383A">
        <w:rPr>
          <w:b/>
          <w:color w:val="000000" w:themeColor="text1"/>
          <w:lang w:val="en-US"/>
        </w:rPr>
        <w:t>A</w:t>
      </w:r>
      <w:r w:rsidRPr="00DC383A">
        <w:rPr>
          <w:color w:val="000000" w:themeColor="text1"/>
          <w:lang w:val="en-US"/>
        </w:rPr>
        <w:t>) and ventral (</w:t>
      </w:r>
      <w:r w:rsidRPr="00DC383A">
        <w:rPr>
          <w:b/>
          <w:color w:val="000000" w:themeColor="text1"/>
          <w:lang w:val="en-US"/>
        </w:rPr>
        <w:t>B</w:t>
      </w:r>
      <w:r w:rsidRPr="00DC383A">
        <w:rPr>
          <w:color w:val="000000" w:themeColor="text1"/>
          <w:lang w:val="en-US"/>
        </w:rPr>
        <w:t>) views of a live third instar larva showing RS4-directed GFP expression in the tracheal trunk and the midgut (arrowheads in C), the perimaxillar domain and the anal pad, and weakly at the CNS (arrowheads).  Scale bar 400 µm. Anterior is always left.</w:t>
      </w:r>
    </w:p>
    <w:p w14:paraId="5D09A578" w14:textId="77777777" w:rsidR="00DA3688" w:rsidRPr="00DC383A" w:rsidRDefault="00DA3688" w:rsidP="00DC383A">
      <w:pPr>
        <w:autoSpaceDE w:val="0"/>
        <w:autoSpaceDN w:val="0"/>
        <w:adjustRightInd w:val="0"/>
        <w:spacing w:beforeLines="60" w:before="144" w:afterLines="60" w:after="144" w:line="360" w:lineRule="auto"/>
        <w:jc w:val="both"/>
        <w:rPr>
          <w:color w:val="000000" w:themeColor="text1"/>
          <w:lang w:val="en-US"/>
        </w:rPr>
      </w:pPr>
    </w:p>
    <w:p w14:paraId="561DE48E" w14:textId="77777777" w:rsidR="00DA3688" w:rsidRPr="00DC383A" w:rsidRDefault="00DA3688" w:rsidP="00DC383A">
      <w:pPr>
        <w:autoSpaceDE w:val="0"/>
        <w:autoSpaceDN w:val="0"/>
        <w:adjustRightInd w:val="0"/>
        <w:spacing w:beforeLines="60" w:before="144" w:afterLines="60" w:after="144" w:line="360" w:lineRule="auto"/>
        <w:jc w:val="both"/>
        <w:rPr>
          <w:b/>
          <w:bCs/>
          <w:color w:val="000000" w:themeColor="text1"/>
          <w:lang w:val="en-US"/>
        </w:rPr>
      </w:pPr>
      <w:r w:rsidRPr="00DC383A">
        <w:rPr>
          <w:b/>
          <w:bCs/>
          <w:color w:val="000000" w:themeColor="text1"/>
          <w:lang w:val="en-US"/>
        </w:rPr>
        <w:t xml:space="preserve">Figure S6: PG4 expression in neurons in first instar larvae </w:t>
      </w:r>
    </w:p>
    <w:p w14:paraId="53D5EE02" w14:textId="2B8394FA" w:rsidR="00DA3688" w:rsidRPr="00DC383A" w:rsidRDefault="00DA3688" w:rsidP="00DC383A">
      <w:pPr>
        <w:autoSpaceDE w:val="0"/>
        <w:autoSpaceDN w:val="0"/>
        <w:adjustRightInd w:val="0"/>
        <w:spacing w:beforeLines="60" w:before="144" w:afterLines="60" w:after="144" w:line="360" w:lineRule="auto"/>
        <w:jc w:val="both"/>
        <w:rPr>
          <w:color w:val="000000" w:themeColor="text1"/>
          <w:lang w:val="en-US"/>
        </w:rPr>
      </w:pPr>
      <w:r w:rsidRPr="00DC383A">
        <w:rPr>
          <w:b/>
          <w:bCs/>
          <w:color w:val="000000" w:themeColor="text1"/>
          <w:lang w:val="en-US"/>
        </w:rPr>
        <w:t>A</w:t>
      </w:r>
      <w:r w:rsidRPr="00DC383A">
        <w:rPr>
          <w:color w:val="000000" w:themeColor="text1"/>
          <w:lang w:val="en-US"/>
        </w:rPr>
        <w:t xml:space="preserve">) General PG4-directed </w:t>
      </w:r>
      <w:r w:rsidR="00AA7656" w:rsidRPr="00DC383A">
        <w:rPr>
          <w:color w:val="000000" w:themeColor="text1"/>
          <w:lang w:val="en-US"/>
        </w:rPr>
        <w:t>expression</w:t>
      </w:r>
      <w:r w:rsidRPr="00DC383A">
        <w:rPr>
          <w:color w:val="000000" w:themeColor="text1"/>
          <w:lang w:val="en-US"/>
        </w:rPr>
        <w:t xml:space="preserve"> in neurons in a restricted pattern in the brain lobes, the thoracic ganglia and ventral segments (arrowheads) of a first instar larva.  Anterior is up.  Scale bar 50 µm.  </w:t>
      </w:r>
      <w:r w:rsidRPr="00DC383A">
        <w:rPr>
          <w:b/>
          <w:bCs/>
          <w:color w:val="000000" w:themeColor="text1"/>
          <w:lang w:val="en-US"/>
        </w:rPr>
        <w:t>B</w:t>
      </w:r>
      <w:r w:rsidRPr="00DC383A">
        <w:rPr>
          <w:color w:val="000000" w:themeColor="text1"/>
          <w:lang w:val="en-US"/>
        </w:rPr>
        <w:t xml:space="preserve">) transversal section across the abdominal segments from the image in </w:t>
      </w:r>
      <w:r w:rsidRPr="00DC383A">
        <w:rPr>
          <w:b/>
          <w:bCs/>
          <w:color w:val="000000" w:themeColor="text1"/>
          <w:lang w:val="en-US"/>
        </w:rPr>
        <w:t>A</w:t>
      </w:r>
      <w:r w:rsidRPr="00DC383A">
        <w:rPr>
          <w:color w:val="000000" w:themeColor="text1"/>
          <w:lang w:val="en-US"/>
        </w:rPr>
        <w:t xml:space="preserve">.  The neurons nuclei mostly localize at the dorsal surface (arrowhead) but their axonal extensions  develop ventrally but do not cross the midline.  Dorsal is up.  Scale bar 10 µm.  </w:t>
      </w:r>
      <w:r w:rsidRPr="00DC383A">
        <w:rPr>
          <w:b/>
          <w:bCs/>
          <w:color w:val="000000" w:themeColor="text1"/>
          <w:lang w:val="en-US"/>
        </w:rPr>
        <w:t>C</w:t>
      </w:r>
      <w:r w:rsidRPr="00DC383A">
        <w:rPr>
          <w:color w:val="000000" w:themeColor="text1"/>
          <w:lang w:val="en-US"/>
        </w:rPr>
        <w:t xml:space="preserve">) 3D </w:t>
      </w:r>
      <w:r w:rsidRPr="00DC383A">
        <w:rPr>
          <w:color w:val="000000" w:themeColor="text1"/>
          <w:lang w:val="en-US"/>
        </w:rPr>
        <w:lastRenderedPageBreak/>
        <w:t>reconstruction of the full arborization of the two neurons (arrowhead) expressing PG4 in the optic lobe.  Anterior is up.  Scale bar 10 µm.</w:t>
      </w:r>
    </w:p>
    <w:p w14:paraId="585C49D3" w14:textId="77777777" w:rsidR="00DA3688" w:rsidRPr="00DC383A" w:rsidRDefault="00DA3688" w:rsidP="00DC383A">
      <w:pPr>
        <w:autoSpaceDE w:val="0"/>
        <w:autoSpaceDN w:val="0"/>
        <w:adjustRightInd w:val="0"/>
        <w:spacing w:beforeLines="60" w:before="144" w:afterLines="60" w:after="144" w:line="360" w:lineRule="auto"/>
        <w:jc w:val="both"/>
        <w:rPr>
          <w:color w:val="000000" w:themeColor="text1"/>
          <w:lang w:val="en-US"/>
        </w:rPr>
      </w:pPr>
    </w:p>
    <w:sectPr w:rsidR="00DA3688" w:rsidRPr="00DC38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8478F"/>
    <w:multiLevelType w:val="hybridMultilevel"/>
    <w:tmpl w:val="DA7A32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19360E"/>
    <w:multiLevelType w:val="hybridMultilevel"/>
    <w:tmpl w:val="00BC7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5FD35D2"/>
    <w:multiLevelType w:val="hybridMultilevel"/>
    <w:tmpl w:val="06CC2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9190F81"/>
    <w:multiLevelType w:val="hybridMultilevel"/>
    <w:tmpl w:val="E99A6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activeWritingStyle w:appName="MSWord" w:lang="en-US" w:vendorID="64" w:dllVersion="4096" w:nlCheck="1" w:checkStyle="0"/>
  <w:activeWritingStyle w:appName="MSWord" w:lang="es-ES" w:vendorID="64" w:dllVersion="4096" w:nlCheck="1" w:checkStyle="0"/>
  <w:activeWritingStyle w:appName="MSWord" w:lang="en-GB" w:vendorID="64" w:dllVersion="4096" w:nlCheck="1" w:checkStyle="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PNAS&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vt50fdf29sf9qewe0bp9swhz2e2wxp0w52w&quot;&gt;IJMS_puc enhancers&lt;record-ids&gt;&lt;item&gt;1&lt;/item&gt;&lt;item&gt;2&lt;/item&gt;&lt;item&gt;3&lt;/item&gt;&lt;item&gt;4&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9&lt;/item&gt;&lt;item&gt;30&lt;/item&gt;&lt;item&gt;31&lt;/item&gt;&lt;item&gt;33&lt;/item&gt;&lt;item&gt;34&lt;/item&gt;&lt;item&gt;35&lt;/item&gt;&lt;item&gt;36&lt;/item&gt;&lt;item&gt;37&lt;/item&gt;&lt;/record-ids&gt;&lt;/item&gt;&lt;/Libraries&gt;"/>
  </w:docVars>
  <w:rsids>
    <w:rsidRoot w:val="0052243B"/>
    <w:rsid w:val="00000D62"/>
    <w:rsid w:val="0001170A"/>
    <w:rsid w:val="00017EDE"/>
    <w:rsid w:val="00021DD2"/>
    <w:rsid w:val="000239D1"/>
    <w:rsid w:val="0002616C"/>
    <w:rsid w:val="0002635F"/>
    <w:rsid w:val="00032E80"/>
    <w:rsid w:val="00072AF1"/>
    <w:rsid w:val="00072DC6"/>
    <w:rsid w:val="000A4F83"/>
    <w:rsid w:val="000B4CA5"/>
    <w:rsid w:val="000C0ACA"/>
    <w:rsid w:val="000C7EF0"/>
    <w:rsid w:val="000D12D3"/>
    <w:rsid w:val="000D3C67"/>
    <w:rsid w:val="000E1263"/>
    <w:rsid w:val="000F0576"/>
    <w:rsid w:val="000F6A68"/>
    <w:rsid w:val="00105B1E"/>
    <w:rsid w:val="00112ED9"/>
    <w:rsid w:val="001134EE"/>
    <w:rsid w:val="00116941"/>
    <w:rsid w:val="00125937"/>
    <w:rsid w:val="0012671E"/>
    <w:rsid w:val="00127502"/>
    <w:rsid w:val="00131306"/>
    <w:rsid w:val="001552BC"/>
    <w:rsid w:val="001555BF"/>
    <w:rsid w:val="00160B95"/>
    <w:rsid w:val="0018136F"/>
    <w:rsid w:val="00191A52"/>
    <w:rsid w:val="001A3C41"/>
    <w:rsid w:val="001A53FB"/>
    <w:rsid w:val="001B10CB"/>
    <w:rsid w:val="001C31AD"/>
    <w:rsid w:val="001C6D4C"/>
    <w:rsid w:val="001D05E0"/>
    <w:rsid w:val="001D3CF7"/>
    <w:rsid w:val="001E5CD8"/>
    <w:rsid w:val="00202666"/>
    <w:rsid w:val="002219BD"/>
    <w:rsid w:val="00226BD8"/>
    <w:rsid w:val="00231B25"/>
    <w:rsid w:val="00236A73"/>
    <w:rsid w:val="00250D8E"/>
    <w:rsid w:val="00260E37"/>
    <w:rsid w:val="00266BEF"/>
    <w:rsid w:val="00266CCA"/>
    <w:rsid w:val="00272107"/>
    <w:rsid w:val="0028007B"/>
    <w:rsid w:val="00282A72"/>
    <w:rsid w:val="002A491B"/>
    <w:rsid w:val="002A4E09"/>
    <w:rsid w:val="002B2B90"/>
    <w:rsid w:val="002C4A75"/>
    <w:rsid w:val="002C5CED"/>
    <w:rsid w:val="002D51FD"/>
    <w:rsid w:val="002D6D90"/>
    <w:rsid w:val="00302F6B"/>
    <w:rsid w:val="003147DD"/>
    <w:rsid w:val="003263CF"/>
    <w:rsid w:val="003315AF"/>
    <w:rsid w:val="00335E87"/>
    <w:rsid w:val="00345F55"/>
    <w:rsid w:val="00354C1F"/>
    <w:rsid w:val="00355BB0"/>
    <w:rsid w:val="0036276A"/>
    <w:rsid w:val="00370316"/>
    <w:rsid w:val="00377C9E"/>
    <w:rsid w:val="00383BC9"/>
    <w:rsid w:val="003A1B71"/>
    <w:rsid w:val="003A2BA5"/>
    <w:rsid w:val="003A3869"/>
    <w:rsid w:val="003A60DC"/>
    <w:rsid w:val="003B0090"/>
    <w:rsid w:val="003B462C"/>
    <w:rsid w:val="003B649A"/>
    <w:rsid w:val="003B73F7"/>
    <w:rsid w:val="003C495A"/>
    <w:rsid w:val="003E7B87"/>
    <w:rsid w:val="003F5985"/>
    <w:rsid w:val="003F751E"/>
    <w:rsid w:val="00400C36"/>
    <w:rsid w:val="004104F9"/>
    <w:rsid w:val="0041475D"/>
    <w:rsid w:val="00422EE5"/>
    <w:rsid w:val="004236DE"/>
    <w:rsid w:val="00437913"/>
    <w:rsid w:val="0044659C"/>
    <w:rsid w:val="004644B7"/>
    <w:rsid w:val="00465655"/>
    <w:rsid w:val="00466DE9"/>
    <w:rsid w:val="004671C3"/>
    <w:rsid w:val="004823BD"/>
    <w:rsid w:val="00486C54"/>
    <w:rsid w:val="00490D09"/>
    <w:rsid w:val="00491603"/>
    <w:rsid w:val="004A33A3"/>
    <w:rsid w:val="004B2989"/>
    <w:rsid w:val="004B4FE2"/>
    <w:rsid w:val="004C3B5F"/>
    <w:rsid w:val="004C69B7"/>
    <w:rsid w:val="004D02DB"/>
    <w:rsid w:val="004D6D0B"/>
    <w:rsid w:val="004E1AFD"/>
    <w:rsid w:val="004E36CA"/>
    <w:rsid w:val="004E4AC9"/>
    <w:rsid w:val="00500736"/>
    <w:rsid w:val="00506B19"/>
    <w:rsid w:val="005133BA"/>
    <w:rsid w:val="00513B70"/>
    <w:rsid w:val="0051674D"/>
    <w:rsid w:val="0052243B"/>
    <w:rsid w:val="00530BCD"/>
    <w:rsid w:val="00532F58"/>
    <w:rsid w:val="00545A26"/>
    <w:rsid w:val="005542D4"/>
    <w:rsid w:val="00554DEF"/>
    <w:rsid w:val="00560BFD"/>
    <w:rsid w:val="00564207"/>
    <w:rsid w:val="00565566"/>
    <w:rsid w:val="00572F6F"/>
    <w:rsid w:val="005736DE"/>
    <w:rsid w:val="00576062"/>
    <w:rsid w:val="00576085"/>
    <w:rsid w:val="00577BEC"/>
    <w:rsid w:val="005923FC"/>
    <w:rsid w:val="005A02D1"/>
    <w:rsid w:val="005A5AB8"/>
    <w:rsid w:val="005C0F50"/>
    <w:rsid w:val="005D17D3"/>
    <w:rsid w:val="005E1744"/>
    <w:rsid w:val="005E7F3E"/>
    <w:rsid w:val="00602345"/>
    <w:rsid w:val="00602A47"/>
    <w:rsid w:val="00610DEC"/>
    <w:rsid w:val="006141BD"/>
    <w:rsid w:val="00622348"/>
    <w:rsid w:val="00630C95"/>
    <w:rsid w:val="006359E6"/>
    <w:rsid w:val="00643A36"/>
    <w:rsid w:val="00647D4D"/>
    <w:rsid w:val="00653356"/>
    <w:rsid w:val="006613C8"/>
    <w:rsid w:val="00661461"/>
    <w:rsid w:val="00661808"/>
    <w:rsid w:val="00666A39"/>
    <w:rsid w:val="006747A4"/>
    <w:rsid w:val="00675972"/>
    <w:rsid w:val="00680A9F"/>
    <w:rsid w:val="00685DDD"/>
    <w:rsid w:val="006866C9"/>
    <w:rsid w:val="00692B12"/>
    <w:rsid w:val="006A1F1C"/>
    <w:rsid w:val="006B0B75"/>
    <w:rsid w:val="006B33AC"/>
    <w:rsid w:val="006D0AA7"/>
    <w:rsid w:val="006D3231"/>
    <w:rsid w:val="006D430E"/>
    <w:rsid w:val="006E0821"/>
    <w:rsid w:val="006F67A0"/>
    <w:rsid w:val="00702AEE"/>
    <w:rsid w:val="007063CD"/>
    <w:rsid w:val="00716D77"/>
    <w:rsid w:val="007219E8"/>
    <w:rsid w:val="00725D94"/>
    <w:rsid w:val="00734C70"/>
    <w:rsid w:val="0073669B"/>
    <w:rsid w:val="0076338E"/>
    <w:rsid w:val="0076397D"/>
    <w:rsid w:val="00771E32"/>
    <w:rsid w:val="00780D5D"/>
    <w:rsid w:val="007810CD"/>
    <w:rsid w:val="00783E3F"/>
    <w:rsid w:val="007A3026"/>
    <w:rsid w:val="007A636A"/>
    <w:rsid w:val="007B3162"/>
    <w:rsid w:val="007E217A"/>
    <w:rsid w:val="007E2820"/>
    <w:rsid w:val="007E73AC"/>
    <w:rsid w:val="007F6940"/>
    <w:rsid w:val="00800372"/>
    <w:rsid w:val="00800494"/>
    <w:rsid w:val="0080461E"/>
    <w:rsid w:val="00810F09"/>
    <w:rsid w:val="00815857"/>
    <w:rsid w:val="008447DE"/>
    <w:rsid w:val="00845A0E"/>
    <w:rsid w:val="00847B47"/>
    <w:rsid w:val="00854495"/>
    <w:rsid w:val="008808FF"/>
    <w:rsid w:val="008957B1"/>
    <w:rsid w:val="008A201F"/>
    <w:rsid w:val="008A31D7"/>
    <w:rsid w:val="008B2A96"/>
    <w:rsid w:val="008B725B"/>
    <w:rsid w:val="008C46B3"/>
    <w:rsid w:val="008C5874"/>
    <w:rsid w:val="008D5009"/>
    <w:rsid w:val="008D598A"/>
    <w:rsid w:val="008D74C9"/>
    <w:rsid w:val="008E40C5"/>
    <w:rsid w:val="008E7E6B"/>
    <w:rsid w:val="00913045"/>
    <w:rsid w:val="00914FF6"/>
    <w:rsid w:val="00921667"/>
    <w:rsid w:val="00932EF5"/>
    <w:rsid w:val="00935C52"/>
    <w:rsid w:val="009367C5"/>
    <w:rsid w:val="00943E52"/>
    <w:rsid w:val="00952890"/>
    <w:rsid w:val="00955924"/>
    <w:rsid w:val="00980BD9"/>
    <w:rsid w:val="00991E48"/>
    <w:rsid w:val="009A02A5"/>
    <w:rsid w:val="009A3CC6"/>
    <w:rsid w:val="009A5F62"/>
    <w:rsid w:val="009C162C"/>
    <w:rsid w:val="009C3731"/>
    <w:rsid w:val="009F4917"/>
    <w:rsid w:val="00A0130F"/>
    <w:rsid w:val="00A0158F"/>
    <w:rsid w:val="00A12F33"/>
    <w:rsid w:val="00A252FE"/>
    <w:rsid w:val="00A30041"/>
    <w:rsid w:val="00A31385"/>
    <w:rsid w:val="00A3214C"/>
    <w:rsid w:val="00A333A5"/>
    <w:rsid w:val="00A33684"/>
    <w:rsid w:val="00A353AA"/>
    <w:rsid w:val="00A37C0F"/>
    <w:rsid w:val="00A61647"/>
    <w:rsid w:val="00A81E17"/>
    <w:rsid w:val="00A82302"/>
    <w:rsid w:val="00A8258E"/>
    <w:rsid w:val="00A826C7"/>
    <w:rsid w:val="00A94326"/>
    <w:rsid w:val="00A972E7"/>
    <w:rsid w:val="00AA67C1"/>
    <w:rsid w:val="00AA7656"/>
    <w:rsid w:val="00AA7B88"/>
    <w:rsid w:val="00AB0393"/>
    <w:rsid w:val="00AB0D19"/>
    <w:rsid w:val="00AB2098"/>
    <w:rsid w:val="00AD0E88"/>
    <w:rsid w:val="00AD693C"/>
    <w:rsid w:val="00AE11DA"/>
    <w:rsid w:val="00AE5D14"/>
    <w:rsid w:val="00AF7DD5"/>
    <w:rsid w:val="00B014EE"/>
    <w:rsid w:val="00B13001"/>
    <w:rsid w:val="00B21990"/>
    <w:rsid w:val="00B249C9"/>
    <w:rsid w:val="00B265D8"/>
    <w:rsid w:val="00B36BE3"/>
    <w:rsid w:val="00B4697F"/>
    <w:rsid w:val="00B572E0"/>
    <w:rsid w:val="00B85245"/>
    <w:rsid w:val="00B9029A"/>
    <w:rsid w:val="00B976D6"/>
    <w:rsid w:val="00BA4962"/>
    <w:rsid w:val="00BA5D6E"/>
    <w:rsid w:val="00BA7E12"/>
    <w:rsid w:val="00BB54AB"/>
    <w:rsid w:val="00BD1A4C"/>
    <w:rsid w:val="00BD32DB"/>
    <w:rsid w:val="00BD486E"/>
    <w:rsid w:val="00BE3BE9"/>
    <w:rsid w:val="00BF3197"/>
    <w:rsid w:val="00BF6622"/>
    <w:rsid w:val="00BF76A3"/>
    <w:rsid w:val="00C157FB"/>
    <w:rsid w:val="00C22057"/>
    <w:rsid w:val="00C26A7B"/>
    <w:rsid w:val="00C40F50"/>
    <w:rsid w:val="00C424CB"/>
    <w:rsid w:val="00C43516"/>
    <w:rsid w:val="00C6757A"/>
    <w:rsid w:val="00C67CBF"/>
    <w:rsid w:val="00C7068E"/>
    <w:rsid w:val="00C80D89"/>
    <w:rsid w:val="00C969CC"/>
    <w:rsid w:val="00CA2A26"/>
    <w:rsid w:val="00CB1F69"/>
    <w:rsid w:val="00CB5D5E"/>
    <w:rsid w:val="00CC57E0"/>
    <w:rsid w:val="00CD102E"/>
    <w:rsid w:val="00CE2218"/>
    <w:rsid w:val="00CE4E18"/>
    <w:rsid w:val="00CF45C6"/>
    <w:rsid w:val="00D06A64"/>
    <w:rsid w:val="00D20E30"/>
    <w:rsid w:val="00D2287E"/>
    <w:rsid w:val="00D250DF"/>
    <w:rsid w:val="00D36CE7"/>
    <w:rsid w:val="00D41C75"/>
    <w:rsid w:val="00D510BB"/>
    <w:rsid w:val="00D523B4"/>
    <w:rsid w:val="00D5563D"/>
    <w:rsid w:val="00D61507"/>
    <w:rsid w:val="00D749E7"/>
    <w:rsid w:val="00D754E9"/>
    <w:rsid w:val="00D7607B"/>
    <w:rsid w:val="00D916F5"/>
    <w:rsid w:val="00D952C7"/>
    <w:rsid w:val="00DA2B4D"/>
    <w:rsid w:val="00DA3688"/>
    <w:rsid w:val="00DA4456"/>
    <w:rsid w:val="00DA762E"/>
    <w:rsid w:val="00DB7CD9"/>
    <w:rsid w:val="00DC383A"/>
    <w:rsid w:val="00DC4B5B"/>
    <w:rsid w:val="00DC728B"/>
    <w:rsid w:val="00DD2F74"/>
    <w:rsid w:val="00DD6D69"/>
    <w:rsid w:val="00DE09CC"/>
    <w:rsid w:val="00DF3A8B"/>
    <w:rsid w:val="00DF4E40"/>
    <w:rsid w:val="00DF5131"/>
    <w:rsid w:val="00DF6EDF"/>
    <w:rsid w:val="00E07382"/>
    <w:rsid w:val="00E0752C"/>
    <w:rsid w:val="00E1026E"/>
    <w:rsid w:val="00E12F0D"/>
    <w:rsid w:val="00E13E90"/>
    <w:rsid w:val="00E1407E"/>
    <w:rsid w:val="00E21D5D"/>
    <w:rsid w:val="00E34934"/>
    <w:rsid w:val="00E41E31"/>
    <w:rsid w:val="00E449DC"/>
    <w:rsid w:val="00E46F0C"/>
    <w:rsid w:val="00E47FE8"/>
    <w:rsid w:val="00E50AF3"/>
    <w:rsid w:val="00E52DF1"/>
    <w:rsid w:val="00E74E9E"/>
    <w:rsid w:val="00E81FCD"/>
    <w:rsid w:val="00E84964"/>
    <w:rsid w:val="00E95758"/>
    <w:rsid w:val="00EA584F"/>
    <w:rsid w:val="00EB6077"/>
    <w:rsid w:val="00EB7C13"/>
    <w:rsid w:val="00EC1785"/>
    <w:rsid w:val="00EC2882"/>
    <w:rsid w:val="00EC4F22"/>
    <w:rsid w:val="00EC6246"/>
    <w:rsid w:val="00ED26EF"/>
    <w:rsid w:val="00EE1CAC"/>
    <w:rsid w:val="00EF3AF9"/>
    <w:rsid w:val="00EF3B99"/>
    <w:rsid w:val="00EF3F57"/>
    <w:rsid w:val="00F00B57"/>
    <w:rsid w:val="00F0157B"/>
    <w:rsid w:val="00F01698"/>
    <w:rsid w:val="00F121AE"/>
    <w:rsid w:val="00F2520C"/>
    <w:rsid w:val="00F30970"/>
    <w:rsid w:val="00F3148A"/>
    <w:rsid w:val="00F428E7"/>
    <w:rsid w:val="00F44E2B"/>
    <w:rsid w:val="00F5352E"/>
    <w:rsid w:val="00F55522"/>
    <w:rsid w:val="00F55C93"/>
    <w:rsid w:val="00F578F8"/>
    <w:rsid w:val="00F7525E"/>
    <w:rsid w:val="00F81669"/>
    <w:rsid w:val="00F870D1"/>
    <w:rsid w:val="00F93EC5"/>
    <w:rsid w:val="00FA1201"/>
    <w:rsid w:val="00FA3A56"/>
    <w:rsid w:val="00FA54FE"/>
    <w:rsid w:val="00FA6294"/>
    <w:rsid w:val="00FB1569"/>
    <w:rsid w:val="00FB1BAD"/>
    <w:rsid w:val="00FB2453"/>
    <w:rsid w:val="00FC112F"/>
    <w:rsid w:val="00FC210F"/>
    <w:rsid w:val="00FD329D"/>
    <w:rsid w:val="00FD3495"/>
    <w:rsid w:val="00FD611A"/>
  </w:rsids>
  <m:mathPr>
    <m:mathFont m:val="Cambria Math"/>
    <m:brkBin m:val="before"/>
    <m:brkBinSub m:val="--"/>
    <m:smallFrac m:val="0"/>
    <m:dispDef/>
    <m:lMargin m:val="0"/>
    <m:rMargin m:val="0"/>
    <m:defJc m:val="centerGroup"/>
    <m:wrapIndent m:val="1440"/>
    <m:intLim m:val="subSup"/>
    <m:naryLim m:val="undOvr"/>
  </m:mathPr>
  <w:themeFontLang w:val="uz-Cyrl-U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B6CB3C"/>
  <w15:docId w15:val="{2E76D325-9F62-6640-9AEF-2417D968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uz-Cyrl-U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DD5"/>
    <w:rPr>
      <w:rFonts w:ascii="Times New Roman" w:eastAsia="Times New Roman" w:hAnsi="Times New Roman" w:cs="Times New Roman"/>
      <w:lang w:val="en-ES"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810CD"/>
    <w:pPr>
      <w:spacing w:before="100" w:beforeAutospacing="1" w:after="100" w:afterAutospacing="1"/>
    </w:pPr>
    <w:rPr>
      <w:lang w:val="uz-Cyrl-UZ"/>
    </w:rPr>
  </w:style>
  <w:style w:type="paragraph" w:customStyle="1" w:styleId="Default">
    <w:name w:val="Default"/>
    <w:rsid w:val="00A61647"/>
    <w:pPr>
      <w:autoSpaceDE w:val="0"/>
      <w:autoSpaceDN w:val="0"/>
      <w:adjustRightInd w:val="0"/>
    </w:pPr>
    <w:rPr>
      <w:rFonts w:ascii="Calibri" w:hAnsi="Calibri" w:cs="Calibri"/>
      <w:color w:val="000000"/>
      <w:lang w:val="en-GB"/>
    </w:rPr>
  </w:style>
  <w:style w:type="paragraph" w:styleId="BalloonText">
    <w:name w:val="Balloon Text"/>
    <w:basedOn w:val="Normal"/>
    <w:link w:val="BalloonTextChar"/>
    <w:uiPriority w:val="99"/>
    <w:semiHidden/>
    <w:unhideWhenUsed/>
    <w:rsid w:val="006F67A0"/>
    <w:rPr>
      <w:rFonts w:ascii="Lucida Grande" w:eastAsiaTheme="minorHAnsi" w:hAnsi="Lucida Grande" w:cs="Lucida Grande"/>
      <w:sz w:val="18"/>
      <w:szCs w:val="18"/>
      <w:lang w:val="uz-Cyrl-UZ" w:eastAsia="en-US"/>
    </w:rPr>
  </w:style>
  <w:style w:type="character" w:customStyle="1" w:styleId="BalloonTextChar">
    <w:name w:val="Balloon Text Char"/>
    <w:basedOn w:val="DefaultParagraphFont"/>
    <w:link w:val="BalloonText"/>
    <w:uiPriority w:val="99"/>
    <w:semiHidden/>
    <w:rsid w:val="006F67A0"/>
    <w:rPr>
      <w:rFonts w:ascii="Lucida Grande" w:hAnsi="Lucida Grande" w:cs="Lucida Grande"/>
      <w:sz w:val="18"/>
      <w:szCs w:val="18"/>
    </w:rPr>
  </w:style>
  <w:style w:type="character" w:styleId="CommentReference">
    <w:name w:val="annotation reference"/>
    <w:basedOn w:val="DefaultParagraphFont"/>
    <w:uiPriority w:val="99"/>
    <w:semiHidden/>
    <w:unhideWhenUsed/>
    <w:rsid w:val="00F00B57"/>
    <w:rPr>
      <w:sz w:val="18"/>
      <w:szCs w:val="18"/>
    </w:rPr>
  </w:style>
  <w:style w:type="paragraph" w:styleId="CommentText">
    <w:name w:val="annotation text"/>
    <w:basedOn w:val="Normal"/>
    <w:link w:val="CommentTextChar"/>
    <w:uiPriority w:val="99"/>
    <w:semiHidden/>
    <w:unhideWhenUsed/>
    <w:rsid w:val="00F00B57"/>
    <w:rPr>
      <w:rFonts w:asciiTheme="minorHAnsi" w:eastAsiaTheme="minorHAnsi" w:hAnsiTheme="minorHAnsi" w:cstheme="minorBidi"/>
      <w:lang w:val="uz-Cyrl-UZ" w:eastAsia="en-US"/>
    </w:rPr>
  </w:style>
  <w:style w:type="character" w:customStyle="1" w:styleId="CommentTextChar">
    <w:name w:val="Comment Text Char"/>
    <w:basedOn w:val="DefaultParagraphFont"/>
    <w:link w:val="CommentText"/>
    <w:uiPriority w:val="99"/>
    <w:semiHidden/>
    <w:rsid w:val="00F00B57"/>
  </w:style>
  <w:style w:type="paragraph" w:styleId="CommentSubject">
    <w:name w:val="annotation subject"/>
    <w:basedOn w:val="CommentText"/>
    <w:next w:val="CommentText"/>
    <w:link w:val="CommentSubjectChar"/>
    <w:uiPriority w:val="99"/>
    <w:semiHidden/>
    <w:unhideWhenUsed/>
    <w:rsid w:val="00F00B57"/>
    <w:rPr>
      <w:b/>
      <w:bCs/>
      <w:sz w:val="20"/>
      <w:szCs w:val="20"/>
    </w:rPr>
  </w:style>
  <w:style w:type="character" w:customStyle="1" w:styleId="CommentSubjectChar">
    <w:name w:val="Comment Subject Char"/>
    <w:basedOn w:val="CommentTextChar"/>
    <w:link w:val="CommentSubject"/>
    <w:uiPriority w:val="99"/>
    <w:semiHidden/>
    <w:rsid w:val="00F00B57"/>
    <w:rPr>
      <w:b/>
      <w:bCs/>
      <w:sz w:val="20"/>
      <w:szCs w:val="20"/>
    </w:rPr>
  </w:style>
  <w:style w:type="paragraph" w:styleId="ListParagraph">
    <w:name w:val="List Paragraph"/>
    <w:basedOn w:val="Normal"/>
    <w:uiPriority w:val="34"/>
    <w:qFormat/>
    <w:rsid w:val="007E217A"/>
    <w:pPr>
      <w:ind w:left="720"/>
      <w:contextualSpacing/>
    </w:pPr>
    <w:rPr>
      <w:rFonts w:asciiTheme="minorHAnsi" w:eastAsiaTheme="minorHAnsi" w:hAnsiTheme="minorHAnsi" w:cstheme="minorBidi"/>
      <w:lang w:val="uz-Cyrl-UZ" w:eastAsia="en-US"/>
    </w:rPr>
  </w:style>
  <w:style w:type="paragraph" w:customStyle="1" w:styleId="EndNoteBibliographyTitle">
    <w:name w:val="EndNote Bibliography Title"/>
    <w:basedOn w:val="Normal"/>
    <w:link w:val="EndNoteBibliographyTitleChar"/>
    <w:rsid w:val="0076338E"/>
    <w:pPr>
      <w:jc w:val="center"/>
    </w:pPr>
    <w:rPr>
      <w:rFonts w:ascii="Calibri" w:eastAsiaTheme="minorHAnsi" w:hAnsi="Calibri" w:cs="Calibri"/>
      <w:lang w:val="en-US" w:eastAsia="en-US"/>
    </w:rPr>
  </w:style>
  <w:style w:type="character" w:customStyle="1" w:styleId="EndNoteBibliographyTitleChar">
    <w:name w:val="EndNote Bibliography Title Char"/>
    <w:basedOn w:val="DefaultParagraphFont"/>
    <w:link w:val="EndNoteBibliographyTitle"/>
    <w:rsid w:val="0076338E"/>
    <w:rPr>
      <w:rFonts w:ascii="Calibri" w:hAnsi="Calibri" w:cs="Calibri"/>
      <w:lang w:val="en-US"/>
    </w:rPr>
  </w:style>
  <w:style w:type="paragraph" w:customStyle="1" w:styleId="EndNoteBibliography">
    <w:name w:val="EndNote Bibliography"/>
    <w:basedOn w:val="Normal"/>
    <w:link w:val="EndNoteBibliographyChar"/>
    <w:rsid w:val="0076338E"/>
    <w:pPr>
      <w:jc w:val="both"/>
    </w:pPr>
    <w:rPr>
      <w:rFonts w:ascii="Calibri" w:eastAsiaTheme="minorHAnsi" w:hAnsi="Calibri" w:cs="Calibri"/>
      <w:lang w:val="en-US" w:eastAsia="en-US"/>
    </w:rPr>
  </w:style>
  <w:style w:type="character" w:customStyle="1" w:styleId="EndNoteBibliographyChar">
    <w:name w:val="EndNote Bibliography Char"/>
    <w:basedOn w:val="DefaultParagraphFont"/>
    <w:link w:val="EndNoteBibliography"/>
    <w:rsid w:val="0076338E"/>
    <w:rPr>
      <w:rFonts w:ascii="Calibri" w:hAnsi="Calibri" w:cs="Calibri"/>
      <w:lang w:val="en-US"/>
    </w:rPr>
  </w:style>
  <w:style w:type="table" w:styleId="TableGrid">
    <w:name w:val="Table Grid"/>
    <w:basedOn w:val="TableNormal"/>
    <w:uiPriority w:val="39"/>
    <w:rsid w:val="00A82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AF7D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543673">
      <w:bodyDiv w:val="1"/>
      <w:marLeft w:val="0"/>
      <w:marRight w:val="0"/>
      <w:marTop w:val="0"/>
      <w:marBottom w:val="0"/>
      <w:divBdr>
        <w:top w:val="none" w:sz="0" w:space="0" w:color="auto"/>
        <w:left w:val="none" w:sz="0" w:space="0" w:color="auto"/>
        <w:bottom w:val="none" w:sz="0" w:space="0" w:color="auto"/>
        <w:right w:val="none" w:sz="0" w:space="0" w:color="auto"/>
      </w:divBdr>
    </w:div>
    <w:div w:id="1400134269">
      <w:bodyDiv w:val="1"/>
      <w:marLeft w:val="0"/>
      <w:marRight w:val="0"/>
      <w:marTop w:val="0"/>
      <w:marBottom w:val="0"/>
      <w:divBdr>
        <w:top w:val="none" w:sz="0" w:space="0" w:color="auto"/>
        <w:left w:val="none" w:sz="0" w:space="0" w:color="auto"/>
        <w:bottom w:val="none" w:sz="0" w:space="0" w:color="auto"/>
        <w:right w:val="none" w:sz="0" w:space="0" w:color="auto"/>
      </w:divBdr>
    </w:div>
    <w:div w:id="1436250052">
      <w:bodyDiv w:val="1"/>
      <w:marLeft w:val="0"/>
      <w:marRight w:val="0"/>
      <w:marTop w:val="0"/>
      <w:marBottom w:val="0"/>
      <w:divBdr>
        <w:top w:val="none" w:sz="0" w:space="0" w:color="auto"/>
        <w:left w:val="none" w:sz="0" w:space="0" w:color="auto"/>
        <w:bottom w:val="none" w:sz="0" w:space="0" w:color="auto"/>
        <w:right w:val="none" w:sz="0" w:space="0" w:color="auto"/>
      </w:divBdr>
    </w:div>
    <w:div w:id="177748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09503-A581-734D-9C63-71867F5BC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802</Words>
  <Characters>4214</Characters>
  <Application>Microsoft Office Word</Application>
  <DocSecurity>0</DocSecurity>
  <Lines>67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2021-09-06T18:13:00Z</dcterms:created>
  <dcterms:modified xsi:type="dcterms:W3CDTF">2021-09-07T08:57:00Z</dcterms:modified>
</cp:coreProperties>
</file>