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08D4F" w14:textId="3A35007B" w:rsidR="001555E9" w:rsidRPr="007D41FF" w:rsidRDefault="001555E9" w:rsidP="001555E9">
      <w:pPr>
        <w:spacing w:line="360" w:lineRule="auto"/>
        <w:rPr>
          <w:lang w:val="en-US"/>
        </w:rPr>
      </w:pPr>
      <w:r w:rsidRPr="007D41FF">
        <w:rPr>
          <w:b/>
          <w:bCs/>
          <w:lang w:val="en-US"/>
        </w:rPr>
        <w:t xml:space="preserve">ST1. </w:t>
      </w:r>
      <w:r w:rsidRPr="007D41FF">
        <w:rPr>
          <w:lang w:val="en-US"/>
        </w:rPr>
        <w:t>Risk of Bias across studies included in the safety meta-analysis</w:t>
      </w:r>
    </w:p>
    <w:p w14:paraId="3627A422" w14:textId="77777777" w:rsidR="001555E9" w:rsidRPr="007D41FF" w:rsidRDefault="001555E9">
      <w:pPr>
        <w:rPr>
          <w:lang w:val="en-US"/>
        </w:rPr>
      </w:pPr>
    </w:p>
    <w:tbl>
      <w:tblPr>
        <w:tblStyle w:val="TableGrid"/>
        <w:tblW w:w="0" w:type="auto"/>
        <w:tblLayout w:type="fixed"/>
        <w:tblLook w:val="04A0" w:firstRow="1" w:lastRow="0" w:firstColumn="1" w:lastColumn="0" w:noHBand="0" w:noVBand="1"/>
      </w:tblPr>
      <w:tblGrid>
        <w:gridCol w:w="1384"/>
        <w:gridCol w:w="1039"/>
        <w:gridCol w:w="1087"/>
        <w:gridCol w:w="1362"/>
        <w:gridCol w:w="998"/>
        <w:gridCol w:w="1162"/>
        <w:gridCol w:w="969"/>
        <w:gridCol w:w="718"/>
      </w:tblGrid>
      <w:tr w:rsidR="00032273" w:rsidRPr="007D41FF" w14:paraId="446E13CA" w14:textId="77777777" w:rsidTr="002829FD">
        <w:trPr>
          <w:tblHeader/>
        </w:trPr>
        <w:tc>
          <w:tcPr>
            <w:tcW w:w="1384" w:type="dxa"/>
            <w:vMerge w:val="restart"/>
          </w:tcPr>
          <w:p w14:paraId="3942E4B1" w14:textId="77777777" w:rsidR="00032273" w:rsidRPr="007D41FF" w:rsidRDefault="00032273" w:rsidP="002829FD">
            <w:pPr>
              <w:spacing w:beforeLines="60" w:before="144" w:afterLines="60" w:after="144"/>
              <w:rPr>
                <w:rFonts w:ascii="Arial" w:hAnsi="Arial" w:cs="Arial"/>
                <w:b/>
                <w:bCs/>
                <w:color w:val="000000" w:themeColor="text1"/>
                <w:sz w:val="12"/>
                <w:szCs w:val="12"/>
                <w:lang w:val="en-US"/>
              </w:rPr>
            </w:pPr>
            <w:r w:rsidRPr="007D41FF">
              <w:rPr>
                <w:rFonts w:ascii="Arial" w:hAnsi="Arial" w:cs="Arial"/>
                <w:b/>
                <w:bCs/>
                <w:color w:val="000000" w:themeColor="text1"/>
                <w:sz w:val="12"/>
                <w:szCs w:val="12"/>
                <w:lang w:val="en-US"/>
              </w:rPr>
              <w:t>Bias</w:t>
            </w:r>
            <w:r w:rsidRPr="007D41FF">
              <w:rPr>
                <w:rFonts w:ascii="Arial" w:hAnsi="Arial" w:cs="Arial"/>
                <w:b/>
                <w:bCs/>
                <w:color w:val="000000" w:themeColor="text1"/>
                <w:sz w:val="12"/>
                <w:szCs w:val="12"/>
                <w:vertAlign w:val="superscript"/>
                <w:lang w:val="en-US"/>
              </w:rPr>
              <w:t>1</w:t>
            </w:r>
          </w:p>
          <w:p w14:paraId="564C1AF6" w14:textId="77777777" w:rsidR="00032273" w:rsidRPr="007D41FF" w:rsidRDefault="00032273" w:rsidP="002829FD">
            <w:pPr>
              <w:spacing w:beforeLines="60" w:before="144" w:afterLines="60" w:after="144"/>
              <w:rPr>
                <w:rFonts w:ascii="Arial" w:hAnsi="Arial" w:cs="Arial"/>
                <w:b/>
                <w:bCs/>
                <w:color w:val="000000" w:themeColor="text1"/>
                <w:sz w:val="12"/>
                <w:szCs w:val="12"/>
                <w:lang w:val="en-US"/>
              </w:rPr>
            </w:pPr>
          </w:p>
          <w:p w14:paraId="40B34634" w14:textId="77777777" w:rsidR="00032273" w:rsidRPr="007D41FF" w:rsidRDefault="00032273" w:rsidP="002829FD">
            <w:pPr>
              <w:spacing w:beforeLines="60" w:before="144" w:afterLines="60" w:after="144"/>
              <w:rPr>
                <w:rFonts w:ascii="Arial" w:hAnsi="Arial" w:cs="Arial"/>
                <w:b/>
                <w:bCs/>
                <w:color w:val="000000" w:themeColor="text1"/>
                <w:sz w:val="12"/>
                <w:szCs w:val="12"/>
                <w:lang w:val="en-US"/>
              </w:rPr>
            </w:pPr>
          </w:p>
          <w:p w14:paraId="389915E1" w14:textId="77777777" w:rsidR="00032273" w:rsidRPr="007D41FF" w:rsidRDefault="00032273" w:rsidP="002829FD">
            <w:pPr>
              <w:spacing w:beforeLines="60" w:before="144" w:afterLines="60" w:after="144"/>
              <w:rPr>
                <w:rFonts w:ascii="Arial" w:hAnsi="Arial" w:cs="Arial"/>
                <w:b/>
                <w:bCs/>
                <w:color w:val="000000" w:themeColor="text1"/>
                <w:sz w:val="12"/>
                <w:szCs w:val="12"/>
                <w:lang w:val="en-US"/>
              </w:rPr>
            </w:pPr>
            <w:r w:rsidRPr="007D41FF">
              <w:rPr>
                <w:rFonts w:ascii="Arial" w:hAnsi="Arial" w:cs="Arial"/>
                <w:b/>
                <w:bCs/>
                <w:color w:val="000000" w:themeColor="text1"/>
                <w:sz w:val="12"/>
                <w:szCs w:val="12"/>
                <w:lang w:val="en-US"/>
              </w:rPr>
              <w:t>Study</w:t>
            </w:r>
          </w:p>
        </w:tc>
        <w:tc>
          <w:tcPr>
            <w:tcW w:w="2126" w:type="dxa"/>
            <w:gridSpan w:val="2"/>
          </w:tcPr>
          <w:p w14:paraId="63E91C2C" w14:textId="77777777" w:rsidR="00032273" w:rsidRPr="007D41FF" w:rsidRDefault="00032273" w:rsidP="002829FD">
            <w:pPr>
              <w:spacing w:beforeLines="60" w:before="144" w:afterLines="60" w:after="144"/>
              <w:jc w:val="center"/>
              <w:rPr>
                <w:rFonts w:ascii="Arial" w:hAnsi="Arial" w:cs="Arial"/>
                <w:b/>
                <w:bCs/>
                <w:color w:val="000000" w:themeColor="text1"/>
                <w:sz w:val="12"/>
                <w:szCs w:val="12"/>
                <w:lang w:val="en-US"/>
              </w:rPr>
            </w:pPr>
            <w:r w:rsidRPr="007D41FF">
              <w:rPr>
                <w:rFonts w:ascii="Arial" w:hAnsi="Arial" w:cs="Arial"/>
                <w:b/>
                <w:bCs/>
                <w:color w:val="000000" w:themeColor="text1"/>
                <w:sz w:val="12"/>
                <w:szCs w:val="12"/>
                <w:lang w:val="en-US"/>
              </w:rPr>
              <w:t>Selection</w:t>
            </w:r>
          </w:p>
        </w:tc>
        <w:tc>
          <w:tcPr>
            <w:tcW w:w="1362" w:type="dxa"/>
          </w:tcPr>
          <w:p w14:paraId="00EAB01C" w14:textId="77777777" w:rsidR="00032273" w:rsidRPr="007D41FF" w:rsidRDefault="00032273" w:rsidP="002829FD">
            <w:pPr>
              <w:spacing w:beforeLines="60" w:before="144" w:afterLines="60" w:after="144"/>
              <w:rPr>
                <w:rFonts w:ascii="Arial" w:hAnsi="Arial" w:cs="Arial"/>
                <w:b/>
                <w:bCs/>
                <w:color w:val="000000" w:themeColor="text1"/>
                <w:sz w:val="12"/>
                <w:szCs w:val="12"/>
                <w:lang w:val="en-US"/>
              </w:rPr>
            </w:pPr>
            <w:r w:rsidRPr="007D41FF">
              <w:rPr>
                <w:rFonts w:ascii="Arial" w:hAnsi="Arial" w:cs="Arial"/>
                <w:b/>
                <w:bCs/>
                <w:color w:val="000000" w:themeColor="text1"/>
                <w:sz w:val="12"/>
                <w:szCs w:val="12"/>
                <w:lang w:val="en-US"/>
              </w:rPr>
              <w:t>Performance</w:t>
            </w:r>
          </w:p>
        </w:tc>
        <w:tc>
          <w:tcPr>
            <w:tcW w:w="998" w:type="dxa"/>
          </w:tcPr>
          <w:p w14:paraId="4672D9C5" w14:textId="77777777" w:rsidR="00032273" w:rsidRPr="007D41FF" w:rsidRDefault="00032273" w:rsidP="002829FD">
            <w:pPr>
              <w:spacing w:beforeLines="60" w:before="144" w:afterLines="60" w:after="144"/>
              <w:rPr>
                <w:rFonts w:ascii="Arial" w:hAnsi="Arial" w:cs="Arial"/>
                <w:b/>
                <w:bCs/>
                <w:color w:val="000000" w:themeColor="text1"/>
                <w:sz w:val="12"/>
                <w:szCs w:val="12"/>
                <w:lang w:val="en-US"/>
              </w:rPr>
            </w:pPr>
            <w:r w:rsidRPr="007D41FF">
              <w:rPr>
                <w:rFonts w:ascii="Arial" w:hAnsi="Arial" w:cs="Arial"/>
                <w:b/>
                <w:bCs/>
                <w:color w:val="000000" w:themeColor="text1"/>
                <w:sz w:val="12"/>
                <w:szCs w:val="12"/>
                <w:lang w:val="en-US"/>
              </w:rPr>
              <w:t>Detection</w:t>
            </w:r>
          </w:p>
        </w:tc>
        <w:tc>
          <w:tcPr>
            <w:tcW w:w="1162" w:type="dxa"/>
          </w:tcPr>
          <w:p w14:paraId="3F192BDD" w14:textId="77777777" w:rsidR="00032273" w:rsidRPr="007D41FF" w:rsidRDefault="00032273" w:rsidP="002829FD">
            <w:pPr>
              <w:spacing w:beforeLines="60" w:before="144" w:afterLines="60" w:after="144"/>
              <w:rPr>
                <w:rFonts w:ascii="Arial" w:hAnsi="Arial" w:cs="Arial"/>
                <w:b/>
                <w:bCs/>
                <w:color w:val="000000" w:themeColor="text1"/>
                <w:sz w:val="12"/>
                <w:szCs w:val="12"/>
                <w:lang w:val="en-US"/>
              </w:rPr>
            </w:pPr>
            <w:r w:rsidRPr="007D41FF">
              <w:rPr>
                <w:rFonts w:ascii="Arial" w:hAnsi="Arial" w:cs="Arial"/>
                <w:b/>
                <w:bCs/>
                <w:color w:val="000000" w:themeColor="text1"/>
                <w:sz w:val="12"/>
                <w:szCs w:val="12"/>
                <w:lang w:val="en-US"/>
              </w:rPr>
              <w:t>Attrition</w:t>
            </w:r>
          </w:p>
        </w:tc>
        <w:tc>
          <w:tcPr>
            <w:tcW w:w="969" w:type="dxa"/>
          </w:tcPr>
          <w:p w14:paraId="43B4A5A9" w14:textId="77777777" w:rsidR="00032273" w:rsidRPr="007D41FF" w:rsidRDefault="00032273" w:rsidP="002829FD">
            <w:pPr>
              <w:spacing w:beforeLines="60" w:before="144" w:afterLines="60" w:after="144"/>
              <w:rPr>
                <w:rFonts w:ascii="Arial" w:hAnsi="Arial" w:cs="Arial"/>
                <w:b/>
                <w:bCs/>
                <w:color w:val="000000" w:themeColor="text1"/>
                <w:sz w:val="12"/>
                <w:szCs w:val="12"/>
                <w:lang w:val="en-US"/>
              </w:rPr>
            </w:pPr>
            <w:r w:rsidRPr="007D41FF">
              <w:rPr>
                <w:rFonts w:ascii="Arial" w:hAnsi="Arial" w:cs="Arial"/>
                <w:b/>
                <w:bCs/>
                <w:color w:val="000000" w:themeColor="text1"/>
                <w:sz w:val="12"/>
                <w:szCs w:val="12"/>
                <w:lang w:val="en-US"/>
              </w:rPr>
              <w:t>Reporting</w:t>
            </w:r>
          </w:p>
        </w:tc>
        <w:tc>
          <w:tcPr>
            <w:tcW w:w="718" w:type="dxa"/>
          </w:tcPr>
          <w:p w14:paraId="04441F36" w14:textId="77777777" w:rsidR="00032273" w:rsidRPr="007D41FF" w:rsidRDefault="00032273" w:rsidP="002829FD">
            <w:pPr>
              <w:spacing w:beforeLines="60" w:before="144" w:afterLines="60" w:after="144"/>
              <w:rPr>
                <w:rFonts w:ascii="Arial" w:hAnsi="Arial" w:cs="Arial"/>
                <w:b/>
                <w:bCs/>
                <w:color w:val="000000" w:themeColor="text1"/>
                <w:sz w:val="12"/>
                <w:szCs w:val="12"/>
                <w:lang w:val="en-US"/>
              </w:rPr>
            </w:pPr>
            <w:r w:rsidRPr="007D41FF">
              <w:rPr>
                <w:rFonts w:ascii="Arial" w:hAnsi="Arial" w:cs="Arial"/>
                <w:b/>
                <w:bCs/>
                <w:color w:val="000000" w:themeColor="text1"/>
                <w:sz w:val="12"/>
                <w:szCs w:val="12"/>
                <w:lang w:val="en-US"/>
              </w:rPr>
              <w:t>Other</w:t>
            </w:r>
          </w:p>
        </w:tc>
      </w:tr>
      <w:tr w:rsidR="00032273" w:rsidRPr="007D41FF" w14:paraId="1A822A87" w14:textId="77777777" w:rsidTr="002829FD">
        <w:trPr>
          <w:trHeight w:val="625"/>
          <w:tblHeader/>
        </w:trPr>
        <w:tc>
          <w:tcPr>
            <w:tcW w:w="1384" w:type="dxa"/>
            <w:vMerge/>
          </w:tcPr>
          <w:p w14:paraId="4DF9F690" w14:textId="77777777" w:rsidR="00032273" w:rsidRPr="007D41FF" w:rsidRDefault="00032273" w:rsidP="002829FD">
            <w:pPr>
              <w:spacing w:beforeLines="60" w:before="144" w:afterLines="60" w:after="144"/>
              <w:rPr>
                <w:rFonts w:ascii="Arial" w:hAnsi="Arial" w:cs="Arial"/>
                <w:b/>
                <w:bCs/>
                <w:color w:val="000000" w:themeColor="text1"/>
                <w:sz w:val="12"/>
                <w:szCs w:val="12"/>
                <w:lang w:val="en-US"/>
              </w:rPr>
            </w:pPr>
          </w:p>
        </w:tc>
        <w:tc>
          <w:tcPr>
            <w:tcW w:w="1039" w:type="dxa"/>
          </w:tcPr>
          <w:p w14:paraId="0974C569" w14:textId="77777777" w:rsidR="00032273" w:rsidRPr="007D41FF" w:rsidRDefault="00032273" w:rsidP="002829FD">
            <w:pPr>
              <w:spacing w:beforeLines="60" w:before="144" w:afterLines="60" w:after="144"/>
              <w:rPr>
                <w:rFonts w:ascii="Arial" w:hAnsi="Arial" w:cs="Arial"/>
                <w:b/>
                <w:bCs/>
                <w:color w:val="000000" w:themeColor="text1"/>
                <w:sz w:val="12"/>
                <w:szCs w:val="12"/>
                <w:lang w:val="en-US"/>
              </w:rPr>
            </w:pPr>
            <w:r w:rsidRPr="007D41FF">
              <w:rPr>
                <w:rFonts w:ascii="Arial" w:hAnsi="Arial" w:cs="Arial"/>
                <w:b/>
                <w:bCs/>
                <w:color w:val="000000" w:themeColor="text1"/>
                <w:sz w:val="12"/>
                <w:szCs w:val="12"/>
                <w:lang w:val="en-US"/>
              </w:rPr>
              <w:t>Appropriate generation of the allocation sequence</w:t>
            </w:r>
          </w:p>
        </w:tc>
        <w:tc>
          <w:tcPr>
            <w:tcW w:w="1087" w:type="dxa"/>
          </w:tcPr>
          <w:p w14:paraId="5FC6117A" w14:textId="77777777" w:rsidR="00032273" w:rsidRPr="007D41FF" w:rsidRDefault="00032273" w:rsidP="002829FD">
            <w:pPr>
              <w:spacing w:beforeLines="60" w:before="144" w:afterLines="60" w:after="144"/>
              <w:rPr>
                <w:rFonts w:ascii="Arial" w:hAnsi="Arial" w:cs="Arial"/>
                <w:b/>
                <w:bCs/>
                <w:color w:val="000000" w:themeColor="text1"/>
                <w:sz w:val="12"/>
                <w:szCs w:val="12"/>
                <w:lang w:val="en-US"/>
              </w:rPr>
            </w:pPr>
            <w:r w:rsidRPr="007D41FF">
              <w:rPr>
                <w:rFonts w:ascii="Arial" w:hAnsi="Arial" w:cs="Arial"/>
                <w:b/>
                <w:bCs/>
                <w:color w:val="000000" w:themeColor="text1"/>
                <w:sz w:val="12"/>
                <w:szCs w:val="12"/>
                <w:lang w:val="en-US"/>
              </w:rPr>
              <w:t>Conceal-</w:t>
            </w:r>
            <w:proofErr w:type="spellStart"/>
            <w:r w:rsidRPr="007D41FF">
              <w:rPr>
                <w:rFonts w:ascii="Arial" w:hAnsi="Arial" w:cs="Arial"/>
                <w:b/>
                <w:bCs/>
                <w:color w:val="000000" w:themeColor="text1"/>
                <w:sz w:val="12"/>
                <w:szCs w:val="12"/>
                <w:lang w:val="en-US"/>
              </w:rPr>
              <w:t>ment</w:t>
            </w:r>
            <w:proofErr w:type="spellEnd"/>
            <w:r w:rsidRPr="007D41FF">
              <w:rPr>
                <w:rFonts w:ascii="Arial" w:hAnsi="Arial" w:cs="Arial"/>
                <w:b/>
                <w:bCs/>
                <w:color w:val="000000" w:themeColor="text1"/>
                <w:sz w:val="12"/>
                <w:szCs w:val="12"/>
                <w:lang w:val="en-US"/>
              </w:rPr>
              <w:t xml:space="preserve"> of the allocation sequence</w:t>
            </w:r>
          </w:p>
        </w:tc>
        <w:tc>
          <w:tcPr>
            <w:tcW w:w="1362" w:type="dxa"/>
          </w:tcPr>
          <w:p w14:paraId="4C996856" w14:textId="77777777" w:rsidR="00032273" w:rsidRPr="007D41FF" w:rsidRDefault="00032273" w:rsidP="002829FD">
            <w:pPr>
              <w:spacing w:beforeLines="60" w:before="144" w:afterLines="60" w:after="144"/>
              <w:rPr>
                <w:rFonts w:ascii="Arial" w:hAnsi="Arial" w:cs="Arial"/>
                <w:b/>
                <w:bCs/>
                <w:color w:val="000000" w:themeColor="text1"/>
                <w:sz w:val="12"/>
                <w:szCs w:val="12"/>
                <w:lang w:val="en-US"/>
              </w:rPr>
            </w:pPr>
            <w:r w:rsidRPr="007D41FF">
              <w:rPr>
                <w:rFonts w:ascii="Arial" w:hAnsi="Arial" w:cs="Arial"/>
                <w:b/>
                <w:bCs/>
                <w:color w:val="000000" w:themeColor="text1"/>
                <w:sz w:val="12"/>
                <w:szCs w:val="12"/>
                <w:lang w:val="en-US"/>
              </w:rPr>
              <w:t>Blinding of participant and health care providers</w:t>
            </w:r>
          </w:p>
        </w:tc>
        <w:tc>
          <w:tcPr>
            <w:tcW w:w="998" w:type="dxa"/>
          </w:tcPr>
          <w:p w14:paraId="34447E1D" w14:textId="77777777" w:rsidR="00032273" w:rsidRPr="007D41FF" w:rsidRDefault="00032273" w:rsidP="002829FD">
            <w:pPr>
              <w:spacing w:beforeLines="60" w:before="144" w:afterLines="60" w:after="144"/>
              <w:rPr>
                <w:rFonts w:ascii="Arial" w:hAnsi="Arial" w:cs="Arial"/>
                <w:b/>
                <w:bCs/>
                <w:color w:val="000000" w:themeColor="text1"/>
                <w:sz w:val="12"/>
                <w:szCs w:val="12"/>
                <w:lang w:val="en-US"/>
              </w:rPr>
            </w:pPr>
            <w:r w:rsidRPr="007D41FF">
              <w:rPr>
                <w:rFonts w:ascii="Arial" w:hAnsi="Arial" w:cs="Arial"/>
                <w:b/>
                <w:bCs/>
                <w:color w:val="000000" w:themeColor="text1"/>
                <w:sz w:val="12"/>
                <w:szCs w:val="12"/>
                <w:lang w:val="en-US"/>
              </w:rPr>
              <w:t>Blinding of outcome assessors</w:t>
            </w:r>
          </w:p>
        </w:tc>
        <w:tc>
          <w:tcPr>
            <w:tcW w:w="1162" w:type="dxa"/>
          </w:tcPr>
          <w:p w14:paraId="42A6F454" w14:textId="77777777" w:rsidR="00032273" w:rsidRPr="007D41FF" w:rsidRDefault="00032273" w:rsidP="002829FD">
            <w:pPr>
              <w:spacing w:beforeLines="60" w:before="144" w:afterLines="60" w:after="144"/>
              <w:rPr>
                <w:rFonts w:ascii="Arial" w:hAnsi="Arial" w:cs="Arial"/>
                <w:b/>
                <w:bCs/>
                <w:color w:val="000000" w:themeColor="text1"/>
                <w:sz w:val="12"/>
                <w:szCs w:val="12"/>
                <w:lang w:val="en-US"/>
              </w:rPr>
            </w:pPr>
            <w:r w:rsidRPr="007D41FF">
              <w:rPr>
                <w:rFonts w:ascii="Arial" w:hAnsi="Arial" w:cs="Arial"/>
                <w:b/>
                <w:bCs/>
                <w:color w:val="000000" w:themeColor="text1"/>
                <w:sz w:val="12"/>
                <w:szCs w:val="12"/>
                <w:lang w:val="en-US"/>
              </w:rPr>
              <w:t>Assessment of incomplete outcome data</w:t>
            </w:r>
          </w:p>
        </w:tc>
        <w:tc>
          <w:tcPr>
            <w:tcW w:w="969" w:type="dxa"/>
          </w:tcPr>
          <w:p w14:paraId="19F81388" w14:textId="77777777" w:rsidR="00032273" w:rsidRPr="007D41FF" w:rsidRDefault="00032273" w:rsidP="002829FD">
            <w:pPr>
              <w:spacing w:beforeLines="60" w:before="144" w:afterLines="60" w:after="144"/>
              <w:rPr>
                <w:rFonts w:ascii="Arial" w:hAnsi="Arial" w:cs="Arial"/>
                <w:b/>
                <w:bCs/>
                <w:color w:val="000000" w:themeColor="text1"/>
                <w:sz w:val="12"/>
                <w:szCs w:val="12"/>
                <w:lang w:val="en-US"/>
              </w:rPr>
            </w:pPr>
            <w:r w:rsidRPr="007D41FF">
              <w:rPr>
                <w:rFonts w:ascii="Arial" w:hAnsi="Arial" w:cs="Arial"/>
                <w:b/>
                <w:bCs/>
                <w:color w:val="000000" w:themeColor="text1"/>
                <w:sz w:val="12"/>
                <w:szCs w:val="12"/>
                <w:lang w:val="en-US"/>
              </w:rPr>
              <w:t>Selective outcome reporting</w:t>
            </w:r>
          </w:p>
        </w:tc>
        <w:tc>
          <w:tcPr>
            <w:tcW w:w="718" w:type="dxa"/>
          </w:tcPr>
          <w:p w14:paraId="5D121A27" w14:textId="77777777" w:rsidR="00032273" w:rsidRPr="007D41FF" w:rsidRDefault="00032273" w:rsidP="002829FD">
            <w:pPr>
              <w:spacing w:beforeLines="60" w:before="144" w:afterLines="60" w:after="144"/>
              <w:rPr>
                <w:rFonts w:ascii="Arial" w:hAnsi="Arial" w:cs="Arial"/>
                <w:b/>
                <w:bCs/>
                <w:color w:val="000000" w:themeColor="text1"/>
                <w:sz w:val="12"/>
                <w:szCs w:val="12"/>
                <w:lang w:val="en-US"/>
              </w:rPr>
            </w:pPr>
            <w:r w:rsidRPr="007D41FF">
              <w:rPr>
                <w:rFonts w:ascii="Arial" w:hAnsi="Arial" w:cs="Arial"/>
                <w:b/>
                <w:bCs/>
                <w:color w:val="000000" w:themeColor="text1"/>
                <w:sz w:val="12"/>
                <w:szCs w:val="12"/>
                <w:lang w:val="en-US"/>
              </w:rPr>
              <w:t xml:space="preserve">Other biases </w:t>
            </w:r>
          </w:p>
        </w:tc>
      </w:tr>
      <w:tr w:rsidR="00032273" w:rsidRPr="007D41FF" w14:paraId="219545C1" w14:textId="77777777" w:rsidTr="002829FD">
        <w:tc>
          <w:tcPr>
            <w:tcW w:w="1384" w:type="dxa"/>
          </w:tcPr>
          <w:p w14:paraId="0EA64726" w14:textId="7685F717" w:rsidR="00032273" w:rsidRPr="007D41FF" w:rsidRDefault="00032273" w:rsidP="002829FD">
            <w:pPr>
              <w:spacing w:beforeLines="60" w:before="144" w:afterLines="60" w:after="144"/>
              <w:rPr>
                <w:rFonts w:ascii="Arial" w:hAnsi="Arial" w:cs="Arial"/>
                <w:color w:val="000000" w:themeColor="text1"/>
                <w:sz w:val="12"/>
                <w:szCs w:val="12"/>
                <w:lang w:val="en-US"/>
              </w:rPr>
            </w:pPr>
            <w:proofErr w:type="spellStart"/>
            <w:r w:rsidRPr="007D41FF">
              <w:rPr>
                <w:rFonts w:ascii="Arial" w:eastAsiaTheme="minorHAnsi" w:hAnsi="Arial" w:cs="Arial"/>
                <w:sz w:val="12"/>
                <w:szCs w:val="12"/>
                <w:lang w:val="en-US" w:eastAsia="en-US"/>
              </w:rPr>
              <w:t>Ladurner</w:t>
            </w:r>
            <w:proofErr w:type="spellEnd"/>
            <w:r w:rsidRPr="007D41FF">
              <w:rPr>
                <w:rFonts w:ascii="Arial" w:eastAsiaTheme="minorHAnsi" w:hAnsi="Arial" w:cs="Arial"/>
                <w:sz w:val="12"/>
                <w:szCs w:val="12"/>
                <w:lang w:val="en-US" w:eastAsia="en-US"/>
              </w:rPr>
              <w:t xml:space="preserve"> 2005</w:t>
            </w:r>
          </w:p>
        </w:tc>
        <w:tc>
          <w:tcPr>
            <w:tcW w:w="1039" w:type="dxa"/>
            <w:vAlign w:val="center"/>
          </w:tcPr>
          <w:p w14:paraId="1C0448EF"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1087" w:type="dxa"/>
            <w:vAlign w:val="center"/>
          </w:tcPr>
          <w:p w14:paraId="6B6EC147"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r w:rsidRPr="007D41FF">
              <w:rPr>
                <w:rFonts w:ascii="Arial" w:hAnsi="Arial" w:cs="Arial"/>
                <w:color w:val="000000" w:themeColor="text1"/>
                <w:sz w:val="12"/>
                <w:szCs w:val="12"/>
                <w:vertAlign w:val="superscript"/>
                <w:lang w:val="en-US"/>
              </w:rPr>
              <w:t>1</w:t>
            </w:r>
          </w:p>
        </w:tc>
        <w:tc>
          <w:tcPr>
            <w:tcW w:w="1362" w:type="dxa"/>
            <w:vAlign w:val="center"/>
          </w:tcPr>
          <w:p w14:paraId="12F9B370"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998" w:type="dxa"/>
            <w:vAlign w:val="center"/>
          </w:tcPr>
          <w:p w14:paraId="10657FDF"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1162" w:type="dxa"/>
            <w:vAlign w:val="center"/>
          </w:tcPr>
          <w:p w14:paraId="20E7399F"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r w:rsidRPr="007D41FF">
              <w:rPr>
                <w:rFonts w:ascii="Arial" w:hAnsi="Arial" w:cs="Arial"/>
                <w:color w:val="000000" w:themeColor="text1"/>
                <w:sz w:val="12"/>
                <w:szCs w:val="12"/>
                <w:vertAlign w:val="superscript"/>
                <w:lang w:val="en-US"/>
              </w:rPr>
              <w:t>2</w:t>
            </w:r>
          </w:p>
        </w:tc>
        <w:tc>
          <w:tcPr>
            <w:tcW w:w="969" w:type="dxa"/>
            <w:vAlign w:val="center"/>
          </w:tcPr>
          <w:p w14:paraId="619A57A9"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r w:rsidRPr="007D41FF">
              <w:rPr>
                <w:rFonts w:ascii="Arial" w:hAnsi="Arial" w:cs="Arial"/>
                <w:color w:val="000000" w:themeColor="text1"/>
                <w:sz w:val="12"/>
                <w:szCs w:val="12"/>
                <w:vertAlign w:val="superscript"/>
                <w:lang w:val="en-US"/>
              </w:rPr>
              <w:t>3</w:t>
            </w:r>
          </w:p>
        </w:tc>
        <w:tc>
          <w:tcPr>
            <w:tcW w:w="718" w:type="dxa"/>
            <w:vAlign w:val="center"/>
          </w:tcPr>
          <w:p w14:paraId="7921D27F"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r w:rsidRPr="007D41FF">
              <w:rPr>
                <w:rFonts w:ascii="Arial" w:hAnsi="Arial" w:cs="Arial"/>
                <w:color w:val="000000" w:themeColor="text1"/>
                <w:sz w:val="12"/>
                <w:szCs w:val="12"/>
                <w:vertAlign w:val="superscript"/>
                <w:lang w:val="en-US"/>
              </w:rPr>
              <w:t>3</w:t>
            </w:r>
          </w:p>
        </w:tc>
      </w:tr>
      <w:tr w:rsidR="00032273" w:rsidRPr="007D41FF" w14:paraId="6D334743" w14:textId="77777777" w:rsidTr="002829FD">
        <w:tc>
          <w:tcPr>
            <w:tcW w:w="1384" w:type="dxa"/>
          </w:tcPr>
          <w:p w14:paraId="76A1BB13" w14:textId="0C652A44" w:rsidR="00032273" w:rsidRPr="007D41FF" w:rsidRDefault="00032273" w:rsidP="002829FD">
            <w:pPr>
              <w:spacing w:beforeLines="60" w:before="144" w:afterLines="60" w:after="144"/>
              <w:rPr>
                <w:rFonts w:ascii="Arial" w:hAnsi="Arial" w:cs="Arial"/>
                <w:color w:val="000000"/>
                <w:sz w:val="12"/>
                <w:szCs w:val="12"/>
                <w:lang w:val="en-US"/>
              </w:rPr>
            </w:pPr>
            <w:proofErr w:type="spellStart"/>
            <w:r w:rsidRPr="007D41FF">
              <w:rPr>
                <w:rFonts w:ascii="Arial" w:eastAsiaTheme="minorHAnsi" w:hAnsi="Arial" w:cs="Arial"/>
                <w:sz w:val="12"/>
                <w:szCs w:val="12"/>
                <w:lang w:val="en-US" w:eastAsia="en-US"/>
              </w:rPr>
              <w:t>Skvortsova</w:t>
            </w:r>
            <w:proofErr w:type="spellEnd"/>
            <w:r w:rsidRPr="007D41FF">
              <w:rPr>
                <w:rFonts w:ascii="Arial" w:eastAsiaTheme="minorHAnsi" w:hAnsi="Arial" w:cs="Arial"/>
                <w:sz w:val="12"/>
                <w:szCs w:val="12"/>
                <w:lang w:val="en-US" w:eastAsia="en-US"/>
              </w:rPr>
              <w:t xml:space="preserve"> 2004</w:t>
            </w:r>
          </w:p>
        </w:tc>
        <w:tc>
          <w:tcPr>
            <w:tcW w:w="1039" w:type="dxa"/>
            <w:vAlign w:val="center"/>
          </w:tcPr>
          <w:p w14:paraId="3592D06C"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r w:rsidRPr="007D41FF">
              <w:rPr>
                <w:rFonts w:ascii="Arial" w:hAnsi="Arial" w:cs="Arial"/>
                <w:color w:val="000000" w:themeColor="text1"/>
                <w:sz w:val="12"/>
                <w:szCs w:val="12"/>
                <w:vertAlign w:val="superscript"/>
                <w:lang w:val="en-US"/>
              </w:rPr>
              <w:t>4</w:t>
            </w:r>
          </w:p>
        </w:tc>
        <w:tc>
          <w:tcPr>
            <w:tcW w:w="1087" w:type="dxa"/>
            <w:vAlign w:val="center"/>
          </w:tcPr>
          <w:p w14:paraId="5C529746"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r w:rsidRPr="007D41FF">
              <w:rPr>
                <w:rFonts w:ascii="Arial" w:hAnsi="Arial" w:cs="Arial"/>
                <w:color w:val="000000" w:themeColor="text1"/>
                <w:sz w:val="12"/>
                <w:szCs w:val="12"/>
                <w:vertAlign w:val="superscript"/>
                <w:lang w:val="en-US"/>
              </w:rPr>
              <w:t>4</w:t>
            </w:r>
          </w:p>
        </w:tc>
        <w:tc>
          <w:tcPr>
            <w:tcW w:w="1362" w:type="dxa"/>
            <w:vAlign w:val="center"/>
          </w:tcPr>
          <w:p w14:paraId="678242AD"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r w:rsidRPr="007D41FF">
              <w:rPr>
                <w:rFonts w:ascii="Arial" w:hAnsi="Arial" w:cs="Arial"/>
                <w:color w:val="000000" w:themeColor="text1"/>
                <w:sz w:val="12"/>
                <w:szCs w:val="12"/>
                <w:vertAlign w:val="superscript"/>
                <w:lang w:val="en-US"/>
              </w:rPr>
              <w:t>4</w:t>
            </w:r>
          </w:p>
        </w:tc>
        <w:tc>
          <w:tcPr>
            <w:tcW w:w="998" w:type="dxa"/>
            <w:vAlign w:val="center"/>
          </w:tcPr>
          <w:p w14:paraId="0B44D66B"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r w:rsidRPr="007D41FF">
              <w:rPr>
                <w:rFonts w:ascii="Arial" w:hAnsi="Arial" w:cs="Arial"/>
                <w:color w:val="000000" w:themeColor="text1"/>
                <w:sz w:val="12"/>
                <w:szCs w:val="12"/>
                <w:vertAlign w:val="superscript"/>
                <w:lang w:val="en-US"/>
              </w:rPr>
              <w:t>4</w:t>
            </w:r>
          </w:p>
        </w:tc>
        <w:tc>
          <w:tcPr>
            <w:tcW w:w="1162" w:type="dxa"/>
            <w:vAlign w:val="center"/>
          </w:tcPr>
          <w:p w14:paraId="6AE28C1A"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r w:rsidRPr="007D41FF">
              <w:rPr>
                <w:rFonts w:ascii="Arial" w:hAnsi="Arial" w:cs="Arial"/>
                <w:color w:val="000000" w:themeColor="text1"/>
                <w:sz w:val="12"/>
                <w:szCs w:val="12"/>
                <w:vertAlign w:val="superscript"/>
                <w:lang w:val="en-US"/>
              </w:rPr>
              <w:t>5</w:t>
            </w:r>
          </w:p>
        </w:tc>
        <w:tc>
          <w:tcPr>
            <w:tcW w:w="969" w:type="dxa"/>
            <w:vAlign w:val="center"/>
          </w:tcPr>
          <w:p w14:paraId="1025BB5B"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r w:rsidRPr="007D41FF">
              <w:rPr>
                <w:rFonts w:ascii="Arial" w:hAnsi="Arial" w:cs="Arial"/>
                <w:color w:val="000000" w:themeColor="text1"/>
                <w:sz w:val="12"/>
                <w:szCs w:val="12"/>
                <w:vertAlign w:val="superscript"/>
                <w:lang w:val="en-US"/>
              </w:rPr>
              <w:t>6</w:t>
            </w:r>
          </w:p>
        </w:tc>
        <w:tc>
          <w:tcPr>
            <w:tcW w:w="718" w:type="dxa"/>
            <w:vAlign w:val="center"/>
          </w:tcPr>
          <w:p w14:paraId="129159EB"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r w:rsidRPr="007D41FF">
              <w:rPr>
                <w:rFonts w:ascii="Arial" w:hAnsi="Arial" w:cs="Arial"/>
                <w:color w:val="000000" w:themeColor="text1"/>
                <w:sz w:val="12"/>
                <w:szCs w:val="12"/>
                <w:vertAlign w:val="superscript"/>
                <w:lang w:val="en-US"/>
              </w:rPr>
              <w:t>6</w:t>
            </w:r>
          </w:p>
        </w:tc>
      </w:tr>
      <w:tr w:rsidR="00032273" w:rsidRPr="007D41FF" w14:paraId="093019A0" w14:textId="77777777" w:rsidTr="002829FD">
        <w:tc>
          <w:tcPr>
            <w:tcW w:w="1384" w:type="dxa"/>
          </w:tcPr>
          <w:p w14:paraId="6341CCB3" w14:textId="20131E63" w:rsidR="00032273" w:rsidRPr="007D41FF" w:rsidRDefault="00032273" w:rsidP="002829FD">
            <w:pPr>
              <w:spacing w:beforeLines="60" w:before="144" w:afterLines="60" w:after="144"/>
              <w:rPr>
                <w:rFonts w:ascii="Arial" w:hAnsi="Arial" w:cs="Arial"/>
                <w:color w:val="000000" w:themeColor="text1"/>
                <w:sz w:val="12"/>
                <w:szCs w:val="12"/>
                <w:lang w:val="en-US"/>
              </w:rPr>
            </w:pPr>
            <w:proofErr w:type="spellStart"/>
            <w:r w:rsidRPr="007D41FF">
              <w:rPr>
                <w:rFonts w:ascii="Arial" w:eastAsiaTheme="minorHAnsi" w:hAnsi="Arial" w:cs="Arial"/>
                <w:sz w:val="12"/>
                <w:szCs w:val="12"/>
                <w:lang w:val="en-US" w:eastAsia="en-US"/>
              </w:rPr>
              <w:t>Shamalov</w:t>
            </w:r>
            <w:proofErr w:type="spellEnd"/>
            <w:r w:rsidRPr="007D41FF">
              <w:rPr>
                <w:rFonts w:ascii="Arial" w:eastAsiaTheme="minorHAnsi" w:hAnsi="Arial" w:cs="Arial"/>
                <w:sz w:val="12"/>
                <w:szCs w:val="12"/>
                <w:lang w:val="en-US" w:eastAsia="en-US"/>
              </w:rPr>
              <w:t xml:space="preserve"> 2010</w:t>
            </w:r>
          </w:p>
        </w:tc>
        <w:tc>
          <w:tcPr>
            <w:tcW w:w="1039" w:type="dxa"/>
            <w:vAlign w:val="center"/>
          </w:tcPr>
          <w:p w14:paraId="6E56D680"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1087" w:type="dxa"/>
            <w:vAlign w:val="center"/>
          </w:tcPr>
          <w:p w14:paraId="146FE6C9"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1362" w:type="dxa"/>
            <w:vAlign w:val="center"/>
          </w:tcPr>
          <w:p w14:paraId="23F57148"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998" w:type="dxa"/>
            <w:vAlign w:val="center"/>
          </w:tcPr>
          <w:p w14:paraId="1A079CD8"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1162" w:type="dxa"/>
            <w:vAlign w:val="center"/>
          </w:tcPr>
          <w:p w14:paraId="3118BB19"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969" w:type="dxa"/>
            <w:vAlign w:val="center"/>
          </w:tcPr>
          <w:p w14:paraId="1CCE8381"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718" w:type="dxa"/>
            <w:vAlign w:val="center"/>
          </w:tcPr>
          <w:p w14:paraId="3997A20A"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r>
      <w:tr w:rsidR="00032273" w:rsidRPr="007D41FF" w14:paraId="37F3BEE4" w14:textId="77777777" w:rsidTr="002829FD">
        <w:tc>
          <w:tcPr>
            <w:tcW w:w="1384" w:type="dxa"/>
          </w:tcPr>
          <w:p w14:paraId="1553C740" w14:textId="188191D6" w:rsidR="00032273" w:rsidRPr="007D41FF" w:rsidRDefault="00032273" w:rsidP="002829FD">
            <w:pPr>
              <w:spacing w:beforeLines="60" w:before="144" w:afterLines="60" w:after="144"/>
              <w:rPr>
                <w:rFonts w:ascii="Arial" w:hAnsi="Arial" w:cs="Arial"/>
                <w:color w:val="000000"/>
                <w:sz w:val="12"/>
                <w:szCs w:val="12"/>
                <w:lang w:val="en-US"/>
              </w:rPr>
            </w:pPr>
            <w:proofErr w:type="spellStart"/>
            <w:r w:rsidRPr="007D41FF">
              <w:rPr>
                <w:rFonts w:ascii="Arial" w:eastAsiaTheme="minorHAnsi" w:hAnsi="Arial" w:cs="Arial"/>
                <w:sz w:val="12"/>
                <w:szCs w:val="12"/>
                <w:lang w:val="en-US" w:eastAsia="en-US"/>
              </w:rPr>
              <w:t>Gharagozli</w:t>
            </w:r>
            <w:proofErr w:type="spellEnd"/>
            <w:r w:rsidRPr="007D41FF">
              <w:rPr>
                <w:rFonts w:ascii="Arial" w:eastAsiaTheme="minorHAnsi" w:hAnsi="Arial" w:cs="Arial"/>
                <w:sz w:val="12"/>
                <w:szCs w:val="12"/>
                <w:lang w:val="en-US" w:eastAsia="en-US"/>
              </w:rPr>
              <w:t xml:space="preserve"> 2011</w:t>
            </w:r>
          </w:p>
        </w:tc>
        <w:tc>
          <w:tcPr>
            <w:tcW w:w="1039" w:type="dxa"/>
            <w:vAlign w:val="center"/>
          </w:tcPr>
          <w:p w14:paraId="4A0F9799"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1087" w:type="dxa"/>
            <w:vAlign w:val="center"/>
          </w:tcPr>
          <w:p w14:paraId="5337AF02"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Unclear risk</w:t>
            </w:r>
          </w:p>
        </w:tc>
        <w:tc>
          <w:tcPr>
            <w:tcW w:w="1362" w:type="dxa"/>
            <w:vAlign w:val="center"/>
          </w:tcPr>
          <w:p w14:paraId="1A41C52F"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Unclear risk</w:t>
            </w:r>
          </w:p>
        </w:tc>
        <w:tc>
          <w:tcPr>
            <w:tcW w:w="998" w:type="dxa"/>
            <w:vAlign w:val="center"/>
          </w:tcPr>
          <w:p w14:paraId="68364D4D"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Unclear risk</w:t>
            </w:r>
          </w:p>
        </w:tc>
        <w:tc>
          <w:tcPr>
            <w:tcW w:w="1162" w:type="dxa"/>
            <w:vAlign w:val="center"/>
          </w:tcPr>
          <w:p w14:paraId="064069C7"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r w:rsidRPr="007D41FF">
              <w:rPr>
                <w:rFonts w:ascii="Arial" w:hAnsi="Arial" w:cs="Arial"/>
                <w:color w:val="000000" w:themeColor="text1"/>
                <w:sz w:val="12"/>
                <w:szCs w:val="12"/>
                <w:vertAlign w:val="superscript"/>
                <w:lang w:val="en-US"/>
              </w:rPr>
              <w:t>7</w:t>
            </w:r>
          </w:p>
        </w:tc>
        <w:tc>
          <w:tcPr>
            <w:tcW w:w="969" w:type="dxa"/>
            <w:vAlign w:val="center"/>
          </w:tcPr>
          <w:p w14:paraId="7026B2DC"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718" w:type="dxa"/>
            <w:vAlign w:val="center"/>
          </w:tcPr>
          <w:p w14:paraId="17A88B46"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r w:rsidRPr="007D41FF">
              <w:rPr>
                <w:rFonts w:ascii="Arial" w:hAnsi="Arial" w:cs="Arial"/>
                <w:color w:val="000000" w:themeColor="text1"/>
                <w:sz w:val="12"/>
                <w:szCs w:val="12"/>
                <w:vertAlign w:val="superscript"/>
                <w:lang w:val="en-US"/>
              </w:rPr>
              <w:t>7</w:t>
            </w:r>
          </w:p>
        </w:tc>
      </w:tr>
      <w:tr w:rsidR="00032273" w:rsidRPr="007D41FF" w14:paraId="593CB80A" w14:textId="77777777" w:rsidTr="002829FD">
        <w:tc>
          <w:tcPr>
            <w:tcW w:w="1384" w:type="dxa"/>
          </w:tcPr>
          <w:p w14:paraId="1CEF0F17" w14:textId="3DC4785D" w:rsidR="00032273" w:rsidRPr="007D41FF" w:rsidRDefault="00032273" w:rsidP="002829FD">
            <w:pPr>
              <w:spacing w:beforeLines="60" w:before="144" w:afterLines="60" w:after="144"/>
              <w:rPr>
                <w:rFonts w:ascii="Arial" w:hAnsi="Arial" w:cs="Arial"/>
                <w:color w:val="000000"/>
                <w:sz w:val="12"/>
                <w:szCs w:val="12"/>
                <w:lang w:val="en-US"/>
              </w:rPr>
            </w:pPr>
            <w:proofErr w:type="spellStart"/>
            <w:r w:rsidRPr="007D41FF">
              <w:rPr>
                <w:rFonts w:ascii="Arial" w:eastAsiaTheme="minorHAnsi" w:hAnsi="Arial" w:cs="Arial"/>
                <w:sz w:val="12"/>
                <w:szCs w:val="12"/>
                <w:lang w:val="en-US" w:eastAsia="en-US"/>
              </w:rPr>
              <w:t>Heiss</w:t>
            </w:r>
            <w:proofErr w:type="spellEnd"/>
            <w:r w:rsidRPr="007D41FF">
              <w:rPr>
                <w:rFonts w:ascii="Arial" w:eastAsiaTheme="minorHAnsi" w:hAnsi="Arial" w:cs="Arial"/>
                <w:sz w:val="12"/>
                <w:szCs w:val="12"/>
                <w:lang w:val="en-US" w:eastAsia="en-US"/>
              </w:rPr>
              <w:t xml:space="preserve"> 2012</w:t>
            </w:r>
          </w:p>
        </w:tc>
        <w:tc>
          <w:tcPr>
            <w:tcW w:w="1039" w:type="dxa"/>
            <w:shd w:val="clear" w:color="auto" w:fill="auto"/>
            <w:vAlign w:val="center"/>
          </w:tcPr>
          <w:p w14:paraId="1A22AC2A"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r w:rsidRPr="007D41FF">
              <w:rPr>
                <w:rFonts w:ascii="Arial" w:hAnsi="Arial" w:cs="Arial"/>
                <w:color w:val="000000" w:themeColor="text1"/>
                <w:sz w:val="12"/>
                <w:szCs w:val="12"/>
                <w:vertAlign w:val="superscript"/>
                <w:lang w:val="en-US"/>
              </w:rPr>
              <w:t>8</w:t>
            </w:r>
          </w:p>
        </w:tc>
        <w:tc>
          <w:tcPr>
            <w:tcW w:w="1087" w:type="dxa"/>
            <w:shd w:val="clear" w:color="auto" w:fill="auto"/>
            <w:vAlign w:val="center"/>
          </w:tcPr>
          <w:p w14:paraId="3F3393AF"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1362" w:type="dxa"/>
            <w:shd w:val="clear" w:color="auto" w:fill="auto"/>
            <w:vAlign w:val="center"/>
          </w:tcPr>
          <w:p w14:paraId="38B584E7"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998" w:type="dxa"/>
            <w:shd w:val="clear" w:color="auto" w:fill="auto"/>
            <w:vAlign w:val="center"/>
          </w:tcPr>
          <w:p w14:paraId="26B87413"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1162" w:type="dxa"/>
            <w:shd w:val="clear" w:color="auto" w:fill="auto"/>
            <w:vAlign w:val="center"/>
          </w:tcPr>
          <w:p w14:paraId="0D49D4CC"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r w:rsidRPr="007D41FF">
              <w:rPr>
                <w:rFonts w:ascii="Arial" w:hAnsi="Arial" w:cs="Arial"/>
                <w:color w:val="000000" w:themeColor="text1"/>
                <w:sz w:val="12"/>
                <w:szCs w:val="12"/>
                <w:vertAlign w:val="superscript"/>
                <w:lang w:val="en-US"/>
              </w:rPr>
              <w:t>9</w:t>
            </w:r>
          </w:p>
        </w:tc>
        <w:tc>
          <w:tcPr>
            <w:tcW w:w="969" w:type="dxa"/>
            <w:shd w:val="clear" w:color="auto" w:fill="auto"/>
            <w:vAlign w:val="center"/>
          </w:tcPr>
          <w:p w14:paraId="64754C0E"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r w:rsidRPr="007D41FF">
              <w:rPr>
                <w:rFonts w:ascii="Arial" w:hAnsi="Arial" w:cs="Arial"/>
                <w:color w:val="000000" w:themeColor="text1"/>
                <w:sz w:val="12"/>
                <w:szCs w:val="12"/>
                <w:vertAlign w:val="superscript"/>
                <w:lang w:val="en-US"/>
              </w:rPr>
              <w:t>10</w:t>
            </w:r>
          </w:p>
        </w:tc>
        <w:tc>
          <w:tcPr>
            <w:tcW w:w="718" w:type="dxa"/>
            <w:shd w:val="clear" w:color="auto" w:fill="auto"/>
            <w:vAlign w:val="center"/>
          </w:tcPr>
          <w:p w14:paraId="02F3ACE6"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r w:rsidRPr="007D41FF">
              <w:rPr>
                <w:rFonts w:ascii="Arial" w:hAnsi="Arial" w:cs="Arial"/>
                <w:color w:val="000000" w:themeColor="text1"/>
                <w:sz w:val="12"/>
                <w:szCs w:val="12"/>
                <w:vertAlign w:val="superscript"/>
                <w:lang w:val="en-US"/>
              </w:rPr>
              <w:t>11</w:t>
            </w:r>
          </w:p>
        </w:tc>
      </w:tr>
      <w:tr w:rsidR="00032273" w:rsidRPr="007D41FF" w14:paraId="55942A69" w14:textId="77777777" w:rsidTr="002829FD">
        <w:tc>
          <w:tcPr>
            <w:tcW w:w="1384" w:type="dxa"/>
          </w:tcPr>
          <w:p w14:paraId="096D323A" w14:textId="354A5569" w:rsidR="00032273" w:rsidRPr="007D41FF" w:rsidRDefault="00032273" w:rsidP="002829FD">
            <w:pPr>
              <w:spacing w:beforeLines="60" w:before="144" w:afterLines="60" w:after="144"/>
              <w:rPr>
                <w:rFonts w:ascii="Arial" w:hAnsi="Arial" w:cs="Arial"/>
                <w:color w:val="000000"/>
                <w:sz w:val="12"/>
                <w:szCs w:val="12"/>
                <w:lang w:val="en-US"/>
              </w:rPr>
            </w:pPr>
            <w:r w:rsidRPr="007D41FF">
              <w:rPr>
                <w:rFonts w:ascii="Arial" w:eastAsiaTheme="minorHAnsi" w:hAnsi="Arial" w:cs="Arial"/>
                <w:sz w:val="12"/>
                <w:szCs w:val="12"/>
                <w:lang w:val="en-US" w:eastAsia="en-US"/>
              </w:rPr>
              <w:t>Lang 2013</w:t>
            </w:r>
          </w:p>
        </w:tc>
        <w:tc>
          <w:tcPr>
            <w:tcW w:w="1039" w:type="dxa"/>
            <w:vAlign w:val="center"/>
          </w:tcPr>
          <w:p w14:paraId="3D2C9657"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r w:rsidRPr="007D41FF">
              <w:rPr>
                <w:rFonts w:ascii="Arial" w:hAnsi="Arial" w:cs="Arial"/>
                <w:color w:val="000000" w:themeColor="text1"/>
                <w:sz w:val="12"/>
                <w:szCs w:val="12"/>
                <w:vertAlign w:val="superscript"/>
                <w:lang w:val="en-US"/>
              </w:rPr>
              <w:t>12</w:t>
            </w:r>
          </w:p>
        </w:tc>
        <w:tc>
          <w:tcPr>
            <w:tcW w:w="1087" w:type="dxa"/>
            <w:vAlign w:val="center"/>
          </w:tcPr>
          <w:p w14:paraId="72905514"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r w:rsidRPr="007D41FF">
              <w:rPr>
                <w:rFonts w:ascii="Arial" w:hAnsi="Arial" w:cs="Arial"/>
                <w:color w:val="000000" w:themeColor="text1"/>
                <w:sz w:val="12"/>
                <w:szCs w:val="12"/>
                <w:vertAlign w:val="superscript"/>
                <w:lang w:val="en-US"/>
              </w:rPr>
              <w:t>12</w:t>
            </w:r>
          </w:p>
        </w:tc>
        <w:tc>
          <w:tcPr>
            <w:tcW w:w="1362" w:type="dxa"/>
            <w:vAlign w:val="center"/>
          </w:tcPr>
          <w:p w14:paraId="261CD96D"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998" w:type="dxa"/>
            <w:vAlign w:val="center"/>
          </w:tcPr>
          <w:p w14:paraId="3BCDF97F"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1162" w:type="dxa"/>
            <w:vAlign w:val="center"/>
          </w:tcPr>
          <w:p w14:paraId="67E9613D"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r w:rsidRPr="007D41FF">
              <w:rPr>
                <w:rFonts w:ascii="Arial" w:hAnsi="Arial" w:cs="Arial"/>
                <w:color w:val="000000" w:themeColor="text1"/>
                <w:sz w:val="12"/>
                <w:szCs w:val="12"/>
                <w:vertAlign w:val="superscript"/>
                <w:lang w:val="en-US"/>
              </w:rPr>
              <w:t>13</w:t>
            </w:r>
          </w:p>
        </w:tc>
        <w:tc>
          <w:tcPr>
            <w:tcW w:w="969" w:type="dxa"/>
            <w:vAlign w:val="center"/>
          </w:tcPr>
          <w:p w14:paraId="7F4454C5"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r w:rsidRPr="007D41FF">
              <w:rPr>
                <w:rFonts w:ascii="Arial" w:hAnsi="Arial" w:cs="Arial"/>
                <w:color w:val="000000" w:themeColor="text1"/>
                <w:sz w:val="12"/>
                <w:szCs w:val="12"/>
                <w:vertAlign w:val="superscript"/>
                <w:lang w:val="en-US"/>
              </w:rPr>
              <w:t>14</w:t>
            </w:r>
          </w:p>
        </w:tc>
        <w:tc>
          <w:tcPr>
            <w:tcW w:w="718" w:type="dxa"/>
            <w:vAlign w:val="center"/>
          </w:tcPr>
          <w:p w14:paraId="7B75142E"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r>
      <w:tr w:rsidR="00032273" w:rsidRPr="007D41FF" w14:paraId="60D81E3D" w14:textId="77777777" w:rsidTr="002829FD">
        <w:tc>
          <w:tcPr>
            <w:tcW w:w="1384" w:type="dxa"/>
          </w:tcPr>
          <w:p w14:paraId="302BE82B" w14:textId="7FBB7DE0" w:rsidR="00032273" w:rsidRPr="007D41FF" w:rsidRDefault="00032273" w:rsidP="002829FD">
            <w:pPr>
              <w:spacing w:beforeLines="60" w:before="144" w:afterLines="60" w:after="144"/>
              <w:rPr>
                <w:rFonts w:ascii="Arial" w:hAnsi="Arial" w:cs="Arial"/>
                <w:color w:val="000000"/>
                <w:sz w:val="12"/>
                <w:szCs w:val="12"/>
                <w:lang w:val="en-US"/>
              </w:rPr>
            </w:pPr>
            <w:r w:rsidRPr="007D41FF">
              <w:rPr>
                <w:rFonts w:ascii="Arial" w:eastAsiaTheme="minorHAnsi" w:hAnsi="Arial" w:cs="Arial"/>
                <w:sz w:val="12"/>
                <w:szCs w:val="12"/>
                <w:lang w:val="en-US" w:eastAsia="en-US"/>
              </w:rPr>
              <w:t>Amiri-</w:t>
            </w:r>
            <w:proofErr w:type="spellStart"/>
            <w:r w:rsidRPr="007D41FF">
              <w:rPr>
                <w:rFonts w:ascii="Arial" w:eastAsiaTheme="minorHAnsi" w:hAnsi="Arial" w:cs="Arial"/>
                <w:sz w:val="12"/>
                <w:szCs w:val="12"/>
                <w:lang w:val="en-US" w:eastAsia="en-US"/>
              </w:rPr>
              <w:t>Nikpour</w:t>
            </w:r>
            <w:proofErr w:type="spellEnd"/>
            <w:r w:rsidRPr="007D41FF">
              <w:rPr>
                <w:rFonts w:ascii="Arial" w:eastAsiaTheme="minorHAnsi" w:hAnsi="Arial" w:cs="Arial"/>
                <w:sz w:val="12"/>
                <w:szCs w:val="12"/>
                <w:lang w:val="en-US" w:eastAsia="en-US"/>
              </w:rPr>
              <w:t xml:space="preserve"> 2014</w:t>
            </w:r>
          </w:p>
        </w:tc>
        <w:tc>
          <w:tcPr>
            <w:tcW w:w="1039" w:type="dxa"/>
            <w:vAlign w:val="center"/>
          </w:tcPr>
          <w:p w14:paraId="1F769449"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Unclear risk</w:t>
            </w:r>
          </w:p>
        </w:tc>
        <w:tc>
          <w:tcPr>
            <w:tcW w:w="1087" w:type="dxa"/>
            <w:vAlign w:val="center"/>
          </w:tcPr>
          <w:p w14:paraId="2323861E"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Unclear risk</w:t>
            </w:r>
          </w:p>
        </w:tc>
        <w:tc>
          <w:tcPr>
            <w:tcW w:w="1362" w:type="dxa"/>
            <w:vAlign w:val="center"/>
          </w:tcPr>
          <w:p w14:paraId="24DCFF52"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Unclear risk</w:t>
            </w:r>
          </w:p>
        </w:tc>
        <w:tc>
          <w:tcPr>
            <w:tcW w:w="998" w:type="dxa"/>
            <w:vAlign w:val="center"/>
          </w:tcPr>
          <w:p w14:paraId="4D3BBF23"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Unclear risk</w:t>
            </w:r>
          </w:p>
        </w:tc>
        <w:tc>
          <w:tcPr>
            <w:tcW w:w="1162" w:type="dxa"/>
            <w:vAlign w:val="center"/>
          </w:tcPr>
          <w:p w14:paraId="08206D19"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969" w:type="dxa"/>
            <w:vAlign w:val="center"/>
          </w:tcPr>
          <w:p w14:paraId="5F060137"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718" w:type="dxa"/>
            <w:vAlign w:val="center"/>
          </w:tcPr>
          <w:p w14:paraId="04699079"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r>
      <w:tr w:rsidR="00032273" w:rsidRPr="007D41FF" w14:paraId="48193662" w14:textId="77777777" w:rsidTr="002829FD">
        <w:tc>
          <w:tcPr>
            <w:tcW w:w="1384" w:type="dxa"/>
          </w:tcPr>
          <w:p w14:paraId="5E0CF169" w14:textId="5A2F12D3" w:rsidR="00032273" w:rsidRPr="007D41FF" w:rsidRDefault="00032273" w:rsidP="002829FD">
            <w:pPr>
              <w:spacing w:beforeLines="60" w:before="144" w:afterLines="60" w:after="144"/>
              <w:rPr>
                <w:rFonts w:ascii="Arial" w:hAnsi="Arial" w:cs="Arial"/>
                <w:color w:val="000000"/>
                <w:sz w:val="12"/>
                <w:szCs w:val="12"/>
                <w:lang w:val="en-US"/>
              </w:rPr>
            </w:pPr>
            <w:proofErr w:type="spellStart"/>
            <w:r w:rsidRPr="007D41FF">
              <w:rPr>
                <w:rFonts w:ascii="Arial" w:eastAsiaTheme="minorHAnsi" w:hAnsi="Arial" w:cs="Arial"/>
                <w:sz w:val="12"/>
                <w:szCs w:val="12"/>
                <w:lang w:val="en-US" w:eastAsia="en-US"/>
              </w:rPr>
              <w:t>Muresanu</w:t>
            </w:r>
            <w:proofErr w:type="spellEnd"/>
            <w:r w:rsidRPr="007D41FF">
              <w:rPr>
                <w:rFonts w:ascii="Arial" w:eastAsiaTheme="minorHAnsi" w:hAnsi="Arial" w:cs="Arial"/>
                <w:sz w:val="12"/>
                <w:szCs w:val="12"/>
                <w:lang w:val="en-US" w:eastAsia="en-US"/>
              </w:rPr>
              <w:t xml:space="preserve"> 2016</w:t>
            </w:r>
          </w:p>
        </w:tc>
        <w:tc>
          <w:tcPr>
            <w:tcW w:w="1039" w:type="dxa"/>
            <w:vAlign w:val="center"/>
          </w:tcPr>
          <w:p w14:paraId="31962E86"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1087" w:type="dxa"/>
            <w:vAlign w:val="center"/>
          </w:tcPr>
          <w:p w14:paraId="69839B4D"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1362" w:type="dxa"/>
            <w:vAlign w:val="center"/>
          </w:tcPr>
          <w:p w14:paraId="78E9C3E4"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998" w:type="dxa"/>
            <w:vAlign w:val="center"/>
          </w:tcPr>
          <w:p w14:paraId="3B0D09C0"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1162" w:type="dxa"/>
            <w:vAlign w:val="center"/>
          </w:tcPr>
          <w:p w14:paraId="7E3BD167"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969" w:type="dxa"/>
            <w:vAlign w:val="center"/>
          </w:tcPr>
          <w:p w14:paraId="57DD67A2"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718" w:type="dxa"/>
            <w:vAlign w:val="center"/>
          </w:tcPr>
          <w:p w14:paraId="63DD9E92"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r>
      <w:tr w:rsidR="00032273" w:rsidRPr="007D41FF" w14:paraId="2CC116DB" w14:textId="77777777" w:rsidTr="002829FD">
        <w:tc>
          <w:tcPr>
            <w:tcW w:w="1384" w:type="dxa"/>
          </w:tcPr>
          <w:p w14:paraId="0A48244C" w14:textId="5AF200EB" w:rsidR="00032273" w:rsidRPr="007D41FF" w:rsidRDefault="00032273" w:rsidP="002829FD">
            <w:pPr>
              <w:spacing w:beforeLines="60" w:before="144" w:afterLines="60" w:after="144"/>
              <w:rPr>
                <w:rFonts w:ascii="Arial" w:hAnsi="Arial" w:cs="Arial"/>
                <w:color w:val="000000"/>
                <w:sz w:val="12"/>
                <w:szCs w:val="12"/>
                <w:lang w:val="en-US"/>
              </w:rPr>
            </w:pPr>
            <w:proofErr w:type="spellStart"/>
            <w:r w:rsidRPr="007D41FF">
              <w:rPr>
                <w:rFonts w:ascii="Arial" w:eastAsiaTheme="minorHAnsi" w:hAnsi="Arial" w:cs="Arial"/>
                <w:sz w:val="12"/>
                <w:szCs w:val="12"/>
                <w:lang w:val="en-US" w:eastAsia="en-US"/>
              </w:rPr>
              <w:t>Guekht</w:t>
            </w:r>
            <w:proofErr w:type="spellEnd"/>
            <w:r w:rsidRPr="007D41FF">
              <w:rPr>
                <w:rFonts w:ascii="Arial" w:eastAsiaTheme="minorHAnsi" w:hAnsi="Arial" w:cs="Arial"/>
                <w:sz w:val="12"/>
                <w:szCs w:val="12"/>
                <w:lang w:val="en-US" w:eastAsia="en-US"/>
              </w:rPr>
              <w:t xml:space="preserve"> 2015</w:t>
            </w:r>
          </w:p>
        </w:tc>
        <w:tc>
          <w:tcPr>
            <w:tcW w:w="1039" w:type="dxa"/>
            <w:vAlign w:val="center"/>
          </w:tcPr>
          <w:p w14:paraId="0CA53128"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1087" w:type="dxa"/>
            <w:vAlign w:val="center"/>
          </w:tcPr>
          <w:p w14:paraId="385B9230"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1362" w:type="dxa"/>
            <w:vAlign w:val="center"/>
          </w:tcPr>
          <w:p w14:paraId="2C04204B"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998" w:type="dxa"/>
            <w:vAlign w:val="center"/>
          </w:tcPr>
          <w:p w14:paraId="3557A374"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1162" w:type="dxa"/>
            <w:vAlign w:val="center"/>
          </w:tcPr>
          <w:p w14:paraId="7E267A8B"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969" w:type="dxa"/>
            <w:vAlign w:val="center"/>
          </w:tcPr>
          <w:p w14:paraId="25382BCC"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718" w:type="dxa"/>
            <w:vAlign w:val="center"/>
          </w:tcPr>
          <w:p w14:paraId="76F4E9FA"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r>
      <w:tr w:rsidR="00032273" w:rsidRPr="007D41FF" w14:paraId="464A4266" w14:textId="77777777" w:rsidTr="002829FD">
        <w:tc>
          <w:tcPr>
            <w:tcW w:w="1384" w:type="dxa"/>
            <w:shd w:val="clear" w:color="auto" w:fill="auto"/>
          </w:tcPr>
          <w:p w14:paraId="06968CEE" w14:textId="111A102A" w:rsidR="00032273" w:rsidRPr="007D41FF" w:rsidRDefault="00032273" w:rsidP="002829FD">
            <w:pPr>
              <w:spacing w:beforeLines="60" w:before="144" w:afterLines="60" w:after="144"/>
              <w:rPr>
                <w:rFonts w:ascii="Arial" w:hAnsi="Arial" w:cs="Arial"/>
                <w:color w:val="000000" w:themeColor="text1"/>
                <w:sz w:val="12"/>
                <w:szCs w:val="12"/>
                <w:lang w:val="en-US"/>
              </w:rPr>
            </w:pPr>
            <w:r w:rsidRPr="007D41FF">
              <w:rPr>
                <w:rFonts w:ascii="Arial" w:eastAsiaTheme="minorHAnsi" w:hAnsi="Arial" w:cs="Arial"/>
                <w:sz w:val="12"/>
                <w:szCs w:val="12"/>
                <w:lang w:val="en-US" w:eastAsia="en-US"/>
              </w:rPr>
              <w:t>Chang 2016</w:t>
            </w:r>
          </w:p>
        </w:tc>
        <w:tc>
          <w:tcPr>
            <w:tcW w:w="1039" w:type="dxa"/>
            <w:shd w:val="clear" w:color="auto" w:fill="auto"/>
            <w:vAlign w:val="center"/>
          </w:tcPr>
          <w:p w14:paraId="58A930DF"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1087" w:type="dxa"/>
            <w:shd w:val="clear" w:color="auto" w:fill="auto"/>
            <w:vAlign w:val="center"/>
          </w:tcPr>
          <w:p w14:paraId="6DC4AD81"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1362" w:type="dxa"/>
            <w:shd w:val="clear" w:color="auto" w:fill="auto"/>
            <w:vAlign w:val="center"/>
          </w:tcPr>
          <w:p w14:paraId="2D412D8B"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998" w:type="dxa"/>
            <w:shd w:val="clear" w:color="auto" w:fill="auto"/>
            <w:vAlign w:val="center"/>
          </w:tcPr>
          <w:p w14:paraId="387CF4C1"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1162" w:type="dxa"/>
            <w:shd w:val="clear" w:color="auto" w:fill="auto"/>
            <w:vAlign w:val="center"/>
          </w:tcPr>
          <w:p w14:paraId="2CC65FFD"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969" w:type="dxa"/>
            <w:shd w:val="clear" w:color="auto" w:fill="auto"/>
            <w:vAlign w:val="center"/>
          </w:tcPr>
          <w:p w14:paraId="515D3883"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718" w:type="dxa"/>
            <w:shd w:val="clear" w:color="auto" w:fill="auto"/>
            <w:vAlign w:val="center"/>
          </w:tcPr>
          <w:p w14:paraId="004DDDFF"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r>
      <w:tr w:rsidR="00032273" w:rsidRPr="007D41FF" w14:paraId="6A9A240E" w14:textId="77777777" w:rsidTr="002829FD">
        <w:tc>
          <w:tcPr>
            <w:tcW w:w="1384" w:type="dxa"/>
            <w:shd w:val="clear" w:color="auto" w:fill="auto"/>
          </w:tcPr>
          <w:p w14:paraId="29E216D4" w14:textId="5F7123CD" w:rsidR="00032273" w:rsidRPr="007D41FF" w:rsidRDefault="00032273" w:rsidP="002829FD">
            <w:pPr>
              <w:spacing w:beforeLines="60" w:before="144" w:afterLines="60" w:after="144"/>
              <w:rPr>
                <w:rFonts w:ascii="Arial" w:hAnsi="Arial" w:cs="Arial"/>
                <w:color w:val="000000" w:themeColor="text1"/>
                <w:sz w:val="12"/>
                <w:szCs w:val="12"/>
                <w:lang w:val="en-US"/>
              </w:rPr>
            </w:pPr>
            <w:proofErr w:type="spellStart"/>
            <w:r w:rsidRPr="007D41FF">
              <w:rPr>
                <w:rFonts w:ascii="Arial" w:eastAsiaTheme="minorHAnsi" w:hAnsi="Arial" w:cs="Arial"/>
                <w:sz w:val="12"/>
                <w:szCs w:val="12"/>
                <w:lang w:val="en-US" w:eastAsia="en-US"/>
              </w:rPr>
              <w:t>Xue</w:t>
            </w:r>
            <w:proofErr w:type="spellEnd"/>
            <w:r w:rsidRPr="007D41FF">
              <w:rPr>
                <w:rFonts w:ascii="Arial" w:eastAsiaTheme="minorHAnsi" w:hAnsi="Arial" w:cs="Arial"/>
                <w:sz w:val="12"/>
                <w:szCs w:val="12"/>
                <w:lang w:val="en-US" w:eastAsia="en-US"/>
              </w:rPr>
              <w:t xml:space="preserve"> 2016</w:t>
            </w:r>
          </w:p>
        </w:tc>
        <w:tc>
          <w:tcPr>
            <w:tcW w:w="1039" w:type="dxa"/>
            <w:shd w:val="clear" w:color="auto" w:fill="auto"/>
            <w:vAlign w:val="center"/>
          </w:tcPr>
          <w:p w14:paraId="619287B9"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r w:rsidRPr="007D41FF">
              <w:rPr>
                <w:rFonts w:ascii="Arial" w:hAnsi="Arial" w:cs="Arial"/>
                <w:color w:val="000000" w:themeColor="text1"/>
                <w:sz w:val="12"/>
                <w:szCs w:val="12"/>
                <w:vertAlign w:val="superscript"/>
                <w:lang w:val="en-US"/>
              </w:rPr>
              <w:t>15</w:t>
            </w:r>
          </w:p>
        </w:tc>
        <w:tc>
          <w:tcPr>
            <w:tcW w:w="1087" w:type="dxa"/>
            <w:shd w:val="clear" w:color="auto" w:fill="auto"/>
            <w:vAlign w:val="center"/>
          </w:tcPr>
          <w:p w14:paraId="4D6DB3B3"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r w:rsidRPr="007D41FF">
              <w:rPr>
                <w:rFonts w:ascii="Arial" w:hAnsi="Arial" w:cs="Arial"/>
                <w:color w:val="000000" w:themeColor="text1"/>
                <w:sz w:val="12"/>
                <w:szCs w:val="12"/>
                <w:vertAlign w:val="superscript"/>
                <w:lang w:val="en-US"/>
              </w:rPr>
              <w:t>15</w:t>
            </w:r>
          </w:p>
        </w:tc>
        <w:tc>
          <w:tcPr>
            <w:tcW w:w="1362" w:type="dxa"/>
            <w:shd w:val="clear" w:color="auto" w:fill="auto"/>
            <w:vAlign w:val="center"/>
          </w:tcPr>
          <w:p w14:paraId="0493BEA9"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Unclear risk</w:t>
            </w:r>
          </w:p>
        </w:tc>
        <w:tc>
          <w:tcPr>
            <w:tcW w:w="998" w:type="dxa"/>
            <w:shd w:val="clear" w:color="auto" w:fill="auto"/>
            <w:vAlign w:val="center"/>
          </w:tcPr>
          <w:p w14:paraId="33060AB3"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Unclear risk</w:t>
            </w:r>
          </w:p>
        </w:tc>
        <w:tc>
          <w:tcPr>
            <w:tcW w:w="1162" w:type="dxa"/>
            <w:shd w:val="clear" w:color="auto" w:fill="auto"/>
            <w:vAlign w:val="center"/>
          </w:tcPr>
          <w:p w14:paraId="09D53C70"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r w:rsidRPr="007D41FF">
              <w:rPr>
                <w:rFonts w:ascii="Arial" w:hAnsi="Arial" w:cs="Arial"/>
                <w:color w:val="000000" w:themeColor="text1"/>
                <w:sz w:val="12"/>
                <w:szCs w:val="12"/>
                <w:vertAlign w:val="superscript"/>
                <w:lang w:val="en-US"/>
              </w:rPr>
              <w:t>16</w:t>
            </w:r>
          </w:p>
        </w:tc>
        <w:tc>
          <w:tcPr>
            <w:tcW w:w="969" w:type="dxa"/>
            <w:shd w:val="clear" w:color="auto" w:fill="auto"/>
            <w:vAlign w:val="center"/>
          </w:tcPr>
          <w:p w14:paraId="547C4C22"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r w:rsidRPr="007D41FF">
              <w:rPr>
                <w:rFonts w:ascii="Arial" w:hAnsi="Arial" w:cs="Arial"/>
                <w:color w:val="000000" w:themeColor="text1"/>
                <w:sz w:val="12"/>
                <w:szCs w:val="12"/>
                <w:vertAlign w:val="superscript"/>
                <w:lang w:val="en-US"/>
              </w:rPr>
              <w:t>16</w:t>
            </w:r>
          </w:p>
        </w:tc>
        <w:tc>
          <w:tcPr>
            <w:tcW w:w="718" w:type="dxa"/>
            <w:shd w:val="clear" w:color="auto" w:fill="auto"/>
            <w:vAlign w:val="center"/>
          </w:tcPr>
          <w:p w14:paraId="3F819E13"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r w:rsidRPr="007D41FF">
              <w:rPr>
                <w:rFonts w:ascii="Arial" w:hAnsi="Arial" w:cs="Arial"/>
                <w:color w:val="000000" w:themeColor="text1"/>
                <w:sz w:val="12"/>
                <w:szCs w:val="12"/>
                <w:vertAlign w:val="superscript"/>
                <w:lang w:val="en-US"/>
              </w:rPr>
              <w:t>16</w:t>
            </w:r>
          </w:p>
        </w:tc>
      </w:tr>
      <w:tr w:rsidR="00032273" w:rsidRPr="007D41FF" w14:paraId="4D5CD53C" w14:textId="77777777" w:rsidTr="002829FD">
        <w:tc>
          <w:tcPr>
            <w:tcW w:w="1384" w:type="dxa"/>
            <w:shd w:val="clear" w:color="auto" w:fill="auto"/>
          </w:tcPr>
          <w:p w14:paraId="36660F2B" w14:textId="12775ED2" w:rsidR="00032273" w:rsidRPr="007D41FF" w:rsidRDefault="00032273" w:rsidP="002829FD">
            <w:pPr>
              <w:spacing w:beforeLines="60" w:before="144" w:afterLines="60" w:after="144"/>
              <w:rPr>
                <w:rFonts w:ascii="Arial" w:hAnsi="Arial" w:cs="Arial"/>
                <w:color w:val="000000" w:themeColor="text1"/>
                <w:sz w:val="12"/>
                <w:szCs w:val="12"/>
                <w:lang w:val="en-US"/>
              </w:rPr>
            </w:pPr>
            <w:r w:rsidRPr="007D41FF">
              <w:rPr>
                <w:rFonts w:ascii="Arial" w:eastAsiaTheme="minorHAnsi" w:hAnsi="Arial" w:cs="Arial"/>
                <w:sz w:val="12"/>
                <w:szCs w:val="12"/>
                <w:lang w:val="en-US" w:eastAsia="en-US"/>
              </w:rPr>
              <w:t>Stan 2017</w:t>
            </w:r>
          </w:p>
        </w:tc>
        <w:tc>
          <w:tcPr>
            <w:tcW w:w="1039" w:type="dxa"/>
            <w:shd w:val="clear" w:color="auto" w:fill="auto"/>
            <w:vAlign w:val="center"/>
          </w:tcPr>
          <w:p w14:paraId="0460B58C"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1087" w:type="dxa"/>
            <w:shd w:val="clear" w:color="auto" w:fill="auto"/>
            <w:vAlign w:val="center"/>
          </w:tcPr>
          <w:p w14:paraId="0D2175EF"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1362" w:type="dxa"/>
            <w:shd w:val="clear" w:color="auto" w:fill="auto"/>
            <w:vAlign w:val="center"/>
          </w:tcPr>
          <w:p w14:paraId="57B5FC88"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998" w:type="dxa"/>
            <w:shd w:val="clear" w:color="auto" w:fill="auto"/>
            <w:vAlign w:val="center"/>
          </w:tcPr>
          <w:p w14:paraId="7BA5DBC6"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1162" w:type="dxa"/>
            <w:shd w:val="clear" w:color="auto" w:fill="auto"/>
            <w:vAlign w:val="center"/>
          </w:tcPr>
          <w:p w14:paraId="24ED2A20"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969" w:type="dxa"/>
            <w:shd w:val="clear" w:color="auto" w:fill="auto"/>
            <w:vAlign w:val="center"/>
          </w:tcPr>
          <w:p w14:paraId="3975D662"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c>
          <w:tcPr>
            <w:tcW w:w="718" w:type="dxa"/>
            <w:shd w:val="clear" w:color="auto" w:fill="auto"/>
            <w:vAlign w:val="center"/>
          </w:tcPr>
          <w:p w14:paraId="78AE2F63" w14:textId="77777777" w:rsidR="00032273" w:rsidRPr="007D41FF" w:rsidRDefault="00032273" w:rsidP="002829FD">
            <w:pPr>
              <w:spacing w:beforeLines="60" w:before="144" w:afterLines="60" w:after="144"/>
              <w:jc w:val="center"/>
              <w:rPr>
                <w:rFonts w:ascii="Arial" w:hAnsi="Arial" w:cs="Arial"/>
                <w:color w:val="000000" w:themeColor="text1"/>
                <w:sz w:val="12"/>
                <w:szCs w:val="12"/>
                <w:lang w:val="en-US"/>
              </w:rPr>
            </w:pPr>
            <w:r w:rsidRPr="007D41FF">
              <w:rPr>
                <w:rFonts w:ascii="Arial" w:hAnsi="Arial" w:cs="Arial"/>
                <w:color w:val="000000" w:themeColor="text1"/>
                <w:sz w:val="12"/>
                <w:szCs w:val="12"/>
                <w:lang w:val="en-US"/>
              </w:rPr>
              <w:t>Low risk</w:t>
            </w:r>
          </w:p>
        </w:tc>
      </w:tr>
      <w:tr w:rsidR="00032273" w:rsidRPr="007D41FF" w14:paraId="64DA3797" w14:textId="77777777" w:rsidTr="002829FD">
        <w:tc>
          <w:tcPr>
            <w:tcW w:w="8719" w:type="dxa"/>
            <w:gridSpan w:val="8"/>
            <w:shd w:val="clear" w:color="auto" w:fill="auto"/>
            <w:vAlign w:val="center"/>
          </w:tcPr>
          <w:p w14:paraId="7D6D4AC4" w14:textId="77777777" w:rsidR="00032273" w:rsidRPr="007D41FF" w:rsidRDefault="00032273" w:rsidP="002829FD">
            <w:pPr>
              <w:autoSpaceDE w:val="0"/>
              <w:autoSpaceDN w:val="0"/>
              <w:adjustRightInd w:val="0"/>
              <w:spacing w:before="60" w:after="60"/>
              <w:jc w:val="both"/>
              <w:rPr>
                <w:rFonts w:ascii="Arial" w:hAnsi="Arial" w:cs="Arial"/>
                <w:color w:val="000000" w:themeColor="text1"/>
                <w:sz w:val="12"/>
                <w:szCs w:val="12"/>
                <w:lang w:val="en-US"/>
              </w:rPr>
            </w:pPr>
            <w:r w:rsidRPr="007D41FF">
              <w:rPr>
                <w:rFonts w:ascii="Arial" w:hAnsi="Arial" w:cs="Arial"/>
                <w:color w:val="000000" w:themeColor="text1"/>
                <w:sz w:val="12"/>
                <w:szCs w:val="12"/>
                <w:lang w:val="en-US"/>
              </w:rPr>
              <w:t>Risk of bias assessment for the safety evaluations was performed using all available data from original publications. In unclear cases, supplementary study documents were requested from the original authors (such as Study Protocols, Clinical Study Reports, etc.). Inclusion of any supplements is documented in the footnotes of this table.</w:t>
            </w:r>
          </w:p>
        </w:tc>
      </w:tr>
    </w:tbl>
    <w:p w14:paraId="22937566" w14:textId="77777777" w:rsidR="00032273" w:rsidRPr="007D41FF" w:rsidRDefault="00032273" w:rsidP="00032273">
      <w:pPr>
        <w:spacing w:after="200" w:line="276" w:lineRule="auto"/>
        <w:rPr>
          <w:lang w:val="en-US"/>
        </w:rPr>
      </w:pPr>
    </w:p>
    <w:p w14:paraId="0E0B7FDB" w14:textId="77777777" w:rsidR="00032273" w:rsidRPr="007D41FF" w:rsidRDefault="00032273" w:rsidP="001D37C8">
      <w:pPr>
        <w:autoSpaceDE w:val="0"/>
        <w:autoSpaceDN w:val="0"/>
        <w:adjustRightInd w:val="0"/>
        <w:jc w:val="both"/>
        <w:rPr>
          <w:rFonts w:ascii="Arial" w:hAnsi="Arial" w:cs="Arial"/>
          <w:sz w:val="16"/>
          <w:szCs w:val="16"/>
          <w:lang w:val="en-US"/>
        </w:rPr>
      </w:pPr>
      <w:r w:rsidRPr="007D41FF">
        <w:rPr>
          <w:rFonts w:ascii="Arial" w:hAnsi="Arial" w:cs="Arial"/>
          <w:sz w:val="16"/>
          <w:szCs w:val="16"/>
          <w:lang w:val="en-US"/>
        </w:rPr>
        <w:t>#1</w:t>
      </w:r>
    </w:p>
    <w:p w14:paraId="6A34B811" w14:textId="77777777" w:rsidR="00032273" w:rsidRPr="007D41FF" w:rsidRDefault="00032273" w:rsidP="001D37C8">
      <w:pPr>
        <w:autoSpaceDE w:val="0"/>
        <w:autoSpaceDN w:val="0"/>
        <w:adjustRightInd w:val="0"/>
        <w:jc w:val="both"/>
        <w:rPr>
          <w:rFonts w:ascii="Arial" w:hAnsi="Arial" w:cs="Arial"/>
          <w:sz w:val="16"/>
          <w:szCs w:val="16"/>
          <w:lang w:val="en-US"/>
        </w:rPr>
      </w:pPr>
      <w:r w:rsidRPr="007D41FF">
        <w:rPr>
          <w:rFonts w:ascii="Arial" w:hAnsi="Arial" w:cs="Arial"/>
          <w:sz w:val="16"/>
          <w:szCs w:val="16"/>
          <w:lang w:val="en-US"/>
        </w:rPr>
        <w:t xml:space="preserve">In unclear cases, supplementary study documents were requested from the original authors (such as Study Protocols, Clinical Study Reports). Inclusion of any supplementary material into </w:t>
      </w:r>
      <w:proofErr w:type="spellStart"/>
      <w:r w:rsidRPr="007D41FF">
        <w:rPr>
          <w:rFonts w:ascii="Arial" w:hAnsi="Arial" w:cs="Arial"/>
          <w:sz w:val="16"/>
          <w:szCs w:val="16"/>
          <w:lang w:val="en-US"/>
        </w:rPr>
        <w:t>RoB</w:t>
      </w:r>
      <w:proofErr w:type="spellEnd"/>
      <w:r w:rsidRPr="007D41FF">
        <w:rPr>
          <w:rFonts w:ascii="Arial" w:hAnsi="Arial" w:cs="Arial"/>
          <w:sz w:val="16"/>
          <w:szCs w:val="16"/>
          <w:lang w:val="en-US"/>
        </w:rPr>
        <w:t xml:space="preserve"> assessments is documented in the footnotes of this table.</w:t>
      </w:r>
    </w:p>
    <w:p w14:paraId="03865745" w14:textId="77777777" w:rsidR="00032273" w:rsidRPr="007D41FF" w:rsidRDefault="00032273" w:rsidP="001D37C8">
      <w:pPr>
        <w:autoSpaceDE w:val="0"/>
        <w:autoSpaceDN w:val="0"/>
        <w:adjustRightInd w:val="0"/>
        <w:jc w:val="both"/>
        <w:rPr>
          <w:rFonts w:ascii="Arial" w:hAnsi="Arial" w:cs="Arial"/>
          <w:sz w:val="16"/>
          <w:szCs w:val="16"/>
          <w:lang w:val="en-US"/>
        </w:rPr>
      </w:pPr>
    </w:p>
    <w:p w14:paraId="53CEA58B" w14:textId="77777777" w:rsidR="00032273" w:rsidRPr="007D41FF" w:rsidRDefault="00032273" w:rsidP="001D37C8">
      <w:pPr>
        <w:autoSpaceDE w:val="0"/>
        <w:autoSpaceDN w:val="0"/>
        <w:adjustRightInd w:val="0"/>
        <w:jc w:val="both"/>
        <w:rPr>
          <w:rFonts w:ascii="Arial" w:hAnsi="Arial" w:cs="Arial"/>
          <w:sz w:val="16"/>
          <w:szCs w:val="16"/>
          <w:lang w:val="en-US"/>
        </w:rPr>
      </w:pPr>
      <w:r w:rsidRPr="007D41FF">
        <w:rPr>
          <w:rFonts w:ascii="Arial" w:hAnsi="Arial" w:cs="Arial"/>
          <w:sz w:val="16"/>
          <w:szCs w:val="16"/>
          <w:lang w:val="en-US"/>
        </w:rPr>
        <w:t>#2</w:t>
      </w:r>
    </w:p>
    <w:p w14:paraId="39B1972B" w14:textId="77777777" w:rsidR="00032273" w:rsidRPr="007D41FF" w:rsidRDefault="00032273" w:rsidP="001D37C8">
      <w:pPr>
        <w:pStyle w:val="CommentText"/>
        <w:jc w:val="both"/>
        <w:rPr>
          <w:rFonts w:ascii="Arial" w:eastAsiaTheme="minorHAnsi" w:hAnsi="Arial" w:cs="Arial"/>
          <w:i/>
          <w:sz w:val="16"/>
          <w:szCs w:val="16"/>
          <w:lang w:val="en-US" w:eastAsia="en-US"/>
        </w:rPr>
      </w:pPr>
      <w:r w:rsidRPr="007D41FF">
        <w:rPr>
          <w:rFonts w:ascii="Arial" w:eastAsiaTheme="minorHAnsi" w:hAnsi="Arial" w:cs="Arial"/>
          <w:sz w:val="16"/>
          <w:szCs w:val="16"/>
          <w:lang w:val="en-US" w:eastAsia="en-US"/>
        </w:rPr>
        <w:t xml:space="preserve">The following information was available from original publication (J Neural </w:t>
      </w:r>
      <w:proofErr w:type="spellStart"/>
      <w:r w:rsidRPr="007D41FF">
        <w:rPr>
          <w:rFonts w:ascii="Arial" w:eastAsiaTheme="minorHAnsi" w:hAnsi="Arial" w:cs="Arial"/>
          <w:sz w:val="16"/>
          <w:szCs w:val="16"/>
          <w:lang w:val="en-US" w:eastAsia="en-US"/>
        </w:rPr>
        <w:t>Transm</w:t>
      </w:r>
      <w:proofErr w:type="spellEnd"/>
      <w:r w:rsidRPr="007D41FF">
        <w:rPr>
          <w:rFonts w:ascii="Arial" w:eastAsiaTheme="minorHAnsi" w:hAnsi="Arial" w:cs="Arial"/>
          <w:sz w:val="16"/>
          <w:szCs w:val="16"/>
          <w:lang w:val="en-US" w:eastAsia="en-US"/>
        </w:rPr>
        <w:t xml:space="preserve"> 2005), section Materials and Methods: </w:t>
      </w:r>
      <w:r w:rsidRPr="007D41FF">
        <w:rPr>
          <w:rFonts w:ascii="Arial" w:eastAsiaTheme="minorHAnsi" w:hAnsi="Arial" w:cs="Arial"/>
          <w:i/>
          <w:sz w:val="16"/>
          <w:szCs w:val="16"/>
          <w:lang w:val="en-US" w:eastAsia="en-US"/>
        </w:rPr>
        <w:t xml:space="preserve">The investigators and all study personnel were blind to the random code assignment until the completion of the statistical analysis. For each patient a sealed envelope with information on the actual </w:t>
      </w:r>
      <w:proofErr w:type="spellStart"/>
      <w:r w:rsidRPr="007D41FF">
        <w:rPr>
          <w:rFonts w:ascii="Arial" w:eastAsiaTheme="minorHAnsi" w:hAnsi="Arial" w:cs="Arial"/>
          <w:i/>
          <w:sz w:val="16"/>
          <w:szCs w:val="16"/>
          <w:lang w:val="en-US" w:eastAsia="en-US"/>
        </w:rPr>
        <w:t>treatmentdispensed</w:t>
      </w:r>
      <w:proofErr w:type="spellEnd"/>
      <w:r w:rsidRPr="007D41FF">
        <w:rPr>
          <w:rFonts w:ascii="Arial" w:eastAsiaTheme="minorHAnsi" w:hAnsi="Arial" w:cs="Arial"/>
          <w:i/>
          <w:sz w:val="16"/>
          <w:szCs w:val="16"/>
          <w:lang w:val="en-US" w:eastAsia="en-US"/>
        </w:rPr>
        <w:t xml:space="preserve"> was provided to the investigator for emergency cases. All envelopes remained sealed throughout the study.</w:t>
      </w:r>
    </w:p>
    <w:p w14:paraId="6D012602" w14:textId="77777777" w:rsidR="00032273" w:rsidRPr="007D41FF" w:rsidRDefault="00032273" w:rsidP="001D37C8">
      <w:pPr>
        <w:pStyle w:val="CommentText"/>
        <w:jc w:val="both"/>
        <w:rPr>
          <w:rFonts w:ascii="Arial" w:eastAsiaTheme="minorHAnsi" w:hAnsi="Arial" w:cs="Arial"/>
          <w:i/>
          <w:sz w:val="16"/>
          <w:szCs w:val="16"/>
          <w:lang w:val="en-US" w:eastAsia="en-US"/>
        </w:rPr>
      </w:pPr>
    </w:p>
    <w:p w14:paraId="601C0F50" w14:textId="77777777" w:rsidR="00032273" w:rsidRPr="007D41FF" w:rsidRDefault="00032273" w:rsidP="001D37C8">
      <w:pPr>
        <w:spacing w:after="200" w:line="276" w:lineRule="auto"/>
        <w:jc w:val="both"/>
        <w:rPr>
          <w:rFonts w:ascii="Arial" w:eastAsiaTheme="minorHAnsi" w:hAnsi="Arial" w:cs="Arial"/>
          <w:sz w:val="16"/>
          <w:szCs w:val="16"/>
          <w:lang w:val="en-US" w:eastAsia="en-US"/>
        </w:rPr>
      </w:pPr>
      <w:r w:rsidRPr="007D41FF">
        <w:rPr>
          <w:rFonts w:ascii="Arial" w:hAnsi="Arial" w:cs="Arial"/>
          <w:sz w:val="16"/>
          <w:szCs w:val="16"/>
          <w:lang w:val="en-US"/>
        </w:rPr>
        <w:t>#3</w:t>
      </w:r>
      <w:r w:rsidRPr="007D41FF">
        <w:rPr>
          <w:rFonts w:ascii="Arial" w:hAnsi="Arial" w:cs="Arial"/>
          <w:sz w:val="16"/>
          <w:szCs w:val="16"/>
          <w:lang w:val="en-US"/>
        </w:rPr>
        <w:br/>
      </w:r>
      <w:r w:rsidRPr="007D41FF">
        <w:rPr>
          <w:rFonts w:ascii="Arial" w:eastAsiaTheme="minorHAnsi" w:hAnsi="Arial" w:cs="Arial"/>
          <w:sz w:val="16"/>
          <w:szCs w:val="16"/>
          <w:lang w:val="en-US" w:eastAsia="en-US"/>
        </w:rPr>
        <w:t xml:space="preserve">The </w:t>
      </w:r>
      <w:proofErr w:type="spellStart"/>
      <w:r w:rsidRPr="007D41FF">
        <w:rPr>
          <w:rFonts w:ascii="Arial" w:eastAsiaTheme="minorHAnsi" w:hAnsi="Arial" w:cs="Arial"/>
          <w:sz w:val="16"/>
          <w:szCs w:val="16"/>
          <w:lang w:val="en-US" w:eastAsia="en-US"/>
        </w:rPr>
        <w:t>orginal</w:t>
      </w:r>
      <w:proofErr w:type="spellEnd"/>
      <w:r w:rsidRPr="007D41FF">
        <w:rPr>
          <w:rFonts w:ascii="Arial" w:eastAsiaTheme="minorHAnsi" w:hAnsi="Arial" w:cs="Arial"/>
          <w:sz w:val="16"/>
          <w:szCs w:val="16"/>
          <w:lang w:val="en-US" w:eastAsia="en-US"/>
        </w:rPr>
        <w:t xml:space="preserve"> publication (J Neural </w:t>
      </w:r>
      <w:proofErr w:type="spellStart"/>
      <w:r w:rsidRPr="007D41FF">
        <w:rPr>
          <w:rFonts w:ascii="Arial" w:eastAsiaTheme="minorHAnsi" w:hAnsi="Arial" w:cs="Arial"/>
          <w:sz w:val="16"/>
          <w:szCs w:val="16"/>
          <w:lang w:val="en-US" w:eastAsia="en-US"/>
        </w:rPr>
        <w:t>Transm</w:t>
      </w:r>
      <w:proofErr w:type="spellEnd"/>
      <w:r w:rsidRPr="007D41FF">
        <w:rPr>
          <w:rFonts w:ascii="Arial" w:eastAsiaTheme="minorHAnsi" w:hAnsi="Arial" w:cs="Arial"/>
          <w:sz w:val="16"/>
          <w:szCs w:val="16"/>
          <w:lang w:val="en-US" w:eastAsia="en-US"/>
        </w:rPr>
        <w:t xml:space="preserve"> 2005) provides the following information: </w:t>
      </w:r>
      <w:r w:rsidRPr="007D41FF">
        <w:rPr>
          <w:rFonts w:ascii="Arial" w:eastAsiaTheme="minorHAnsi" w:hAnsi="Arial" w:cs="Arial"/>
          <w:i/>
          <w:sz w:val="16"/>
          <w:szCs w:val="16"/>
          <w:lang w:val="en-US" w:eastAsia="en-US"/>
        </w:rPr>
        <w:t xml:space="preserve">146 patients were </w:t>
      </w:r>
      <w:proofErr w:type="spellStart"/>
      <w:r w:rsidRPr="007D41FF">
        <w:rPr>
          <w:rFonts w:ascii="Arial" w:eastAsiaTheme="minorHAnsi" w:hAnsi="Arial" w:cs="Arial"/>
          <w:i/>
          <w:sz w:val="16"/>
          <w:szCs w:val="16"/>
          <w:lang w:val="en-US" w:eastAsia="en-US"/>
        </w:rPr>
        <w:t>randomised</w:t>
      </w:r>
      <w:proofErr w:type="spellEnd"/>
      <w:r w:rsidRPr="007D41FF">
        <w:rPr>
          <w:rFonts w:ascii="Arial" w:eastAsiaTheme="minorHAnsi" w:hAnsi="Arial" w:cs="Arial"/>
          <w:i/>
          <w:sz w:val="16"/>
          <w:szCs w:val="16"/>
          <w:lang w:val="en-US" w:eastAsia="en-US"/>
        </w:rPr>
        <w:t xml:space="preserve"> to two treatment groups and constituted the ITT population: 78 patients to the Cerebrolysin group and 68 patients to the placebo group. Of these patients, 67 of the Cerebrolysin group and 52 of the </w:t>
      </w:r>
      <w:proofErr w:type="spellStart"/>
      <w:r w:rsidRPr="007D41FF">
        <w:rPr>
          <w:rFonts w:ascii="Arial" w:eastAsiaTheme="minorHAnsi" w:hAnsi="Arial" w:cs="Arial"/>
          <w:i/>
          <w:sz w:val="16"/>
          <w:szCs w:val="16"/>
          <w:lang w:val="en-US" w:eastAsia="en-US"/>
        </w:rPr>
        <w:t>plaebo</w:t>
      </w:r>
      <w:proofErr w:type="spellEnd"/>
      <w:r w:rsidRPr="007D41FF">
        <w:rPr>
          <w:rFonts w:ascii="Arial" w:eastAsiaTheme="minorHAnsi" w:hAnsi="Arial" w:cs="Arial"/>
          <w:i/>
          <w:sz w:val="16"/>
          <w:szCs w:val="16"/>
          <w:lang w:val="en-US" w:eastAsia="en-US"/>
        </w:rPr>
        <w:t xml:space="preserve"> group completed the study. </w:t>
      </w:r>
      <w:proofErr w:type="spellStart"/>
      <w:r w:rsidRPr="007D41FF">
        <w:rPr>
          <w:rFonts w:ascii="Arial" w:eastAsiaTheme="minorHAnsi" w:hAnsi="Arial" w:cs="Arial"/>
          <w:i/>
          <w:sz w:val="16"/>
          <w:szCs w:val="16"/>
          <w:lang w:val="en-US" w:eastAsia="en-US"/>
        </w:rPr>
        <w:t>Resaons</w:t>
      </w:r>
      <w:proofErr w:type="spellEnd"/>
      <w:r w:rsidRPr="007D41FF">
        <w:rPr>
          <w:rFonts w:ascii="Arial" w:eastAsiaTheme="minorHAnsi" w:hAnsi="Arial" w:cs="Arial"/>
          <w:i/>
          <w:sz w:val="16"/>
          <w:szCs w:val="16"/>
          <w:lang w:val="en-US" w:eastAsia="en-US"/>
        </w:rPr>
        <w:t xml:space="preserve"> for the 25 cases of study continuation were death (6 Cerebrolysin, 6 placebo), serious adverse event (1 placebo), and </w:t>
      </w:r>
      <w:proofErr w:type="spellStart"/>
      <w:r w:rsidRPr="007D41FF">
        <w:rPr>
          <w:rFonts w:ascii="Arial" w:eastAsiaTheme="minorHAnsi" w:hAnsi="Arial" w:cs="Arial"/>
          <w:i/>
          <w:sz w:val="16"/>
          <w:szCs w:val="16"/>
          <w:lang w:val="en-US" w:eastAsia="en-US"/>
        </w:rPr>
        <w:t>conset</w:t>
      </w:r>
      <w:proofErr w:type="spellEnd"/>
      <w:r w:rsidRPr="007D41FF">
        <w:rPr>
          <w:rFonts w:ascii="Arial" w:eastAsiaTheme="minorHAnsi" w:hAnsi="Arial" w:cs="Arial"/>
          <w:i/>
          <w:sz w:val="16"/>
          <w:szCs w:val="16"/>
          <w:lang w:val="en-US" w:eastAsia="en-US"/>
        </w:rPr>
        <w:t xml:space="preserve"> withdrawn (3 Cerebrolysin; 9 </w:t>
      </w:r>
      <w:proofErr w:type="spellStart"/>
      <w:r w:rsidRPr="007D41FF">
        <w:rPr>
          <w:rFonts w:ascii="Arial" w:eastAsiaTheme="minorHAnsi" w:hAnsi="Arial" w:cs="Arial"/>
          <w:i/>
          <w:sz w:val="16"/>
          <w:szCs w:val="16"/>
          <w:lang w:val="en-US" w:eastAsia="en-US"/>
        </w:rPr>
        <w:t>placbeo</w:t>
      </w:r>
      <w:proofErr w:type="spellEnd"/>
      <w:r w:rsidRPr="007D41FF">
        <w:rPr>
          <w:rFonts w:ascii="Arial" w:eastAsiaTheme="minorHAnsi" w:hAnsi="Arial" w:cs="Arial"/>
          <w:i/>
          <w:sz w:val="16"/>
          <w:szCs w:val="16"/>
          <w:lang w:val="en-US" w:eastAsia="en-US"/>
        </w:rPr>
        <w:t>).</w:t>
      </w:r>
      <w:r w:rsidRPr="007D41FF">
        <w:rPr>
          <w:rFonts w:ascii="Arial" w:eastAsiaTheme="minorHAnsi" w:hAnsi="Arial" w:cs="Arial"/>
          <w:sz w:val="16"/>
          <w:szCs w:val="16"/>
          <w:lang w:val="en-US" w:eastAsia="en-US"/>
        </w:rPr>
        <w:t xml:space="preserve"> Thus,13 cases of premature discontinuations were due to death or SAE, </w:t>
      </w:r>
      <w:proofErr w:type="gramStart"/>
      <w:r w:rsidRPr="007D41FF">
        <w:rPr>
          <w:rFonts w:ascii="Arial" w:eastAsiaTheme="minorHAnsi" w:hAnsi="Arial" w:cs="Arial"/>
          <w:sz w:val="16"/>
          <w:szCs w:val="16"/>
          <w:lang w:val="en-US" w:eastAsia="en-US"/>
        </w:rPr>
        <w:t>i.e.</w:t>
      </w:r>
      <w:proofErr w:type="gramEnd"/>
      <w:r w:rsidRPr="007D41FF">
        <w:rPr>
          <w:rFonts w:ascii="Arial" w:eastAsiaTheme="minorHAnsi" w:hAnsi="Arial" w:cs="Arial"/>
          <w:sz w:val="16"/>
          <w:szCs w:val="16"/>
          <w:lang w:val="en-US" w:eastAsia="en-US"/>
        </w:rPr>
        <w:t xml:space="preserve"> these cases are included in the present safety analysis and were not representing risk of bias. The remaining 12 cases represent 8% of the patients, which is well within the quality margin provided by the American Academy of Neurology (AAN) for class I studies (&lt;20%). While imputation of missing values (LOCF) was reported for efficacy measures, this does </w:t>
      </w:r>
      <w:proofErr w:type="spellStart"/>
      <w:proofErr w:type="gramStart"/>
      <w:r w:rsidRPr="007D41FF">
        <w:rPr>
          <w:rFonts w:ascii="Arial" w:eastAsiaTheme="minorHAnsi" w:hAnsi="Arial" w:cs="Arial"/>
          <w:sz w:val="16"/>
          <w:szCs w:val="16"/>
          <w:lang w:val="en-US" w:eastAsia="en-US"/>
        </w:rPr>
        <w:t>no</w:t>
      </w:r>
      <w:proofErr w:type="spellEnd"/>
      <w:proofErr w:type="gramEnd"/>
      <w:r w:rsidRPr="007D41FF">
        <w:rPr>
          <w:rFonts w:ascii="Arial" w:eastAsiaTheme="minorHAnsi" w:hAnsi="Arial" w:cs="Arial"/>
          <w:sz w:val="16"/>
          <w:szCs w:val="16"/>
          <w:lang w:val="en-US" w:eastAsia="en-US"/>
        </w:rPr>
        <w:t xml:space="preserve"> apply to adverse events or death, thus is not providing risk of bias for safety analyses.</w:t>
      </w:r>
    </w:p>
    <w:p w14:paraId="2F84622E" w14:textId="77777777" w:rsidR="00032273" w:rsidRPr="007D41FF" w:rsidRDefault="00032273" w:rsidP="001D37C8">
      <w:pPr>
        <w:spacing w:after="200" w:line="276" w:lineRule="auto"/>
        <w:jc w:val="both"/>
        <w:rPr>
          <w:rFonts w:ascii="Arial" w:hAnsi="Arial" w:cs="Arial"/>
          <w:sz w:val="16"/>
          <w:szCs w:val="16"/>
          <w:lang w:val="en-US"/>
        </w:rPr>
      </w:pPr>
      <w:r w:rsidRPr="007D41FF">
        <w:rPr>
          <w:rFonts w:ascii="Arial" w:hAnsi="Arial" w:cs="Arial"/>
          <w:sz w:val="16"/>
          <w:szCs w:val="16"/>
          <w:lang w:val="en-US"/>
        </w:rPr>
        <w:t>#4</w:t>
      </w:r>
      <w:r w:rsidRPr="007D41FF">
        <w:rPr>
          <w:rFonts w:ascii="Arial" w:hAnsi="Arial" w:cs="Arial"/>
          <w:sz w:val="16"/>
          <w:szCs w:val="16"/>
          <w:lang w:val="en-US"/>
        </w:rPr>
        <w:br/>
      </w:r>
      <w:proofErr w:type="spellStart"/>
      <w:r w:rsidRPr="007D41FF">
        <w:rPr>
          <w:rFonts w:ascii="Arial" w:hAnsi="Arial" w:cs="Arial"/>
          <w:sz w:val="16"/>
          <w:szCs w:val="16"/>
          <w:lang w:val="en-US"/>
        </w:rPr>
        <w:t>RoB</w:t>
      </w:r>
      <w:proofErr w:type="spellEnd"/>
      <w:r w:rsidRPr="007D41FF">
        <w:rPr>
          <w:rFonts w:ascii="Arial" w:hAnsi="Arial" w:cs="Arial"/>
          <w:sz w:val="16"/>
          <w:szCs w:val="16"/>
          <w:lang w:val="en-US"/>
        </w:rPr>
        <w:t xml:space="preserve"> assessment was based on information provided in the Clinical Study Report (CSR): </w:t>
      </w:r>
      <w:r w:rsidRPr="007D41FF">
        <w:rPr>
          <w:rFonts w:ascii="Arial" w:eastAsiaTheme="minorHAnsi" w:hAnsi="Arial" w:cs="Arial"/>
          <w:i/>
          <w:sz w:val="16"/>
          <w:szCs w:val="16"/>
          <w:lang w:val="en-US" w:eastAsia="en-US"/>
        </w:rPr>
        <w:t xml:space="preserve">The allocation of patients to the treatment groups was done in a </w:t>
      </w:r>
      <w:proofErr w:type="spellStart"/>
      <w:r w:rsidRPr="007D41FF">
        <w:rPr>
          <w:rFonts w:ascii="Arial" w:eastAsiaTheme="minorHAnsi" w:hAnsi="Arial" w:cs="Arial"/>
          <w:i/>
          <w:sz w:val="16"/>
          <w:szCs w:val="16"/>
          <w:lang w:val="en-US" w:eastAsia="en-US"/>
        </w:rPr>
        <w:t>randomised</w:t>
      </w:r>
      <w:proofErr w:type="spellEnd"/>
      <w:r w:rsidRPr="007D41FF">
        <w:rPr>
          <w:rFonts w:ascii="Arial" w:eastAsiaTheme="minorHAnsi" w:hAnsi="Arial" w:cs="Arial"/>
          <w:i/>
          <w:sz w:val="16"/>
          <w:szCs w:val="16"/>
          <w:lang w:val="en-US" w:eastAsia="en-US"/>
        </w:rPr>
        <w:t xml:space="preserve"> fashion and both, the treating </w:t>
      </w:r>
      <w:proofErr w:type="gramStart"/>
      <w:r w:rsidRPr="007D41FF">
        <w:rPr>
          <w:rFonts w:ascii="Arial" w:eastAsiaTheme="minorHAnsi" w:hAnsi="Arial" w:cs="Arial"/>
          <w:i/>
          <w:sz w:val="16"/>
          <w:szCs w:val="16"/>
          <w:lang w:val="en-US" w:eastAsia="en-US"/>
        </w:rPr>
        <w:t>physician</w:t>
      </w:r>
      <w:proofErr w:type="gramEnd"/>
      <w:r w:rsidRPr="007D41FF">
        <w:rPr>
          <w:rFonts w:ascii="Arial" w:eastAsiaTheme="minorHAnsi" w:hAnsi="Arial" w:cs="Arial"/>
          <w:i/>
          <w:sz w:val="16"/>
          <w:szCs w:val="16"/>
          <w:lang w:val="en-US" w:eastAsia="en-US"/>
        </w:rPr>
        <w:t xml:space="preserve"> and the patient, were blinded with regard to this allocation. For each patient, a sealed emergency envelope was provided to the investigators. The emergency envelope contained information about the identity of the treatment administered. The investigators were instructed to open the envelopes only in case of immediate emergency that required the treatment code being immediately unblinded and the investigator could not call the </w:t>
      </w:r>
      <w:r w:rsidRPr="007D41FF">
        <w:rPr>
          <w:rFonts w:ascii="Arial" w:eastAsiaTheme="minorHAnsi" w:hAnsi="Arial" w:cs="Arial"/>
          <w:i/>
          <w:sz w:val="16"/>
          <w:szCs w:val="16"/>
          <w:lang w:val="en-US" w:eastAsia="en-US"/>
        </w:rPr>
        <w:lastRenderedPageBreak/>
        <w:t xml:space="preserve">PSO. In these </w:t>
      </w:r>
      <w:proofErr w:type="gramStart"/>
      <w:r w:rsidRPr="007D41FF">
        <w:rPr>
          <w:rFonts w:ascii="Arial" w:eastAsiaTheme="minorHAnsi" w:hAnsi="Arial" w:cs="Arial"/>
          <w:i/>
          <w:sz w:val="16"/>
          <w:szCs w:val="16"/>
          <w:lang w:val="en-US" w:eastAsia="en-US"/>
        </w:rPr>
        <w:t>cases</w:t>
      </w:r>
      <w:proofErr w:type="gramEnd"/>
      <w:r w:rsidRPr="007D41FF">
        <w:rPr>
          <w:rFonts w:ascii="Arial" w:eastAsiaTheme="minorHAnsi" w:hAnsi="Arial" w:cs="Arial"/>
          <w:i/>
          <w:sz w:val="16"/>
          <w:szCs w:val="16"/>
          <w:lang w:val="en-US" w:eastAsia="en-US"/>
        </w:rPr>
        <w:t xml:space="preserve"> the investigators had to provide a written explanation on the patient’s CRF and inform the CSD and the PSO immediately.</w:t>
      </w:r>
    </w:p>
    <w:p w14:paraId="04B74AB1" w14:textId="77777777" w:rsidR="00032273" w:rsidRPr="007D41FF" w:rsidRDefault="00032273" w:rsidP="001D37C8">
      <w:pPr>
        <w:spacing w:after="200" w:line="276" w:lineRule="auto"/>
        <w:jc w:val="both"/>
        <w:rPr>
          <w:rFonts w:ascii="Arial" w:hAnsi="Arial" w:cs="Arial"/>
          <w:sz w:val="16"/>
          <w:szCs w:val="16"/>
          <w:lang w:val="en-US"/>
        </w:rPr>
      </w:pPr>
      <w:r w:rsidRPr="007D41FF">
        <w:rPr>
          <w:rFonts w:ascii="Arial" w:hAnsi="Arial" w:cs="Arial"/>
          <w:sz w:val="16"/>
          <w:szCs w:val="16"/>
          <w:lang w:val="en-US"/>
        </w:rPr>
        <w:t>#5</w:t>
      </w:r>
      <w:r w:rsidRPr="007D41FF">
        <w:rPr>
          <w:rFonts w:ascii="Arial" w:hAnsi="Arial" w:cs="Arial"/>
          <w:sz w:val="16"/>
          <w:szCs w:val="16"/>
          <w:lang w:val="en-US"/>
        </w:rPr>
        <w:br/>
      </w:r>
      <w:proofErr w:type="spellStart"/>
      <w:r w:rsidRPr="007D41FF">
        <w:rPr>
          <w:rFonts w:ascii="Arial" w:eastAsiaTheme="minorHAnsi" w:hAnsi="Arial" w:cs="Arial"/>
          <w:sz w:val="16"/>
          <w:szCs w:val="16"/>
          <w:lang w:val="en-US" w:eastAsia="en-US"/>
        </w:rPr>
        <w:t>RoB</w:t>
      </w:r>
      <w:proofErr w:type="spellEnd"/>
      <w:r w:rsidRPr="007D41FF">
        <w:rPr>
          <w:rFonts w:ascii="Arial" w:eastAsiaTheme="minorHAnsi" w:hAnsi="Arial" w:cs="Arial"/>
          <w:sz w:val="16"/>
          <w:szCs w:val="16"/>
          <w:lang w:val="en-US" w:eastAsia="en-US"/>
        </w:rPr>
        <w:t xml:space="preserve"> assessment </w:t>
      </w:r>
      <w:r w:rsidRPr="007D41FF">
        <w:rPr>
          <w:rFonts w:ascii="Arial" w:hAnsi="Arial" w:cs="Arial"/>
          <w:sz w:val="16"/>
          <w:szCs w:val="16"/>
          <w:lang w:val="en-US"/>
        </w:rPr>
        <w:t xml:space="preserve">was based on information provided in the </w:t>
      </w:r>
      <w:r w:rsidRPr="007D41FF">
        <w:rPr>
          <w:rFonts w:ascii="Arial" w:eastAsiaTheme="minorHAnsi" w:hAnsi="Arial" w:cs="Arial"/>
          <w:sz w:val="16"/>
          <w:szCs w:val="16"/>
          <w:lang w:val="en-US" w:eastAsia="en-US"/>
        </w:rPr>
        <w:t>Clinical Study Report (CSR), reporting deaths on individual patient base in section 12.3.1.1 'Deaths', with detailed information on dose group (10mL / 50mL), cause of death and study day. Adverse events were reported per MEDRA System Organ Class as well as per MEDRA Low Level Term. Serious adverse events were additionally reported on individual patient base.</w:t>
      </w:r>
    </w:p>
    <w:p w14:paraId="06B922D3" w14:textId="77777777" w:rsidR="00032273" w:rsidRPr="007D41FF" w:rsidRDefault="00032273" w:rsidP="001D37C8">
      <w:pPr>
        <w:spacing w:after="200" w:line="276" w:lineRule="auto"/>
        <w:jc w:val="both"/>
        <w:rPr>
          <w:rFonts w:ascii="Arial" w:hAnsi="Arial" w:cs="Arial"/>
          <w:sz w:val="16"/>
          <w:szCs w:val="16"/>
          <w:lang w:val="en-US"/>
        </w:rPr>
      </w:pPr>
      <w:r w:rsidRPr="007D41FF">
        <w:rPr>
          <w:rFonts w:ascii="Arial" w:hAnsi="Arial" w:cs="Arial"/>
          <w:sz w:val="16"/>
          <w:szCs w:val="16"/>
          <w:lang w:val="en-US"/>
        </w:rPr>
        <w:t>#6</w:t>
      </w:r>
      <w:r w:rsidRPr="007D41FF">
        <w:rPr>
          <w:rFonts w:ascii="Arial" w:hAnsi="Arial" w:cs="Arial"/>
          <w:sz w:val="16"/>
          <w:szCs w:val="16"/>
          <w:lang w:val="en-US"/>
        </w:rPr>
        <w:br/>
      </w:r>
      <w:proofErr w:type="spellStart"/>
      <w:r w:rsidRPr="007D41FF">
        <w:rPr>
          <w:rFonts w:ascii="Arial" w:eastAsiaTheme="minorHAnsi" w:hAnsi="Arial" w:cs="Arial"/>
          <w:sz w:val="16"/>
          <w:szCs w:val="16"/>
          <w:lang w:val="en-US" w:eastAsia="en-US"/>
        </w:rPr>
        <w:t>RoB</w:t>
      </w:r>
      <w:proofErr w:type="spellEnd"/>
      <w:r w:rsidRPr="007D41FF">
        <w:rPr>
          <w:rFonts w:ascii="Arial" w:eastAsiaTheme="minorHAnsi" w:hAnsi="Arial" w:cs="Arial"/>
          <w:sz w:val="16"/>
          <w:szCs w:val="16"/>
          <w:lang w:val="en-US" w:eastAsia="en-US"/>
        </w:rPr>
        <w:t xml:space="preserve"> assessment </w:t>
      </w:r>
      <w:r w:rsidRPr="007D41FF">
        <w:rPr>
          <w:rFonts w:ascii="Arial" w:hAnsi="Arial" w:cs="Arial"/>
          <w:sz w:val="16"/>
          <w:szCs w:val="16"/>
          <w:lang w:val="en-US"/>
        </w:rPr>
        <w:t xml:space="preserve">was based on information provided in the </w:t>
      </w:r>
      <w:r w:rsidRPr="007D41FF">
        <w:rPr>
          <w:rFonts w:ascii="Arial" w:eastAsiaTheme="minorHAnsi" w:hAnsi="Arial" w:cs="Arial"/>
          <w:sz w:val="16"/>
          <w:szCs w:val="16"/>
          <w:lang w:val="en-US" w:eastAsia="en-US"/>
        </w:rPr>
        <w:t xml:space="preserve">Clinical Study Report (CSR) and in the study protocol. According </w:t>
      </w:r>
      <w:proofErr w:type="spellStart"/>
      <w:r w:rsidRPr="007D41FF">
        <w:rPr>
          <w:rFonts w:ascii="Arial" w:eastAsiaTheme="minorHAnsi" w:hAnsi="Arial" w:cs="Arial"/>
          <w:sz w:val="16"/>
          <w:szCs w:val="16"/>
          <w:lang w:val="en-US" w:eastAsia="en-US"/>
        </w:rPr>
        <w:t>ot</w:t>
      </w:r>
      <w:proofErr w:type="spellEnd"/>
      <w:r w:rsidRPr="007D41FF">
        <w:rPr>
          <w:rFonts w:ascii="Arial" w:eastAsiaTheme="minorHAnsi" w:hAnsi="Arial" w:cs="Arial"/>
          <w:sz w:val="16"/>
          <w:szCs w:val="16"/>
          <w:lang w:val="en-US" w:eastAsia="en-US"/>
        </w:rPr>
        <w:t xml:space="preserve"> he supplementary material the study was conducted </w:t>
      </w:r>
      <w:r w:rsidRPr="007D41FF">
        <w:rPr>
          <w:rFonts w:ascii="Arial" w:eastAsiaTheme="minorHAnsi" w:hAnsi="Arial" w:cs="Arial"/>
          <w:i/>
          <w:sz w:val="16"/>
          <w:szCs w:val="16"/>
          <w:lang w:val="en-US" w:eastAsia="en-US"/>
        </w:rPr>
        <w:t xml:space="preserve">with the permission of the Committee on Ethical Issues of the Russian State Medical University (RSMU). Sponsor: EWEBE Pharma </w:t>
      </w:r>
      <w:proofErr w:type="spellStart"/>
      <w:r w:rsidRPr="007D41FF">
        <w:rPr>
          <w:rFonts w:ascii="Arial" w:eastAsiaTheme="minorHAnsi" w:hAnsi="Arial" w:cs="Arial"/>
          <w:i/>
          <w:sz w:val="16"/>
          <w:szCs w:val="16"/>
          <w:lang w:val="en-US" w:eastAsia="en-US"/>
        </w:rPr>
        <w:t>Ges.m.b.H</w:t>
      </w:r>
      <w:proofErr w:type="spellEnd"/>
      <w:r w:rsidRPr="007D41FF">
        <w:rPr>
          <w:rFonts w:ascii="Arial" w:eastAsiaTheme="minorHAnsi" w:hAnsi="Arial" w:cs="Arial"/>
          <w:i/>
          <w:sz w:val="16"/>
          <w:szCs w:val="16"/>
          <w:lang w:val="en-US" w:eastAsia="en-US"/>
        </w:rPr>
        <w:t xml:space="preserve"> </w:t>
      </w:r>
      <w:proofErr w:type="spellStart"/>
      <w:r w:rsidRPr="007D41FF">
        <w:rPr>
          <w:rFonts w:ascii="Arial" w:eastAsiaTheme="minorHAnsi" w:hAnsi="Arial" w:cs="Arial"/>
          <w:i/>
          <w:sz w:val="16"/>
          <w:szCs w:val="16"/>
          <w:lang w:val="en-US" w:eastAsia="en-US"/>
        </w:rPr>
        <w:t>Nfg</w:t>
      </w:r>
      <w:proofErr w:type="spellEnd"/>
      <w:r w:rsidRPr="007D41FF">
        <w:rPr>
          <w:rFonts w:ascii="Arial" w:eastAsiaTheme="minorHAnsi" w:hAnsi="Arial" w:cs="Arial"/>
          <w:i/>
          <w:sz w:val="16"/>
          <w:szCs w:val="16"/>
          <w:lang w:val="en-US" w:eastAsia="en-US"/>
        </w:rPr>
        <w:t>. KG, Austria</w:t>
      </w:r>
      <w:r w:rsidRPr="007D41FF">
        <w:rPr>
          <w:rFonts w:ascii="Arial" w:eastAsiaTheme="minorHAnsi" w:hAnsi="Arial" w:cs="Arial"/>
          <w:sz w:val="16"/>
          <w:szCs w:val="16"/>
          <w:lang w:val="en-US" w:eastAsia="en-US"/>
        </w:rPr>
        <w:t>.</w:t>
      </w:r>
    </w:p>
    <w:p w14:paraId="0779A6D0" w14:textId="77777777" w:rsidR="00032273" w:rsidRPr="007D41FF" w:rsidRDefault="00032273" w:rsidP="001D37C8">
      <w:pPr>
        <w:spacing w:after="200" w:line="276" w:lineRule="auto"/>
        <w:jc w:val="both"/>
        <w:rPr>
          <w:rFonts w:ascii="Arial" w:hAnsi="Arial" w:cs="Arial"/>
          <w:sz w:val="16"/>
          <w:szCs w:val="16"/>
          <w:lang w:val="en-US"/>
        </w:rPr>
      </w:pPr>
      <w:r w:rsidRPr="007D41FF">
        <w:rPr>
          <w:rFonts w:ascii="Arial" w:hAnsi="Arial" w:cs="Arial"/>
          <w:sz w:val="16"/>
          <w:szCs w:val="16"/>
          <w:lang w:val="en-US"/>
        </w:rPr>
        <w:t>#7</w:t>
      </w:r>
      <w:r w:rsidRPr="007D41FF">
        <w:rPr>
          <w:rFonts w:ascii="Arial" w:hAnsi="Arial" w:cs="Arial"/>
          <w:sz w:val="16"/>
          <w:szCs w:val="16"/>
          <w:lang w:val="en-US"/>
        </w:rPr>
        <w:br/>
      </w:r>
      <w:proofErr w:type="spellStart"/>
      <w:r w:rsidRPr="007D41FF">
        <w:rPr>
          <w:rFonts w:ascii="Arial" w:eastAsiaTheme="minorHAnsi" w:hAnsi="Arial" w:cs="Arial"/>
          <w:sz w:val="16"/>
          <w:szCs w:val="16"/>
          <w:lang w:val="en-US" w:eastAsia="en-US"/>
        </w:rPr>
        <w:t>RoB</w:t>
      </w:r>
      <w:proofErr w:type="spellEnd"/>
      <w:r w:rsidRPr="007D41FF">
        <w:rPr>
          <w:rFonts w:ascii="Arial" w:eastAsiaTheme="minorHAnsi" w:hAnsi="Arial" w:cs="Arial"/>
          <w:sz w:val="16"/>
          <w:szCs w:val="16"/>
          <w:lang w:val="en-US" w:eastAsia="en-US"/>
        </w:rPr>
        <w:t xml:space="preserve"> assessment </w:t>
      </w:r>
      <w:r w:rsidRPr="007D41FF">
        <w:rPr>
          <w:rFonts w:ascii="Arial" w:hAnsi="Arial" w:cs="Arial"/>
          <w:sz w:val="16"/>
          <w:szCs w:val="16"/>
          <w:lang w:val="en-US"/>
        </w:rPr>
        <w:t xml:space="preserve">was based on information provided in the </w:t>
      </w:r>
      <w:r w:rsidRPr="007D41FF">
        <w:rPr>
          <w:rFonts w:ascii="Arial" w:eastAsiaTheme="minorHAnsi" w:hAnsi="Arial" w:cs="Arial"/>
          <w:sz w:val="16"/>
          <w:szCs w:val="16"/>
          <w:lang w:val="en-US" w:eastAsia="en-US"/>
        </w:rPr>
        <w:t xml:space="preserve">Clinical Study Report (CSR). Out of the 23 patients with premature discontinuation, four patients withdrew due to adverse events, and 3 patients died. These patients are included in the safety analysis and are not representing risk of bias. The </w:t>
      </w:r>
      <w:proofErr w:type="spellStart"/>
      <w:r w:rsidRPr="007D41FF">
        <w:rPr>
          <w:rFonts w:ascii="Arial" w:eastAsiaTheme="minorHAnsi" w:hAnsi="Arial" w:cs="Arial"/>
          <w:sz w:val="16"/>
          <w:szCs w:val="16"/>
          <w:lang w:val="en-US" w:eastAsia="en-US"/>
        </w:rPr>
        <w:t>remaning</w:t>
      </w:r>
      <w:proofErr w:type="spellEnd"/>
      <w:r w:rsidRPr="007D41FF">
        <w:rPr>
          <w:rFonts w:ascii="Arial" w:eastAsiaTheme="minorHAnsi" w:hAnsi="Arial" w:cs="Arial"/>
          <w:sz w:val="16"/>
          <w:szCs w:val="16"/>
          <w:lang w:val="en-US" w:eastAsia="en-US"/>
        </w:rPr>
        <w:t xml:space="preserve"> 16 patients with premature discontinuation are ‘lost to follow-up’, however lost to follow-up was </w:t>
      </w:r>
      <w:r w:rsidRPr="007D41FF">
        <w:rPr>
          <w:rFonts w:ascii="Arial" w:eastAsiaTheme="minorHAnsi" w:hAnsi="Arial" w:cs="Arial"/>
          <w:sz w:val="16"/>
          <w:szCs w:val="16"/>
          <w:u w:val="single"/>
          <w:lang w:val="en-US" w:eastAsia="en-US"/>
        </w:rPr>
        <w:t>after</w:t>
      </w:r>
      <w:r w:rsidRPr="007D41FF">
        <w:rPr>
          <w:rFonts w:ascii="Arial" w:eastAsiaTheme="minorHAnsi" w:hAnsi="Arial" w:cs="Arial"/>
          <w:sz w:val="16"/>
          <w:szCs w:val="16"/>
          <w:lang w:val="en-US" w:eastAsia="en-US"/>
        </w:rPr>
        <w:t xml:space="preserve"> discharge in all these cases.</w:t>
      </w:r>
      <w:r w:rsidRPr="007D41FF">
        <w:rPr>
          <w:rFonts w:ascii="Arial" w:hAnsi="Arial" w:cs="Arial"/>
          <w:sz w:val="16"/>
          <w:szCs w:val="16"/>
          <w:lang w:val="en-US"/>
        </w:rPr>
        <w:t xml:space="preserve"> </w:t>
      </w:r>
    </w:p>
    <w:p w14:paraId="610128D7" w14:textId="77777777" w:rsidR="00032273" w:rsidRPr="007D41FF" w:rsidRDefault="00032273" w:rsidP="001D37C8">
      <w:pPr>
        <w:spacing w:after="200" w:line="276" w:lineRule="auto"/>
        <w:jc w:val="both"/>
        <w:rPr>
          <w:rFonts w:ascii="Arial" w:hAnsi="Arial" w:cs="Arial"/>
          <w:sz w:val="16"/>
          <w:szCs w:val="16"/>
          <w:lang w:val="en-US"/>
        </w:rPr>
      </w:pPr>
      <w:r w:rsidRPr="007D41FF">
        <w:rPr>
          <w:rFonts w:ascii="Arial" w:hAnsi="Arial" w:cs="Arial"/>
          <w:sz w:val="16"/>
          <w:szCs w:val="16"/>
          <w:lang w:val="en-US"/>
        </w:rPr>
        <w:t>#8</w:t>
      </w:r>
      <w:r w:rsidRPr="007D41FF">
        <w:rPr>
          <w:rFonts w:ascii="Arial" w:hAnsi="Arial" w:cs="Arial"/>
          <w:sz w:val="16"/>
          <w:szCs w:val="16"/>
          <w:lang w:val="en-US"/>
        </w:rPr>
        <w:br/>
      </w:r>
      <w:proofErr w:type="spellStart"/>
      <w:r w:rsidRPr="007D41FF">
        <w:rPr>
          <w:rFonts w:ascii="Arial" w:hAnsi="Arial" w:cs="Arial"/>
          <w:sz w:val="16"/>
          <w:szCs w:val="16"/>
          <w:lang w:val="en-US"/>
        </w:rPr>
        <w:t>RoB</w:t>
      </w:r>
      <w:proofErr w:type="spellEnd"/>
      <w:r w:rsidRPr="007D41FF">
        <w:rPr>
          <w:rFonts w:ascii="Arial" w:hAnsi="Arial" w:cs="Arial"/>
          <w:sz w:val="16"/>
          <w:szCs w:val="16"/>
          <w:lang w:val="en-US"/>
        </w:rPr>
        <w:t xml:space="preserve"> assessment was based on information provided in the Clinical Study Report (CSR): </w:t>
      </w:r>
      <w:r w:rsidRPr="007D41FF">
        <w:rPr>
          <w:rFonts w:ascii="Arial" w:hAnsi="Arial" w:cs="Arial"/>
          <w:i/>
          <w:sz w:val="16"/>
          <w:szCs w:val="16"/>
          <w:lang w:val="en-US"/>
        </w:rPr>
        <w:t xml:space="preserve">Random permuted block design was used for </w:t>
      </w:r>
      <w:proofErr w:type="spellStart"/>
      <w:r w:rsidRPr="007D41FF">
        <w:rPr>
          <w:rFonts w:ascii="Arial" w:hAnsi="Arial" w:cs="Arial"/>
          <w:i/>
          <w:sz w:val="16"/>
          <w:szCs w:val="16"/>
          <w:lang w:val="en-US"/>
        </w:rPr>
        <w:t>randomisation</w:t>
      </w:r>
      <w:proofErr w:type="spellEnd"/>
      <w:r w:rsidRPr="007D41FF">
        <w:rPr>
          <w:rFonts w:ascii="Arial" w:hAnsi="Arial" w:cs="Arial"/>
          <w:i/>
          <w:sz w:val="16"/>
          <w:szCs w:val="16"/>
          <w:lang w:val="en-US"/>
        </w:rPr>
        <w:t xml:space="preserve"> of patients. </w:t>
      </w:r>
      <w:r w:rsidRPr="007D41FF">
        <w:rPr>
          <w:rFonts w:ascii="Arial" w:eastAsiaTheme="minorHAnsi" w:hAnsi="Arial" w:cs="Arial"/>
          <w:i/>
          <w:sz w:val="16"/>
          <w:szCs w:val="16"/>
          <w:lang w:val="en-US" w:eastAsia="en-US"/>
        </w:rPr>
        <w:t xml:space="preserve">The </w:t>
      </w:r>
      <w:proofErr w:type="spellStart"/>
      <w:r w:rsidRPr="007D41FF">
        <w:rPr>
          <w:rFonts w:ascii="Arial" w:eastAsiaTheme="minorHAnsi" w:hAnsi="Arial" w:cs="Arial"/>
          <w:i/>
          <w:sz w:val="16"/>
          <w:szCs w:val="16"/>
          <w:lang w:val="en-US" w:eastAsia="en-US"/>
        </w:rPr>
        <w:t>randomisation</w:t>
      </w:r>
      <w:proofErr w:type="spellEnd"/>
      <w:r w:rsidRPr="007D41FF">
        <w:rPr>
          <w:rFonts w:ascii="Arial" w:eastAsiaTheme="minorHAnsi" w:hAnsi="Arial" w:cs="Arial"/>
          <w:i/>
          <w:sz w:val="16"/>
          <w:szCs w:val="16"/>
          <w:lang w:val="en-US" w:eastAsia="en-US"/>
        </w:rPr>
        <w:t xml:space="preserve"> schedule was drawn up by EBEWE being independent from all other study related procedures and was kept under closure by the JSW Data Management group exclusively. All other members of the clinical project team, all investigators and all patients </w:t>
      </w:r>
      <w:proofErr w:type="gramStart"/>
      <w:r w:rsidRPr="007D41FF">
        <w:rPr>
          <w:rFonts w:ascii="Arial" w:eastAsiaTheme="minorHAnsi" w:hAnsi="Arial" w:cs="Arial"/>
          <w:i/>
          <w:sz w:val="16"/>
          <w:szCs w:val="16"/>
          <w:lang w:val="en-US" w:eastAsia="en-US"/>
        </w:rPr>
        <w:t>entered into</w:t>
      </w:r>
      <w:proofErr w:type="gramEnd"/>
      <w:r w:rsidRPr="007D41FF">
        <w:rPr>
          <w:rFonts w:ascii="Arial" w:eastAsiaTheme="minorHAnsi" w:hAnsi="Arial" w:cs="Arial"/>
          <w:i/>
          <w:sz w:val="16"/>
          <w:szCs w:val="16"/>
          <w:lang w:val="en-US" w:eastAsia="en-US"/>
        </w:rPr>
        <w:t xml:space="preserve"> the study were blind to treatment allocation</w:t>
      </w:r>
      <w:r w:rsidRPr="007D41FF">
        <w:rPr>
          <w:rFonts w:ascii="Arial" w:eastAsiaTheme="minorHAnsi" w:hAnsi="Arial" w:cs="Arial"/>
          <w:sz w:val="16"/>
          <w:szCs w:val="16"/>
          <w:lang w:val="en-US" w:eastAsia="en-US"/>
        </w:rPr>
        <w:t>.</w:t>
      </w:r>
    </w:p>
    <w:p w14:paraId="0488B18D" w14:textId="77777777" w:rsidR="00032273" w:rsidRPr="007D41FF" w:rsidRDefault="00032273" w:rsidP="001D37C8">
      <w:pPr>
        <w:spacing w:after="200" w:line="276" w:lineRule="auto"/>
        <w:jc w:val="both"/>
        <w:rPr>
          <w:rFonts w:ascii="Arial" w:hAnsi="Arial" w:cs="Arial"/>
          <w:sz w:val="16"/>
          <w:szCs w:val="16"/>
          <w:lang w:val="en-US"/>
        </w:rPr>
      </w:pPr>
      <w:r w:rsidRPr="007D41FF">
        <w:rPr>
          <w:rFonts w:ascii="Arial" w:hAnsi="Arial" w:cs="Arial"/>
          <w:sz w:val="16"/>
          <w:szCs w:val="16"/>
          <w:lang w:val="en-US"/>
        </w:rPr>
        <w:t>#9</w:t>
      </w:r>
      <w:r w:rsidRPr="007D41FF">
        <w:rPr>
          <w:rFonts w:ascii="Arial" w:hAnsi="Arial" w:cs="Arial"/>
          <w:sz w:val="16"/>
          <w:szCs w:val="16"/>
          <w:lang w:val="en-US"/>
        </w:rPr>
        <w:br/>
      </w:r>
      <w:proofErr w:type="spellStart"/>
      <w:r w:rsidRPr="007D41FF">
        <w:rPr>
          <w:rFonts w:ascii="Arial" w:hAnsi="Arial" w:cs="Arial"/>
          <w:sz w:val="16"/>
          <w:szCs w:val="16"/>
          <w:lang w:val="en-US"/>
        </w:rPr>
        <w:t>RoB</w:t>
      </w:r>
      <w:proofErr w:type="spellEnd"/>
      <w:r w:rsidRPr="007D41FF">
        <w:rPr>
          <w:rFonts w:ascii="Arial" w:hAnsi="Arial" w:cs="Arial"/>
          <w:sz w:val="16"/>
          <w:szCs w:val="16"/>
          <w:lang w:val="en-US"/>
        </w:rPr>
        <w:t xml:space="preserve"> assessment was based on information provided in the Clinical Study Report (CSR). The CSR reported 10.9% premature discontinuations (13/119). This is well in the range of the class I definition of the AAN (&lt;20%). The single reasons for premature discontinuation were reported in the CSR, separately per treatment group. The majority of </w:t>
      </w:r>
      <w:proofErr w:type="gramStart"/>
      <w:r w:rsidRPr="007D41FF">
        <w:rPr>
          <w:rFonts w:ascii="Arial" w:hAnsi="Arial" w:cs="Arial"/>
          <w:sz w:val="16"/>
          <w:szCs w:val="16"/>
          <w:lang w:val="en-US"/>
        </w:rPr>
        <w:t>the  premature</w:t>
      </w:r>
      <w:proofErr w:type="gramEnd"/>
      <w:r w:rsidRPr="007D41FF">
        <w:rPr>
          <w:rFonts w:ascii="Arial" w:hAnsi="Arial" w:cs="Arial"/>
          <w:sz w:val="16"/>
          <w:szCs w:val="16"/>
          <w:lang w:val="en-US"/>
        </w:rPr>
        <w:t xml:space="preserve"> discontinuations were due to adverse events or deaths, i.e., these patients were included in the safety analysis, not representing risk of bias. While imputation of missing values (LOCF) was reported for efficacy measures, this does </w:t>
      </w:r>
      <w:proofErr w:type="spellStart"/>
      <w:proofErr w:type="gramStart"/>
      <w:r w:rsidRPr="007D41FF">
        <w:rPr>
          <w:rFonts w:ascii="Arial" w:hAnsi="Arial" w:cs="Arial"/>
          <w:sz w:val="16"/>
          <w:szCs w:val="16"/>
          <w:lang w:val="en-US"/>
        </w:rPr>
        <w:t>no</w:t>
      </w:r>
      <w:proofErr w:type="spellEnd"/>
      <w:proofErr w:type="gramEnd"/>
      <w:r w:rsidRPr="007D41FF">
        <w:rPr>
          <w:rFonts w:ascii="Arial" w:hAnsi="Arial" w:cs="Arial"/>
          <w:sz w:val="16"/>
          <w:szCs w:val="16"/>
          <w:lang w:val="en-US"/>
        </w:rPr>
        <w:t xml:space="preserve"> apply to adverse events or death, thus not providing risk of bias for safety analyses.</w:t>
      </w:r>
    </w:p>
    <w:p w14:paraId="0B1021DA" w14:textId="77777777" w:rsidR="00032273" w:rsidRPr="007D41FF" w:rsidRDefault="00032273" w:rsidP="001D37C8">
      <w:pPr>
        <w:spacing w:after="200" w:line="276" w:lineRule="auto"/>
        <w:jc w:val="both"/>
        <w:rPr>
          <w:rFonts w:ascii="Arial" w:hAnsi="Arial" w:cs="Arial"/>
          <w:sz w:val="16"/>
          <w:szCs w:val="16"/>
          <w:lang w:val="en-US"/>
        </w:rPr>
      </w:pPr>
      <w:r w:rsidRPr="007D41FF">
        <w:rPr>
          <w:rFonts w:ascii="Arial" w:hAnsi="Arial" w:cs="Arial"/>
          <w:sz w:val="16"/>
          <w:szCs w:val="16"/>
          <w:lang w:val="en-US"/>
        </w:rPr>
        <w:t>#10</w:t>
      </w:r>
      <w:r w:rsidRPr="007D41FF">
        <w:rPr>
          <w:rFonts w:ascii="Arial" w:hAnsi="Arial" w:cs="Arial"/>
          <w:sz w:val="16"/>
          <w:szCs w:val="16"/>
          <w:lang w:val="en-US"/>
        </w:rPr>
        <w:br/>
      </w:r>
      <w:proofErr w:type="spellStart"/>
      <w:r w:rsidRPr="007D41FF">
        <w:rPr>
          <w:rFonts w:ascii="Arial" w:eastAsiaTheme="minorHAnsi" w:hAnsi="Arial" w:cs="Arial"/>
          <w:sz w:val="16"/>
          <w:szCs w:val="16"/>
          <w:lang w:val="en-US" w:eastAsia="en-US"/>
        </w:rPr>
        <w:t>RoB</w:t>
      </w:r>
      <w:proofErr w:type="spellEnd"/>
      <w:r w:rsidRPr="007D41FF">
        <w:rPr>
          <w:rFonts w:ascii="Arial" w:eastAsiaTheme="minorHAnsi" w:hAnsi="Arial" w:cs="Arial"/>
          <w:sz w:val="16"/>
          <w:szCs w:val="16"/>
          <w:lang w:val="en-US" w:eastAsia="en-US"/>
        </w:rPr>
        <w:t xml:space="preserve"> assessment </w:t>
      </w:r>
      <w:r w:rsidRPr="007D41FF">
        <w:rPr>
          <w:rFonts w:ascii="Arial" w:hAnsi="Arial" w:cs="Arial"/>
          <w:sz w:val="16"/>
          <w:szCs w:val="16"/>
          <w:lang w:val="en-US"/>
        </w:rPr>
        <w:t xml:space="preserve">was based on information provided in the </w:t>
      </w:r>
      <w:r w:rsidRPr="007D41FF">
        <w:rPr>
          <w:rFonts w:ascii="Arial" w:eastAsiaTheme="minorHAnsi" w:hAnsi="Arial" w:cs="Arial"/>
          <w:sz w:val="16"/>
          <w:szCs w:val="16"/>
          <w:lang w:val="en-US" w:eastAsia="en-US"/>
        </w:rPr>
        <w:t>Clinical Study Report (CSR). Deaths and severe adverse event were reported with patient narratives in section 12.3.2 of the Clinical Study Report including relevant date information for safety evaluation.</w:t>
      </w:r>
    </w:p>
    <w:p w14:paraId="04EF6172" w14:textId="77777777" w:rsidR="00032273" w:rsidRPr="007D41FF" w:rsidRDefault="00032273" w:rsidP="001D37C8">
      <w:pPr>
        <w:spacing w:after="200" w:line="276" w:lineRule="auto"/>
        <w:jc w:val="both"/>
        <w:rPr>
          <w:rFonts w:ascii="Arial" w:hAnsi="Arial" w:cs="Arial"/>
          <w:sz w:val="16"/>
          <w:szCs w:val="16"/>
          <w:lang w:val="en-US"/>
        </w:rPr>
      </w:pPr>
      <w:r w:rsidRPr="007D41FF">
        <w:rPr>
          <w:rFonts w:ascii="Arial" w:hAnsi="Arial" w:cs="Arial"/>
          <w:sz w:val="16"/>
          <w:szCs w:val="16"/>
          <w:lang w:val="en-US"/>
        </w:rPr>
        <w:t>#11</w:t>
      </w:r>
      <w:r w:rsidRPr="007D41FF">
        <w:rPr>
          <w:rFonts w:ascii="Arial" w:hAnsi="Arial" w:cs="Arial"/>
          <w:sz w:val="16"/>
          <w:szCs w:val="16"/>
          <w:lang w:val="en-US"/>
        </w:rPr>
        <w:br/>
      </w:r>
      <w:proofErr w:type="spellStart"/>
      <w:r w:rsidRPr="007D41FF">
        <w:rPr>
          <w:rFonts w:ascii="Arial" w:eastAsiaTheme="minorHAnsi" w:hAnsi="Arial" w:cs="Arial"/>
          <w:sz w:val="16"/>
          <w:szCs w:val="16"/>
          <w:lang w:val="en-US" w:eastAsia="en-US"/>
        </w:rPr>
        <w:t>RoB</w:t>
      </w:r>
      <w:proofErr w:type="spellEnd"/>
      <w:r w:rsidRPr="007D41FF">
        <w:rPr>
          <w:rFonts w:ascii="Arial" w:eastAsiaTheme="minorHAnsi" w:hAnsi="Arial" w:cs="Arial"/>
          <w:sz w:val="16"/>
          <w:szCs w:val="16"/>
          <w:lang w:val="en-US" w:eastAsia="en-US"/>
        </w:rPr>
        <w:t xml:space="preserve"> assessment </w:t>
      </w:r>
      <w:r w:rsidRPr="007D41FF">
        <w:rPr>
          <w:rFonts w:ascii="Arial" w:hAnsi="Arial" w:cs="Arial"/>
          <w:sz w:val="16"/>
          <w:szCs w:val="16"/>
          <w:lang w:val="en-US"/>
        </w:rPr>
        <w:t xml:space="preserve">was based on information provided in the </w:t>
      </w:r>
      <w:r w:rsidRPr="007D41FF">
        <w:rPr>
          <w:rFonts w:ascii="Arial" w:eastAsiaTheme="minorHAnsi" w:hAnsi="Arial" w:cs="Arial"/>
          <w:sz w:val="16"/>
          <w:szCs w:val="16"/>
          <w:lang w:val="en-US" w:eastAsia="en-US"/>
        </w:rPr>
        <w:t xml:space="preserve">Clinical Study Report (CSR). This study had an </w:t>
      </w:r>
      <w:r w:rsidRPr="007D41FF">
        <w:rPr>
          <w:rFonts w:ascii="Arial" w:eastAsiaTheme="minorHAnsi" w:hAnsi="Arial" w:cs="Arial"/>
          <w:i/>
          <w:sz w:val="16"/>
          <w:szCs w:val="16"/>
          <w:lang w:val="en-US" w:eastAsia="en-US"/>
        </w:rPr>
        <w:t>a priori</w:t>
      </w:r>
      <w:r w:rsidRPr="007D41FF">
        <w:rPr>
          <w:rFonts w:ascii="Arial" w:eastAsiaTheme="minorHAnsi" w:hAnsi="Arial" w:cs="Arial"/>
          <w:sz w:val="16"/>
          <w:szCs w:val="16"/>
          <w:lang w:val="en-US" w:eastAsia="en-US"/>
        </w:rPr>
        <w:t xml:space="preserve"> planned sequential design including formal sample size calculation for the sequential design: </w:t>
      </w:r>
      <w:r w:rsidRPr="007D41FF">
        <w:rPr>
          <w:rFonts w:ascii="Arial" w:eastAsiaTheme="minorHAnsi" w:hAnsi="Arial" w:cs="Arial"/>
          <w:i/>
          <w:sz w:val="16"/>
          <w:szCs w:val="16"/>
          <w:lang w:val="en-US" w:eastAsia="en-US"/>
        </w:rPr>
        <w:t xml:space="preserve">At each interim analysis the modified Rankin Scale scores will be </w:t>
      </w:r>
      <w:proofErr w:type="spellStart"/>
      <w:r w:rsidRPr="007D41FF">
        <w:rPr>
          <w:rFonts w:ascii="Arial" w:eastAsiaTheme="minorHAnsi" w:hAnsi="Arial" w:cs="Arial"/>
          <w:i/>
          <w:sz w:val="16"/>
          <w:szCs w:val="16"/>
          <w:lang w:val="en-US" w:eastAsia="en-US"/>
        </w:rPr>
        <w:t>analysed</w:t>
      </w:r>
      <w:proofErr w:type="spellEnd"/>
      <w:r w:rsidRPr="007D41FF">
        <w:rPr>
          <w:rFonts w:ascii="Arial" w:eastAsiaTheme="minorHAnsi" w:hAnsi="Arial" w:cs="Arial"/>
          <w:i/>
          <w:sz w:val="16"/>
          <w:szCs w:val="16"/>
          <w:lang w:val="en-US" w:eastAsia="en-US"/>
        </w:rPr>
        <w:t xml:space="preserve"> using a “proportional odds” model with stopping rules defined using a boundaries approach known as the Triangular test. Statistics Z (a measure of the overall treatment difference) and V (a measure of the amount of information available) will be computed and plotted graphically. Depending on the position of the interim analysis point on the plot relative to the pre-defined stopping boundaries, a decision will be made to continue or to stop the study.</w:t>
      </w:r>
    </w:p>
    <w:p w14:paraId="6E79FD32" w14:textId="77777777" w:rsidR="00032273" w:rsidRPr="007D41FF" w:rsidRDefault="00032273" w:rsidP="001D37C8">
      <w:pPr>
        <w:spacing w:after="200" w:line="276" w:lineRule="auto"/>
        <w:jc w:val="both"/>
        <w:rPr>
          <w:rFonts w:ascii="Arial" w:hAnsi="Arial" w:cs="Arial"/>
          <w:sz w:val="16"/>
          <w:szCs w:val="16"/>
          <w:lang w:val="en-US"/>
        </w:rPr>
      </w:pPr>
      <w:r w:rsidRPr="007D41FF">
        <w:rPr>
          <w:rFonts w:ascii="Arial" w:hAnsi="Arial" w:cs="Arial"/>
          <w:sz w:val="16"/>
          <w:szCs w:val="16"/>
          <w:lang w:val="en-US"/>
        </w:rPr>
        <w:t>#12</w:t>
      </w:r>
      <w:r w:rsidRPr="007D41FF">
        <w:rPr>
          <w:rFonts w:ascii="Arial" w:hAnsi="Arial" w:cs="Arial"/>
          <w:sz w:val="16"/>
          <w:szCs w:val="16"/>
          <w:lang w:val="en-US"/>
        </w:rPr>
        <w:br/>
      </w:r>
      <w:proofErr w:type="spellStart"/>
      <w:r w:rsidRPr="007D41FF">
        <w:rPr>
          <w:rFonts w:ascii="Arial" w:hAnsi="Arial" w:cs="Arial"/>
          <w:sz w:val="16"/>
          <w:szCs w:val="16"/>
          <w:lang w:val="en-US"/>
        </w:rPr>
        <w:t>RoB</w:t>
      </w:r>
      <w:proofErr w:type="spellEnd"/>
      <w:r w:rsidRPr="007D41FF">
        <w:rPr>
          <w:rFonts w:ascii="Arial" w:hAnsi="Arial" w:cs="Arial"/>
          <w:sz w:val="16"/>
          <w:szCs w:val="16"/>
          <w:lang w:val="en-US"/>
        </w:rPr>
        <w:t xml:space="preserve"> assessment was based on information provided in the Clinical Study Report (CSR) </w:t>
      </w:r>
      <w:proofErr w:type="spellStart"/>
      <w:r w:rsidRPr="007D41FF">
        <w:rPr>
          <w:rFonts w:ascii="Arial" w:hAnsi="Arial" w:cs="Arial"/>
          <w:sz w:val="16"/>
          <w:szCs w:val="16"/>
          <w:lang w:val="en-US"/>
        </w:rPr>
        <w:t>andf</w:t>
      </w:r>
      <w:proofErr w:type="spellEnd"/>
      <w:r w:rsidRPr="007D41FF">
        <w:rPr>
          <w:rFonts w:ascii="Arial" w:hAnsi="Arial" w:cs="Arial"/>
          <w:sz w:val="16"/>
          <w:szCs w:val="16"/>
          <w:lang w:val="en-US"/>
        </w:rPr>
        <w:t xml:space="preserve"> in the Study Protocol: </w:t>
      </w:r>
      <w:r w:rsidRPr="007D41FF">
        <w:rPr>
          <w:rFonts w:ascii="Arial" w:eastAsiaTheme="minorHAnsi" w:hAnsi="Arial" w:cs="Arial"/>
          <w:i/>
          <w:sz w:val="16"/>
          <w:szCs w:val="16"/>
          <w:lang w:val="en-US" w:eastAsia="en-US"/>
        </w:rPr>
        <w:t xml:space="preserve">The study specific randomization code was prepared using the validated program RANCODE in a validated working environment. A variable length, blocked randomization scheme was used, in which treatment assignment in a ratio 1:1 was stratified by clinical </w:t>
      </w:r>
      <w:proofErr w:type="spellStart"/>
      <w:r w:rsidRPr="007D41FF">
        <w:rPr>
          <w:rFonts w:ascii="Arial" w:eastAsiaTheme="minorHAnsi" w:hAnsi="Arial" w:cs="Arial"/>
          <w:i/>
          <w:sz w:val="16"/>
          <w:szCs w:val="16"/>
          <w:lang w:val="en-US" w:eastAsia="en-US"/>
        </w:rPr>
        <w:t>centre</w:t>
      </w:r>
      <w:proofErr w:type="spellEnd"/>
      <w:r w:rsidRPr="007D41FF">
        <w:rPr>
          <w:rFonts w:ascii="Arial" w:eastAsiaTheme="minorHAnsi" w:hAnsi="Arial" w:cs="Arial"/>
          <w:i/>
          <w:sz w:val="16"/>
          <w:szCs w:val="16"/>
          <w:lang w:val="en-US" w:eastAsia="en-US"/>
        </w:rPr>
        <w:t xml:space="preserve">. The size of the blocks was intentionally not given in this protocol so that the clinical site was unaware of this </w:t>
      </w:r>
      <w:proofErr w:type="spellStart"/>
      <w:proofErr w:type="gramStart"/>
      <w:r w:rsidRPr="007D41FF">
        <w:rPr>
          <w:rFonts w:ascii="Arial" w:eastAsiaTheme="minorHAnsi" w:hAnsi="Arial" w:cs="Arial"/>
          <w:i/>
          <w:sz w:val="16"/>
          <w:szCs w:val="16"/>
          <w:lang w:val="en-US" w:eastAsia="en-US"/>
        </w:rPr>
        <w:t>feature.The</w:t>
      </w:r>
      <w:proofErr w:type="spellEnd"/>
      <w:proofErr w:type="gramEnd"/>
      <w:r w:rsidRPr="007D41FF">
        <w:rPr>
          <w:rFonts w:ascii="Arial" w:eastAsiaTheme="minorHAnsi" w:hAnsi="Arial" w:cs="Arial"/>
          <w:i/>
          <w:sz w:val="16"/>
          <w:szCs w:val="16"/>
          <w:lang w:val="en-US" w:eastAsia="en-US"/>
        </w:rPr>
        <w:t xml:space="preserve"> double-blind study medication labels identified only the unique randomization number, which was the same as the patient number. All investigators and study personnel were blinded as to the treatment allocated to a specific random number.</w:t>
      </w:r>
      <w:r w:rsidRPr="007D41FF">
        <w:rPr>
          <w:rFonts w:ascii="Arial" w:eastAsiaTheme="minorHAnsi" w:hAnsi="Arial" w:cs="Arial"/>
          <w:sz w:val="16"/>
          <w:szCs w:val="16"/>
          <w:lang w:val="en-US" w:eastAsia="en-US"/>
        </w:rPr>
        <w:t xml:space="preserve"> </w:t>
      </w:r>
    </w:p>
    <w:p w14:paraId="58F35C80" w14:textId="3DBB60E1" w:rsidR="00032273" w:rsidRPr="007D41FF" w:rsidRDefault="00032273" w:rsidP="001D37C8">
      <w:pPr>
        <w:spacing w:after="200" w:line="276" w:lineRule="auto"/>
        <w:jc w:val="both"/>
        <w:rPr>
          <w:rFonts w:ascii="Arial" w:hAnsi="Arial" w:cs="Arial"/>
          <w:sz w:val="16"/>
          <w:szCs w:val="16"/>
          <w:lang w:val="en-US"/>
        </w:rPr>
      </w:pPr>
      <w:r w:rsidRPr="007D41FF">
        <w:rPr>
          <w:rFonts w:ascii="Arial" w:hAnsi="Arial" w:cs="Arial"/>
          <w:sz w:val="16"/>
          <w:szCs w:val="16"/>
          <w:lang w:val="en-US"/>
        </w:rPr>
        <w:t>#13</w:t>
      </w:r>
      <w:r w:rsidRPr="007D41FF">
        <w:rPr>
          <w:rFonts w:ascii="Arial" w:hAnsi="Arial" w:cs="Arial"/>
          <w:sz w:val="16"/>
          <w:szCs w:val="16"/>
          <w:lang w:val="en-US"/>
        </w:rPr>
        <w:br/>
      </w:r>
      <w:proofErr w:type="spellStart"/>
      <w:r w:rsidRPr="007D41FF">
        <w:rPr>
          <w:rFonts w:ascii="Arial" w:hAnsi="Arial" w:cs="Arial"/>
          <w:sz w:val="16"/>
          <w:szCs w:val="16"/>
          <w:lang w:val="en-US"/>
        </w:rPr>
        <w:t>RoB</w:t>
      </w:r>
      <w:proofErr w:type="spellEnd"/>
      <w:r w:rsidRPr="007D41FF">
        <w:rPr>
          <w:rFonts w:ascii="Arial" w:hAnsi="Arial" w:cs="Arial"/>
          <w:sz w:val="16"/>
          <w:szCs w:val="16"/>
          <w:lang w:val="en-US"/>
        </w:rPr>
        <w:t xml:space="preserve"> assessment was based on information provided in the Clinical Study Report (CSR). The Clinical Study Report reports 16.8% premature discontinuations (Cerebrolysin 14.6%, placebo 18.9%) with specification of the reasons per treatment group. This is well in the range of the class I definition of the AAN (&lt;20%). The rate of lost to follow-up was very low: 1.9% (Cerebrolysin 1.9%, placebo 1.9%). Overall, risk of bias due to incomplete safety data was assessed as „</w:t>
      </w:r>
      <w:proofErr w:type="gramStart"/>
      <w:r w:rsidRPr="007D41FF">
        <w:rPr>
          <w:rFonts w:ascii="Arial" w:hAnsi="Arial" w:cs="Arial"/>
          <w:sz w:val="16"/>
          <w:szCs w:val="16"/>
          <w:lang w:val="en-US"/>
        </w:rPr>
        <w:t>low“</w:t>
      </w:r>
      <w:proofErr w:type="gramEnd"/>
      <w:r w:rsidRPr="007D41FF">
        <w:rPr>
          <w:rFonts w:ascii="Arial" w:hAnsi="Arial" w:cs="Arial"/>
          <w:sz w:val="16"/>
          <w:szCs w:val="16"/>
          <w:lang w:val="en-US"/>
        </w:rPr>
        <w:t>.</w:t>
      </w:r>
    </w:p>
    <w:p w14:paraId="0B3085BA" w14:textId="58806211" w:rsidR="00032273" w:rsidRPr="007D41FF" w:rsidRDefault="00032273" w:rsidP="001D37C8">
      <w:pPr>
        <w:spacing w:after="200" w:line="276" w:lineRule="auto"/>
        <w:jc w:val="both"/>
        <w:rPr>
          <w:rFonts w:ascii="Arial" w:hAnsi="Arial" w:cs="Arial"/>
          <w:sz w:val="16"/>
          <w:szCs w:val="16"/>
          <w:lang w:val="en-US"/>
        </w:rPr>
      </w:pPr>
      <w:r w:rsidRPr="007D41FF">
        <w:rPr>
          <w:rFonts w:ascii="Arial" w:hAnsi="Arial" w:cs="Arial"/>
          <w:sz w:val="16"/>
          <w:szCs w:val="16"/>
          <w:lang w:val="en-US"/>
        </w:rPr>
        <w:t>#14</w:t>
      </w:r>
      <w:r w:rsidRPr="007D41FF">
        <w:rPr>
          <w:rFonts w:ascii="Arial" w:hAnsi="Arial" w:cs="Arial"/>
          <w:sz w:val="16"/>
          <w:szCs w:val="16"/>
          <w:lang w:val="en-US"/>
        </w:rPr>
        <w:br/>
      </w:r>
      <w:proofErr w:type="spellStart"/>
      <w:r w:rsidRPr="007D41FF">
        <w:rPr>
          <w:rFonts w:ascii="Arial" w:hAnsi="Arial" w:cs="Arial"/>
          <w:sz w:val="16"/>
          <w:szCs w:val="16"/>
          <w:lang w:val="en-US"/>
        </w:rPr>
        <w:t>RoB</w:t>
      </w:r>
      <w:proofErr w:type="spellEnd"/>
      <w:r w:rsidRPr="007D41FF">
        <w:rPr>
          <w:rFonts w:ascii="Arial" w:hAnsi="Arial" w:cs="Arial"/>
          <w:sz w:val="16"/>
          <w:szCs w:val="16"/>
          <w:lang w:val="en-US"/>
        </w:rPr>
        <w:t xml:space="preserve"> assessment was based on information provided in the Clinical Study Report (CSR). In the CSR, causes of death were provided on individual patient base per treatment group. The same applies to the nature of serious adverse events, allowing in-depth re-assessments. Overall, risk of bias due to selective reporting of safety outcomes was assessed as „</w:t>
      </w:r>
      <w:proofErr w:type="gramStart"/>
      <w:r w:rsidRPr="007D41FF">
        <w:rPr>
          <w:rFonts w:ascii="Arial" w:hAnsi="Arial" w:cs="Arial"/>
          <w:sz w:val="16"/>
          <w:szCs w:val="16"/>
          <w:lang w:val="en-US"/>
        </w:rPr>
        <w:t>low“</w:t>
      </w:r>
      <w:proofErr w:type="gramEnd"/>
      <w:r w:rsidRPr="007D41FF">
        <w:rPr>
          <w:rFonts w:ascii="Arial" w:hAnsi="Arial" w:cs="Arial"/>
          <w:sz w:val="16"/>
          <w:szCs w:val="16"/>
          <w:lang w:val="en-US"/>
        </w:rPr>
        <w:t xml:space="preserve">. </w:t>
      </w:r>
    </w:p>
    <w:p w14:paraId="5F86E146" w14:textId="77777777" w:rsidR="00032273" w:rsidRPr="007D41FF" w:rsidRDefault="00032273" w:rsidP="001D37C8">
      <w:pPr>
        <w:spacing w:after="200" w:line="276" w:lineRule="auto"/>
        <w:jc w:val="both"/>
        <w:rPr>
          <w:rFonts w:ascii="Arial" w:hAnsi="Arial" w:cs="Arial"/>
          <w:sz w:val="16"/>
          <w:szCs w:val="16"/>
          <w:lang w:val="en-US"/>
        </w:rPr>
      </w:pPr>
      <w:r w:rsidRPr="007D41FF">
        <w:rPr>
          <w:rFonts w:ascii="Arial" w:hAnsi="Arial" w:cs="Arial"/>
          <w:sz w:val="16"/>
          <w:szCs w:val="16"/>
          <w:lang w:val="en-US"/>
        </w:rPr>
        <w:lastRenderedPageBreak/>
        <w:t>#15</w:t>
      </w:r>
      <w:r w:rsidRPr="007D41FF">
        <w:rPr>
          <w:rFonts w:ascii="Arial" w:hAnsi="Arial" w:cs="Arial"/>
          <w:sz w:val="16"/>
          <w:szCs w:val="16"/>
          <w:lang w:val="en-US"/>
        </w:rPr>
        <w:br/>
      </w:r>
      <w:r w:rsidRPr="007D41FF">
        <w:rPr>
          <w:rFonts w:ascii="Arial" w:eastAsiaTheme="minorHAnsi" w:hAnsi="Arial" w:cs="Arial"/>
          <w:sz w:val="16"/>
          <w:szCs w:val="16"/>
          <w:lang w:val="en-US" w:eastAsia="en-US"/>
        </w:rPr>
        <w:t xml:space="preserve">The original publication </w:t>
      </w:r>
      <w:proofErr w:type="spellStart"/>
      <w:r w:rsidRPr="007D41FF">
        <w:rPr>
          <w:rFonts w:ascii="Arial" w:eastAsiaTheme="minorHAnsi" w:hAnsi="Arial" w:cs="Arial"/>
          <w:sz w:val="16"/>
          <w:szCs w:val="16"/>
          <w:lang w:val="en-US" w:eastAsia="en-US"/>
        </w:rPr>
        <w:t>Xue</w:t>
      </w:r>
      <w:proofErr w:type="spellEnd"/>
      <w:r w:rsidRPr="007D41FF">
        <w:rPr>
          <w:rFonts w:ascii="Arial" w:eastAsiaTheme="minorHAnsi" w:hAnsi="Arial" w:cs="Arial"/>
          <w:sz w:val="16"/>
          <w:szCs w:val="16"/>
          <w:lang w:val="en-US" w:eastAsia="en-US"/>
        </w:rPr>
        <w:t xml:space="preserve"> et al. </w:t>
      </w:r>
      <w:proofErr w:type="gramStart"/>
      <w:r w:rsidRPr="007D41FF">
        <w:rPr>
          <w:rFonts w:ascii="Arial" w:eastAsiaTheme="minorHAnsi" w:hAnsi="Arial" w:cs="Arial"/>
          <w:sz w:val="16"/>
          <w:szCs w:val="16"/>
          <w:lang w:val="en-US" w:eastAsia="en-US"/>
        </w:rPr>
        <w:t>2016  provides</w:t>
      </w:r>
      <w:proofErr w:type="gramEnd"/>
      <w:r w:rsidRPr="007D41FF">
        <w:rPr>
          <w:rFonts w:ascii="Arial" w:eastAsiaTheme="minorHAnsi" w:hAnsi="Arial" w:cs="Arial"/>
          <w:sz w:val="16"/>
          <w:szCs w:val="16"/>
          <w:lang w:val="en-US" w:eastAsia="en-US"/>
        </w:rPr>
        <w:t xml:space="preserve"> the following information: </w:t>
      </w:r>
      <w:r w:rsidRPr="007D41FF">
        <w:rPr>
          <w:rFonts w:ascii="Arial" w:eastAsiaTheme="minorHAnsi" w:hAnsi="Arial" w:cs="Arial"/>
          <w:i/>
          <w:sz w:val="16"/>
          <w:szCs w:val="16"/>
          <w:lang w:val="en-US" w:eastAsia="en-US"/>
        </w:rPr>
        <w:t>Randomization was performed by means of computer-generated numbers through software by a third party who was not involved in patient management. The random numbers were placed in concealed envelopes.</w:t>
      </w:r>
      <w:r w:rsidRPr="007D41FF">
        <w:rPr>
          <w:rFonts w:ascii="Arial" w:hAnsi="Arial" w:cs="Arial"/>
          <w:sz w:val="16"/>
          <w:szCs w:val="16"/>
          <w:lang w:val="en-US"/>
        </w:rPr>
        <w:t xml:space="preserve"> Following these </w:t>
      </w:r>
      <w:proofErr w:type="gramStart"/>
      <w:r w:rsidRPr="007D41FF">
        <w:rPr>
          <w:rFonts w:ascii="Arial" w:hAnsi="Arial" w:cs="Arial"/>
          <w:sz w:val="16"/>
          <w:szCs w:val="16"/>
          <w:lang w:val="en-US"/>
        </w:rPr>
        <w:t>statements</w:t>
      </w:r>
      <w:proofErr w:type="gramEnd"/>
      <w:r w:rsidRPr="007D41FF">
        <w:rPr>
          <w:rFonts w:ascii="Arial" w:hAnsi="Arial" w:cs="Arial"/>
          <w:sz w:val="16"/>
          <w:szCs w:val="16"/>
          <w:lang w:val="en-US"/>
        </w:rPr>
        <w:t xml:space="preserve"> the placement of random numbers in concealed envelopes was presumably performed by the same third party which generated the random sequence (which is the common procedure). Thus, associated risk of bias was assessed as "low".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45"/>
        <w:gridCol w:w="81"/>
      </w:tblGrid>
      <w:tr w:rsidR="00032273" w:rsidRPr="007D41FF" w14:paraId="21D57856" w14:textId="77777777" w:rsidTr="002829FD">
        <w:trPr>
          <w:tblCellSpacing w:w="15" w:type="dxa"/>
        </w:trPr>
        <w:tc>
          <w:tcPr>
            <w:tcW w:w="0" w:type="auto"/>
            <w:vAlign w:val="center"/>
            <w:hideMark/>
          </w:tcPr>
          <w:p w14:paraId="547D16D1" w14:textId="77777777" w:rsidR="00032273" w:rsidRPr="007D41FF" w:rsidRDefault="00032273" w:rsidP="001D37C8">
            <w:pPr>
              <w:spacing w:after="200" w:line="276" w:lineRule="auto"/>
              <w:jc w:val="both"/>
              <w:rPr>
                <w:rFonts w:ascii="Arial" w:hAnsi="Arial" w:cs="Arial"/>
                <w:i/>
                <w:sz w:val="16"/>
                <w:szCs w:val="16"/>
                <w:lang w:val="en-US"/>
              </w:rPr>
            </w:pPr>
            <w:r w:rsidRPr="007D41FF">
              <w:rPr>
                <w:rFonts w:ascii="Arial" w:hAnsi="Arial" w:cs="Arial"/>
                <w:sz w:val="16"/>
                <w:szCs w:val="16"/>
                <w:lang w:val="en-US"/>
              </w:rPr>
              <w:t>#16</w:t>
            </w:r>
            <w:r w:rsidRPr="007D41FF">
              <w:rPr>
                <w:rFonts w:ascii="Arial" w:hAnsi="Arial" w:cs="Arial"/>
                <w:sz w:val="16"/>
                <w:szCs w:val="16"/>
                <w:lang w:val="en-US"/>
              </w:rPr>
              <w:br/>
            </w:r>
            <w:r w:rsidRPr="007D41FF">
              <w:rPr>
                <w:rFonts w:ascii="Arial" w:eastAsiaTheme="minorHAnsi" w:hAnsi="Arial" w:cs="Arial"/>
                <w:sz w:val="16"/>
                <w:szCs w:val="16"/>
                <w:lang w:val="en-US" w:eastAsia="en-US"/>
              </w:rPr>
              <w:t xml:space="preserve">This was a 3-group trial, including DL-3-n-butylphthalide. </w:t>
            </w:r>
            <w:proofErr w:type="spellStart"/>
            <w:r w:rsidRPr="007D41FF">
              <w:rPr>
                <w:rFonts w:ascii="Arial" w:eastAsiaTheme="minorHAnsi" w:hAnsi="Arial" w:cs="Arial"/>
                <w:sz w:val="16"/>
                <w:szCs w:val="16"/>
                <w:lang w:val="en-US" w:eastAsia="en-US"/>
              </w:rPr>
              <w:t>RoB</w:t>
            </w:r>
            <w:proofErr w:type="spellEnd"/>
            <w:r w:rsidRPr="007D41FF">
              <w:rPr>
                <w:rFonts w:ascii="Arial" w:eastAsiaTheme="minorHAnsi" w:hAnsi="Arial" w:cs="Arial"/>
                <w:sz w:val="16"/>
                <w:szCs w:val="16"/>
                <w:lang w:val="en-US" w:eastAsia="en-US"/>
              </w:rPr>
              <w:t xml:space="preserve"> assessment for the present safety meta-analysis was performed using the data from the </w:t>
            </w:r>
            <w:proofErr w:type="spellStart"/>
            <w:r w:rsidRPr="007D41FF">
              <w:rPr>
                <w:rFonts w:ascii="Arial" w:eastAsiaTheme="minorHAnsi" w:hAnsi="Arial" w:cs="Arial"/>
                <w:sz w:val="16"/>
                <w:szCs w:val="16"/>
                <w:lang w:val="en-US" w:eastAsia="en-US"/>
              </w:rPr>
              <w:t>the</w:t>
            </w:r>
            <w:proofErr w:type="spellEnd"/>
            <w:r w:rsidRPr="007D41FF">
              <w:rPr>
                <w:rFonts w:ascii="Arial" w:eastAsiaTheme="minorHAnsi" w:hAnsi="Arial" w:cs="Arial"/>
                <w:sz w:val="16"/>
                <w:szCs w:val="16"/>
                <w:lang w:val="en-US" w:eastAsia="en-US"/>
              </w:rPr>
              <w:t xml:space="preserve"> two arms of interest (Cerebrolysin and placebo). Information from ClinicalTrials.gov was used as supplementary information source for evaluation of premature discontinuations: Out of a total of 57 enrolled patients (28 Cerebrolysin and 29 placebo patients), 17 premature discontinuations were reported. Out of these 15 patients, 9 patients were "lost to follow-up". Upon special request, detailed information from the authors on the nature of these cases could be obtained per treatment group: </w:t>
            </w:r>
            <w:proofErr w:type="gramStart"/>
            <w:r w:rsidRPr="007D41FF">
              <w:rPr>
                <w:rFonts w:ascii="Arial" w:eastAsiaTheme="minorHAnsi" w:hAnsi="Arial" w:cs="Arial"/>
                <w:sz w:val="16"/>
                <w:szCs w:val="16"/>
                <w:lang w:val="en-US" w:eastAsia="en-US"/>
              </w:rPr>
              <w:t>2  vs.</w:t>
            </w:r>
            <w:proofErr w:type="gramEnd"/>
            <w:r w:rsidRPr="007D41FF">
              <w:rPr>
                <w:rFonts w:ascii="Arial" w:eastAsiaTheme="minorHAnsi" w:hAnsi="Arial" w:cs="Arial"/>
                <w:sz w:val="16"/>
                <w:szCs w:val="16"/>
                <w:lang w:val="en-US" w:eastAsia="en-US"/>
              </w:rPr>
              <w:t xml:space="preserve"> 2 premature discontinuations due to investigator decision: in all 4 cases due to surgical intervention related to stroke; 2 vs. 2 withdrawals by subject: no known safety reasons; 4  vs. 5 lost to follow-up: no information on safety background. While imputation of missing values (LOCF) was reported for efficacy measures, this does </w:t>
            </w:r>
            <w:proofErr w:type="spellStart"/>
            <w:proofErr w:type="gramStart"/>
            <w:r w:rsidRPr="007D41FF">
              <w:rPr>
                <w:rFonts w:ascii="Arial" w:eastAsiaTheme="minorHAnsi" w:hAnsi="Arial" w:cs="Arial"/>
                <w:sz w:val="16"/>
                <w:szCs w:val="16"/>
                <w:lang w:val="en-US" w:eastAsia="en-US"/>
              </w:rPr>
              <w:t>no</w:t>
            </w:r>
            <w:proofErr w:type="spellEnd"/>
            <w:proofErr w:type="gramEnd"/>
            <w:r w:rsidRPr="007D41FF">
              <w:rPr>
                <w:rFonts w:ascii="Arial" w:eastAsiaTheme="minorHAnsi" w:hAnsi="Arial" w:cs="Arial"/>
                <w:sz w:val="16"/>
                <w:szCs w:val="16"/>
                <w:lang w:val="en-US" w:eastAsia="en-US"/>
              </w:rPr>
              <w:t xml:space="preserve"> apply to adverse events or death, thus is not providing risk of bias for safety analyses. The study was investigator-</w:t>
            </w:r>
            <w:proofErr w:type="spellStart"/>
            <w:r w:rsidRPr="007D41FF">
              <w:rPr>
                <w:rFonts w:ascii="Arial" w:eastAsiaTheme="minorHAnsi" w:hAnsi="Arial" w:cs="Arial"/>
                <w:sz w:val="16"/>
                <w:szCs w:val="16"/>
                <w:lang w:val="en-US" w:eastAsia="en-US"/>
              </w:rPr>
              <w:t>iniated</w:t>
            </w:r>
            <w:proofErr w:type="spellEnd"/>
            <w:r w:rsidRPr="007D41FF">
              <w:rPr>
                <w:rFonts w:ascii="Arial" w:eastAsiaTheme="minorHAnsi" w:hAnsi="Arial" w:cs="Arial"/>
                <w:sz w:val="16"/>
                <w:szCs w:val="16"/>
                <w:lang w:val="en-US" w:eastAsia="en-US"/>
              </w:rPr>
              <w:t xml:space="preserve"> and sponsored by the Hospital affiliated to the Shanghai Jiao Tong University School of Medicine (additional information on sponsors and investigators could be retrieved from ClinicalTrials.gov: </w:t>
            </w:r>
            <w:r w:rsidRPr="007D41FF">
              <w:rPr>
                <w:rFonts w:ascii="Arial" w:eastAsiaTheme="minorHAnsi" w:hAnsi="Arial" w:cs="Arial"/>
                <w:i/>
                <w:sz w:val="16"/>
                <w:szCs w:val="16"/>
                <w:lang w:val="en-US" w:eastAsia="en-US"/>
              </w:rPr>
              <w:t>'Sponsor and Collaborators: S</w:t>
            </w:r>
            <w:r w:rsidRPr="007D41FF">
              <w:rPr>
                <w:rFonts w:ascii="Arial" w:hAnsi="Arial" w:cs="Arial"/>
                <w:i/>
                <w:sz w:val="16"/>
                <w:szCs w:val="16"/>
                <w:lang w:val="en-US"/>
              </w:rPr>
              <w:t xml:space="preserve">hanghai 6th People's Hospital; Investigators: Study director </w:t>
            </w:r>
            <w:proofErr w:type="spellStart"/>
            <w:r w:rsidRPr="007D41FF">
              <w:rPr>
                <w:rFonts w:ascii="Arial" w:hAnsi="Arial" w:cs="Arial"/>
                <w:i/>
                <w:sz w:val="16"/>
                <w:szCs w:val="16"/>
                <w:lang w:val="en-US"/>
              </w:rPr>
              <w:t>Lixia</w:t>
            </w:r>
            <w:proofErr w:type="spellEnd"/>
            <w:r w:rsidRPr="007D41FF">
              <w:rPr>
                <w:rFonts w:ascii="Arial" w:hAnsi="Arial" w:cs="Arial"/>
                <w:i/>
                <w:sz w:val="16"/>
                <w:szCs w:val="16"/>
                <w:lang w:val="en-US"/>
              </w:rPr>
              <w:t xml:space="preserve"> </w:t>
            </w:r>
            <w:proofErr w:type="spellStart"/>
            <w:r w:rsidRPr="007D41FF">
              <w:rPr>
                <w:rFonts w:ascii="Arial" w:hAnsi="Arial" w:cs="Arial"/>
                <w:i/>
                <w:sz w:val="16"/>
                <w:szCs w:val="16"/>
                <w:lang w:val="en-US"/>
              </w:rPr>
              <w:t>Xue</w:t>
            </w:r>
            <w:proofErr w:type="spellEnd"/>
            <w:r w:rsidRPr="007D41FF">
              <w:rPr>
                <w:rFonts w:ascii="Arial" w:hAnsi="Arial" w:cs="Arial"/>
                <w:i/>
                <w:sz w:val="16"/>
                <w:szCs w:val="16"/>
                <w:lang w:val="en-US"/>
              </w:rPr>
              <w:t xml:space="preserve">, M.D., Ph.D., </w:t>
            </w:r>
            <w:r w:rsidRPr="007D41FF">
              <w:rPr>
                <w:rFonts w:ascii="Arial" w:eastAsiaTheme="minorHAnsi" w:hAnsi="Arial" w:cs="Arial"/>
                <w:i/>
                <w:sz w:val="16"/>
                <w:szCs w:val="16"/>
                <w:lang w:val="en-US" w:eastAsia="en-US"/>
              </w:rPr>
              <w:t>S</w:t>
            </w:r>
            <w:r w:rsidRPr="007D41FF">
              <w:rPr>
                <w:rFonts w:ascii="Arial" w:hAnsi="Arial" w:cs="Arial"/>
                <w:i/>
                <w:sz w:val="16"/>
                <w:szCs w:val="16"/>
                <w:lang w:val="en-US"/>
              </w:rPr>
              <w:t>hanghai 6th People's Hospital).</w:t>
            </w:r>
          </w:p>
        </w:tc>
        <w:tc>
          <w:tcPr>
            <w:tcW w:w="0" w:type="auto"/>
            <w:vAlign w:val="center"/>
            <w:hideMark/>
          </w:tcPr>
          <w:p w14:paraId="5DE12857" w14:textId="77777777" w:rsidR="00032273" w:rsidRPr="007D41FF" w:rsidRDefault="00032273" w:rsidP="001D37C8">
            <w:pPr>
              <w:jc w:val="both"/>
              <w:rPr>
                <w:rFonts w:ascii="Arial" w:hAnsi="Arial" w:cs="Arial"/>
                <w:i/>
                <w:sz w:val="16"/>
                <w:szCs w:val="16"/>
                <w:lang w:val="en-US"/>
              </w:rPr>
            </w:pPr>
          </w:p>
        </w:tc>
      </w:tr>
    </w:tbl>
    <w:p w14:paraId="50F7E721" w14:textId="77777777" w:rsidR="00032273" w:rsidRPr="007D41FF" w:rsidRDefault="00032273">
      <w:pPr>
        <w:rPr>
          <w:lang w:val="en-US"/>
        </w:rPr>
      </w:pPr>
    </w:p>
    <w:sectPr w:rsidR="00032273" w:rsidRPr="007D41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273"/>
    <w:rsid w:val="00032273"/>
    <w:rsid w:val="001555E9"/>
    <w:rsid w:val="001D37C8"/>
    <w:rsid w:val="006B5355"/>
    <w:rsid w:val="007D41FF"/>
    <w:rsid w:val="00BB56BE"/>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041D49E7"/>
  <w15:chartTrackingRefBased/>
  <w15:docId w15:val="{1588AC45-45C0-7A48-89E2-D7916CC4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273"/>
    <w:rPr>
      <w:rFonts w:ascii="Times New Roman" w:eastAsia="Times New Roman" w:hAnsi="Times New Roman" w:cs="Times New Roman"/>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032273"/>
    <w:rPr>
      <w:lang w:val="en-GB"/>
    </w:rPr>
  </w:style>
  <w:style w:type="character" w:customStyle="1" w:styleId="CommentTextChar">
    <w:name w:val="Comment Text Char"/>
    <w:basedOn w:val="DefaultParagraphFont"/>
    <w:link w:val="CommentText"/>
    <w:semiHidden/>
    <w:rsid w:val="00032273"/>
    <w:rPr>
      <w:rFonts w:ascii="Times New Roman" w:eastAsia="Times New Roman" w:hAnsi="Times New Roman" w:cs="Times New Roman"/>
      <w:sz w:val="20"/>
      <w:szCs w:val="20"/>
      <w:lang w:val="en-GB" w:eastAsia="de-DE"/>
    </w:rPr>
  </w:style>
  <w:style w:type="table" w:styleId="TableGrid">
    <w:name w:val="Table Grid"/>
    <w:basedOn w:val="TableNormal"/>
    <w:uiPriority w:val="59"/>
    <w:rsid w:val="00032273"/>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1671</Words>
  <Characters>9525</Characters>
  <Application>Microsoft Office Word</Application>
  <DocSecurity>0</DocSecurity>
  <Lines>79</Lines>
  <Paragraphs>22</Paragraphs>
  <ScaleCrop>false</ScaleCrop>
  <Company>Society for the Study of Neuroprotection and Neurop</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Strilciuc</dc:creator>
  <cp:keywords/>
  <dc:description/>
  <cp:lastModifiedBy>Constantin Radu</cp:lastModifiedBy>
  <cp:revision>6</cp:revision>
  <dcterms:created xsi:type="dcterms:W3CDTF">2021-09-26T11:30:00Z</dcterms:created>
  <dcterms:modified xsi:type="dcterms:W3CDTF">2021-11-14T15:49:00Z</dcterms:modified>
</cp:coreProperties>
</file>