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AF93CC" w14:textId="50BFA7C8" w:rsidR="00544BC7" w:rsidRDefault="00544BC7" w:rsidP="00544BC7">
      <w:pPr>
        <w:pStyle w:val="MDPI12title"/>
      </w:pPr>
      <w:r>
        <w:t>Supplementary Material</w:t>
      </w:r>
    </w:p>
    <w:p w14:paraId="4E3B5E77" w14:textId="5EE18B73" w:rsidR="00544BC7" w:rsidRPr="00544BC7" w:rsidRDefault="00544BC7" w:rsidP="00544BC7">
      <w:pPr>
        <w:pStyle w:val="MDPI12title"/>
        <w:rPr>
          <w:sz w:val="28"/>
          <w:szCs w:val="16"/>
        </w:rPr>
      </w:pPr>
      <w:r w:rsidRPr="00544BC7">
        <w:rPr>
          <w:sz w:val="28"/>
          <w:szCs w:val="16"/>
        </w:rPr>
        <w:t>The residual efficacy of SumiShield™ 50WG and K-Othrine</w:t>
      </w:r>
      <w:r w:rsidRPr="00544BC7">
        <w:rPr>
          <w:sz w:val="28"/>
          <w:szCs w:val="16"/>
          <w:vertAlign w:val="superscript"/>
        </w:rPr>
        <w:t>®</w:t>
      </w:r>
      <w:r w:rsidRPr="00544BC7">
        <w:rPr>
          <w:sz w:val="28"/>
          <w:szCs w:val="16"/>
        </w:rPr>
        <w:t xml:space="preserve"> WG250 IRS formulations applied to different building materials against </w:t>
      </w:r>
      <w:r w:rsidRPr="00544BC7">
        <w:rPr>
          <w:i/>
          <w:iCs/>
          <w:sz w:val="28"/>
          <w:szCs w:val="16"/>
        </w:rPr>
        <w:t>Anopheles</w:t>
      </w:r>
      <w:r w:rsidRPr="00544BC7">
        <w:rPr>
          <w:sz w:val="28"/>
          <w:szCs w:val="16"/>
        </w:rPr>
        <w:t xml:space="preserve"> and </w:t>
      </w:r>
      <w:r w:rsidRPr="00544BC7">
        <w:rPr>
          <w:i/>
          <w:iCs/>
          <w:sz w:val="28"/>
          <w:szCs w:val="16"/>
        </w:rPr>
        <w:t>Aedes</w:t>
      </w:r>
      <w:r w:rsidRPr="00544BC7">
        <w:rPr>
          <w:sz w:val="28"/>
          <w:szCs w:val="16"/>
        </w:rPr>
        <w:t xml:space="preserve"> mosquitoes</w:t>
      </w:r>
    </w:p>
    <w:p w14:paraId="6A6DE35C" w14:textId="769381A0" w:rsidR="00D07984" w:rsidRDefault="00544BC7" w:rsidP="0004590B">
      <w:pPr>
        <w:pStyle w:val="MDPI13authornames"/>
        <w:rPr>
          <w:vertAlign w:val="superscript"/>
        </w:rPr>
      </w:pPr>
      <w:r w:rsidRPr="00B833C8">
        <w:t>Rosemary Susan Lees</w:t>
      </w:r>
      <w:r w:rsidRPr="00B833C8">
        <w:rPr>
          <w:vertAlign w:val="superscript"/>
        </w:rPr>
        <w:t>1*</w:t>
      </w:r>
      <w:r>
        <w:t xml:space="preserve">, </w:t>
      </w:r>
      <w:r w:rsidRPr="00B833C8">
        <w:t>Giorgio Praulins</w:t>
      </w:r>
      <w:r>
        <w:rPr>
          <w:vertAlign w:val="superscript"/>
        </w:rPr>
        <w:t>1</w:t>
      </w:r>
      <w:r w:rsidRPr="00B833C8">
        <w:t>, Natalie Lissenden</w:t>
      </w:r>
      <w:r>
        <w:rPr>
          <w:vertAlign w:val="superscript"/>
        </w:rPr>
        <w:t>1</w:t>
      </w:r>
      <w:r w:rsidRPr="00B833C8">
        <w:t>, Andy South</w:t>
      </w:r>
      <w:r>
        <w:rPr>
          <w:vertAlign w:val="superscript"/>
        </w:rPr>
        <w:t>1</w:t>
      </w:r>
      <w:r w:rsidRPr="00B833C8">
        <w:t>, Jessie Carson</w:t>
      </w:r>
      <w:r>
        <w:rPr>
          <w:vertAlign w:val="superscript"/>
        </w:rPr>
        <w:t>1</w:t>
      </w:r>
      <w:r w:rsidRPr="00B833C8">
        <w:t>, Faye Brown</w:t>
      </w:r>
      <w:r>
        <w:rPr>
          <w:vertAlign w:val="superscript"/>
        </w:rPr>
        <w:t>1</w:t>
      </w:r>
      <w:r w:rsidRPr="00B833C8">
        <w:t>, John Lucas</w:t>
      </w:r>
      <w:r>
        <w:rPr>
          <w:vertAlign w:val="superscript"/>
        </w:rPr>
        <w:t>2</w:t>
      </w:r>
      <w:r w:rsidRPr="00B833C8">
        <w:t>, Dave Malone</w:t>
      </w:r>
      <w:r>
        <w:rPr>
          <w:vertAlign w:val="superscript"/>
        </w:rPr>
        <w:t>3</w:t>
      </w:r>
      <w:r w:rsidR="007124E0">
        <w:rPr>
          <w:vertAlign w:val="superscript"/>
        </w:rPr>
        <w:t xml:space="preserve"> </w:t>
      </w:r>
    </w:p>
    <w:p w14:paraId="13E0BFE1" w14:textId="77777777" w:rsidR="0004590B" w:rsidRPr="0004590B" w:rsidRDefault="0004590B" w:rsidP="0004590B">
      <w:pPr>
        <w:rPr>
          <w:lang w:val="en-US" w:eastAsia="de-DE" w:bidi="en-US"/>
        </w:rPr>
      </w:pPr>
    </w:p>
    <w:p w14:paraId="0E501630" w14:textId="6BBC9183" w:rsidR="00D07984" w:rsidRPr="00F518C0" w:rsidRDefault="007124E0" w:rsidP="00D07984">
      <w:pPr>
        <w:pStyle w:val="MDPI13authornames"/>
        <w:spacing w:after="0" w:line="259" w:lineRule="auto"/>
        <w:rPr>
          <w:b w:val="0"/>
          <w:bCs/>
          <w:szCs w:val="20"/>
        </w:rPr>
      </w:pPr>
      <w:bookmarkStart w:id="0" w:name="_Hlk85723265"/>
      <w:r w:rsidRPr="00F518C0">
        <w:rPr>
          <w:szCs w:val="20"/>
        </w:rPr>
        <w:t>Table S1.</w:t>
      </w:r>
      <w:r w:rsidRPr="00F518C0">
        <w:rPr>
          <w:b w:val="0"/>
          <w:bCs/>
          <w:szCs w:val="20"/>
        </w:rPr>
        <w:t xml:space="preserve"> </w:t>
      </w:r>
      <w:r w:rsidR="00F518C0" w:rsidRPr="00F518C0">
        <w:rPr>
          <w:b w:val="0"/>
          <w:bCs/>
          <w:szCs w:val="20"/>
        </w:rPr>
        <w:t xml:space="preserve">The physical characteristics and chemical properties of the mud used to prepare the mud surfaces used for testing. </w:t>
      </w:r>
      <w:proofErr w:type="spellStart"/>
      <w:r w:rsidR="00F518C0" w:rsidRPr="00F518C0">
        <w:rPr>
          <w:b w:val="0"/>
          <w:bCs/>
          <w:szCs w:val="20"/>
        </w:rPr>
        <w:t>Characterisation</w:t>
      </w:r>
      <w:proofErr w:type="spellEnd"/>
      <w:r w:rsidR="00F518C0" w:rsidRPr="00F518C0">
        <w:rPr>
          <w:b w:val="0"/>
          <w:bCs/>
          <w:szCs w:val="20"/>
        </w:rPr>
        <w:t xml:space="preserve"> was conducted by </w:t>
      </w:r>
      <w:r w:rsidR="007C5541" w:rsidRPr="00F518C0">
        <w:rPr>
          <w:b w:val="0"/>
          <w:bCs/>
          <w:szCs w:val="20"/>
        </w:rPr>
        <w:t>ACS Testing Ltd (Poole, Dorset) to determine the physical characteristics and chemical properties of the mud</w:t>
      </w:r>
      <w:r w:rsidR="00F518C0" w:rsidRPr="00F518C0">
        <w:rPr>
          <w:b w:val="0"/>
          <w:bCs/>
          <w:szCs w:val="20"/>
        </w:rPr>
        <w:t>.</w:t>
      </w:r>
    </w:p>
    <w:tbl>
      <w:tblPr>
        <w:tblW w:w="9021" w:type="dxa"/>
        <w:tblLook w:val="04A0" w:firstRow="1" w:lastRow="0" w:firstColumn="1" w:lastColumn="0" w:noHBand="0" w:noVBand="1"/>
      </w:tblPr>
      <w:tblGrid>
        <w:gridCol w:w="4288"/>
        <w:gridCol w:w="2477"/>
        <w:gridCol w:w="2256"/>
      </w:tblGrid>
      <w:tr w:rsidR="00D07984" w:rsidRPr="00D07984" w14:paraId="5A19E9D6" w14:textId="77777777" w:rsidTr="00713AE7">
        <w:trPr>
          <w:trHeight w:val="290"/>
        </w:trPr>
        <w:tc>
          <w:tcPr>
            <w:tcW w:w="4288" w:type="dxa"/>
            <w:tcBorders>
              <w:top w:val="single" w:sz="4" w:space="0" w:color="auto"/>
              <w:left w:val="single" w:sz="4" w:space="0" w:color="auto"/>
              <w:bottom w:val="single" w:sz="4" w:space="0" w:color="auto"/>
              <w:right w:val="nil"/>
            </w:tcBorders>
            <w:shd w:val="clear" w:color="000000" w:fill="A6A6A6"/>
            <w:noWrap/>
            <w:vAlign w:val="bottom"/>
            <w:hideMark/>
          </w:tcPr>
          <w:bookmarkEnd w:id="0"/>
          <w:p w14:paraId="65AF4CC9"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Property</w:t>
            </w:r>
          </w:p>
        </w:tc>
        <w:tc>
          <w:tcPr>
            <w:tcW w:w="2477" w:type="dxa"/>
            <w:tcBorders>
              <w:top w:val="single" w:sz="4" w:space="0" w:color="auto"/>
              <w:left w:val="single" w:sz="4" w:space="0" w:color="auto"/>
              <w:bottom w:val="single" w:sz="4" w:space="0" w:color="auto"/>
              <w:right w:val="single" w:sz="4" w:space="0" w:color="auto"/>
            </w:tcBorders>
            <w:shd w:val="clear" w:color="000000" w:fill="A6A6A6"/>
            <w:noWrap/>
            <w:vAlign w:val="bottom"/>
            <w:hideMark/>
          </w:tcPr>
          <w:p w14:paraId="1121A7E5"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Sample A</w:t>
            </w:r>
          </w:p>
        </w:tc>
        <w:tc>
          <w:tcPr>
            <w:tcW w:w="2256" w:type="dxa"/>
            <w:tcBorders>
              <w:top w:val="single" w:sz="4" w:space="0" w:color="auto"/>
              <w:left w:val="nil"/>
              <w:bottom w:val="single" w:sz="4" w:space="0" w:color="auto"/>
              <w:right w:val="single" w:sz="4" w:space="0" w:color="auto"/>
            </w:tcBorders>
            <w:shd w:val="clear" w:color="000000" w:fill="A6A6A6"/>
            <w:noWrap/>
            <w:vAlign w:val="bottom"/>
            <w:hideMark/>
          </w:tcPr>
          <w:p w14:paraId="5332ACBE"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Sample B</w:t>
            </w:r>
          </w:p>
        </w:tc>
      </w:tr>
      <w:tr w:rsidR="00D07984" w:rsidRPr="00D07984" w14:paraId="5CB90A08" w14:textId="77777777" w:rsidTr="00713AE7">
        <w:trPr>
          <w:trHeight w:val="290"/>
        </w:trPr>
        <w:tc>
          <w:tcPr>
            <w:tcW w:w="9021" w:type="dxa"/>
            <w:gridSpan w:val="3"/>
            <w:tcBorders>
              <w:top w:val="single" w:sz="4" w:space="0" w:color="auto"/>
              <w:left w:val="single" w:sz="4" w:space="0" w:color="auto"/>
              <w:bottom w:val="single" w:sz="4" w:space="0" w:color="auto"/>
              <w:right w:val="single" w:sz="4" w:space="0" w:color="000000"/>
            </w:tcBorders>
            <w:shd w:val="clear" w:color="000000" w:fill="D9D9D9"/>
            <w:noWrap/>
            <w:vAlign w:val="bottom"/>
            <w:hideMark/>
          </w:tcPr>
          <w:p w14:paraId="2F2C9767"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Elemental Analysis (% by weight)</w:t>
            </w:r>
          </w:p>
        </w:tc>
      </w:tr>
      <w:tr w:rsidR="00D07984" w:rsidRPr="00D07984" w14:paraId="1A6B036F"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41C2B6EA"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Aluminium</w:t>
            </w:r>
          </w:p>
        </w:tc>
        <w:tc>
          <w:tcPr>
            <w:tcW w:w="2477" w:type="dxa"/>
            <w:tcBorders>
              <w:top w:val="nil"/>
              <w:left w:val="nil"/>
              <w:bottom w:val="single" w:sz="4" w:space="0" w:color="auto"/>
              <w:right w:val="single" w:sz="4" w:space="0" w:color="auto"/>
            </w:tcBorders>
            <w:shd w:val="clear" w:color="auto" w:fill="auto"/>
            <w:noWrap/>
            <w:vAlign w:val="bottom"/>
            <w:hideMark/>
          </w:tcPr>
          <w:p w14:paraId="65EFF8F6"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4</w:t>
            </w:r>
          </w:p>
        </w:tc>
        <w:tc>
          <w:tcPr>
            <w:tcW w:w="2256" w:type="dxa"/>
            <w:tcBorders>
              <w:top w:val="nil"/>
              <w:left w:val="nil"/>
              <w:bottom w:val="single" w:sz="4" w:space="0" w:color="auto"/>
              <w:right w:val="single" w:sz="4" w:space="0" w:color="auto"/>
            </w:tcBorders>
            <w:shd w:val="clear" w:color="auto" w:fill="auto"/>
            <w:noWrap/>
            <w:vAlign w:val="bottom"/>
            <w:hideMark/>
          </w:tcPr>
          <w:p w14:paraId="422ED9E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3.58</w:t>
            </w:r>
          </w:p>
        </w:tc>
      </w:tr>
      <w:tr w:rsidR="00D07984" w:rsidRPr="00D07984" w14:paraId="3F0214B1"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166F84DB"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Calcium</w:t>
            </w:r>
          </w:p>
        </w:tc>
        <w:tc>
          <w:tcPr>
            <w:tcW w:w="2477" w:type="dxa"/>
            <w:tcBorders>
              <w:top w:val="nil"/>
              <w:left w:val="nil"/>
              <w:bottom w:val="single" w:sz="4" w:space="0" w:color="auto"/>
              <w:right w:val="single" w:sz="4" w:space="0" w:color="auto"/>
            </w:tcBorders>
            <w:shd w:val="clear" w:color="auto" w:fill="auto"/>
            <w:noWrap/>
            <w:vAlign w:val="bottom"/>
            <w:hideMark/>
          </w:tcPr>
          <w:p w14:paraId="4F487CA1"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0.23</w:t>
            </w:r>
          </w:p>
        </w:tc>
        <w:tc>
          <w:tcPr>
            <w:tcW w:w="2256" w:type="dxa"/>
            <w:tcBorders>
              <w:top w:val="nil"/>
              <w:left w:val="nil"/>
              <w:bottom w:val="single" w:sz="4" w:space="0" w:color="auto"/>
              <w:right w:val="single" w:sz="4" w:space="0" w:color="auto"/>
            </w:tcBorders>
            <w:shd w:val="clear" w:color="auto" w:fill="auto"/>
            <w:noWrap/>
            <w:vAlign w:val="bottom"/>
            <w:hideMark/>
          </w:tcPr>
          <w:p w14:paraId="2AE219B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0.12</w:t>
            </w:r>
          </w:p>
        </w:tc>
      </w:tr>
      <w:tr w:rsidR="00D07984" w:rsidRPr="00D07984" w14:paraId="6DCF3189"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4DE0AA82"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Iron</w:t>
            </w:r>
          </w:p>
        </w:tc>
        <w:tc>
          <w:tcPr>
            <w:tcW w:w="2477" w:type="dxa"/>
            <w:tcBorders>
              <w:top w:val="nil"/>
              <w:left w:val="nil"/>
              <w:bottom w:val="single" w:sz="4" w:space="0" w:color="auto"/>
              <w:right w:val="single" w:sz="4" w:space="0" w:color="auto"/>
            </w:tcBorders>
            <w:shd w:val="clear" w:color="auto" w:fill="auto"/>
            <w:noWrap/>
            <w:vAlign w:val="bottom"/>
            <w:hideMark/>
          </w:tcPr>
          <w:p w14:paraId="3EFA1FC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1.5</w:t>
            </w:r>
          </w:p>
        </w:tc>
        <w:tc>
          <w:tcPr>
            <w:tcW w:w="2256" w:type="dxa"/>
            <w:tcBorders>
              <w:top w:val="nil"/>
              <w:left w:val="nil"/>
              <w:bottom w:val="single" w:sz="4" w:space="0" w:color="auto"/>
              <w:right w:val="single" w:sz="4" w:space="0" w:color="auto"/>
            </w:tcBorders>
            <w:shd w:val="clear" w:color="auto" w:fill="auto"/>
            <w:noWrap/>
            <w:vAlign w:val="bottom"/>
            <w:hideMark/>
          </w:tcPr>
          <w:p w14:paraId="1CA129D9"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1.24</w:t>
            </w:r>
          </w:p>
        </w:tc>
      </w:tr>
      <w:tr w:rsidR="00D07984" w:rsidRPr="00D07984" w14:paraId="52392AD2"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40AC4E74"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Potassium</w:t>
            </w:r>
          </w:p>
        </w:tc>
        <w:tc>
          <w:tcPr>
            <w:tcW w:w="2477" w:type="dxa"/>
            <w:tcBorders>
              <w:top w:val="nil"/>
              <w:left w:val="nil"/>
              <w:bottom w:val="single" w:sz="4" w:space="0" w:color="auto"/>
              <w:right w:val="single" w:sz="4" w:space="0" w:color="auto"/>
            </w:tcBorders>
            <w:shd w:val="clear" w:color="auto" w:fill="auto"/>
            <w:noWrap/>
            <w:vAlign w:val="bottom"/>
            <w:hideMark/>
          </w:tcPr>
          <w:p w14:paraId="2D4A916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0.14</w:t>
            </w:r>
          </w:p>
        </w:tc>
        <w:tc>
          <w:tcPr>
            <w:tcW w:w="2256" w:type="dxa"/>
            <w:tcBorders>
              <w:top w:val="nil"/>
              <w:left w:val="nil"/>
              <w:bottom w:val="single" w:sz="4" w:space="0" w:color="auto"/>
              <w:right w:val="single" w:sz="4" w:space="0" w:color="auto"/>
            </w:tcBorders>
            <w:shd w:val="clear" w:color="auto" w:fill="auto"/>
            <w:noWrap/>
            <w:vAlign w:val="bottom"/>
            <w:hideMark/>
          </w:tcPr>
          <w:p w14:paraId="20B81CE4"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0.13</w:t>
            </w:r>
          </w:p>
        </w:tc>
      </w:tr>
      <w:tr w:rsidR="00D07984" w:rsidRPr="00D07984" w14:paraId="317B1865"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762CABE1"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Magnesium</w:t>
            </w:r>
          </w:p>
        </w:tc>
        <w:tc>
          <w:tcPr>
            <w:tcW w:w="2477" w:type="dxa"/>
            <w:tcBorders>
              <w:top w:val="nil"/>
              <w:left w:val="nil"/>
              <w:bottom w:val="single" w:sz="4" w:space="0" w:color="auto"/>
              <w:right w:val="single" w:sz="4" w:space="0" w:color="auto"/>
            </w:tcBorders>
            <w:shd w:val="clear" w:color="auto" w:fill="auto"/>
            <w:noWrap/>
            <w:vAlign w:val="bottom"/>
            <w:hideMark/>
          </w:tcPr>
          <w:p w14:paraId="2ACABEA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0.07</w:t>
            </w:r>
          </w:p>
        </w:tc>
        <w:tc>
          <w:tcPr>
            <w:tcW w:w="2256" w:type="dxa"/>
            <w:tcBorders>
              <w:top w:val="nil"/>
              <w:left w:val="nil"/>
              <w:bottom w:val="single" w:sz="4" w:space="0" w:color="auto"/>
              <w:right w:val="single" w:sz="4" w:space="0" w:color="auto"/>
            </w:tcBorders>
            <w:shd w:val="clear" w:color="auto" w:fill="auto"/>
            <w:noWrap/>
            <w:vAlign w:val="bottom"/>
            <w:hideMark/>
          </w:tcPr>
          <w:p w14:paraId="3F01573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0.06</w:t>
            </w:r>
          </w:p>
        </w:tc>
      </w:tr>
      <w:tr w:rsidR="00D07984" w:rsidRPr="00D07984" w14:paraId="619DE6A4"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5A639E80"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Sodium</w:t>
            </w:r>
          </w:p>
        </w:tc>
        <w:tc>
          <w:tcPr>
            <w:tcW w:w="2477" w:type="dxa"/>
            <w:tcBorders>
              <w:top w:val="nil"/>
              <w:left w:val="nil"/>
              <w:bottom w:val="single" w:sz="4" w:space="0" w:color="auto"/>
              <w:right w:val="single" w:sz="4" w:space="0" w:color="auto"/>
            </w:tcBorders>
            <w:shd w:val="clear" w:color="auto" w:fill="auto"/>
            <w:noWrap/>
            <w:vAlign w:val="bottom"/>
            <w:hideMark/>
          </w:tcPr>
          <w:p w14:paraId="3AC47D1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0.004</w:t>
            </w:r>
          </w:p>
        </w:tc>
        <w:tc>
          <w:tcPr>
            <w:tcW w:w="2256" w:type="dxa"/>
            <w:tcBorders>
              <w:top w:val="nil"/>
              <w:left w:val="nil"/>
              <w:bottom w:val="single" w:sz="4" w:space="0" w:color="auto"/>
              <w:right w:val="single" w:sz="4" w:space="0" w:color="auto"/>
            </w:tcBorders>
            <w:shd w:val="clear" w:color="auto" w:fill="auto"/>
            <w:noWrap/>
            <w:vAlign w:val="bottom"/>
            <w:hideMark/>
          </w:tcPr>
          <w:p w14:paraId="1F0017CD"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0.004</w:t>
            </w:r>
          </w:p>
        </w:tc>
      </w:tr>
      <w:tr w:rsidR="00D07984" w:rsidRPr="00D07984" w14:paraId="60D368A2"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01A61340"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Titanium</w:t>
            </w:r>
          </w:p>
        </w:tc>
        <w:tc>
          <w:tcPr>
            <w:tcW w:w="2477" w:type="dxa"/>
            <w:tcBorders>
              <w:top w:val="nil"/>
              <w:left w:val="nil"/>
              <w:bottom w:val="single" w:sz="4" w:space="0" w:color="auto"/>
              <w:right w:val="single" w:sz="4" w:space="0" w:color="auto"/>
            </w:tcBorders>
            <w:shd w:val="clear" w:color="auto" w:fill="auto"/>
            <w:noWrap/>
            <w:vAlign w:val="bottom"/>
            <w:hideMark/>
          </w:tcPr>
          <w:p w14:paraId="5B3D206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0.02</w:t>
            </w:r>
          </w:p>
        </w:tc>
        <w:tc>
          <w:tcPr>
            <w:tcW w:w="2256" w:type="dxa"/>
            <w:tcBorders>
              <w:top w:val="nil"/>
              <w:left w:val="nil"/>
              <w:bottom w:val="single" w:sz="4" w:space="0" w:color="auto"/>
              <w:right w:val="single" w:sz="4" w:space="0" w:color="auto"/>
            </w:tcBorders>
            <w:shd w:val="clear" w:color="auto" w:fill="auto"/>
            <w:noWrap/>
            <w:vAlign w:val="bottom"/>
            <w:hideMark/>
          </w:tcPr>
          <w:p w14:paraId="53117C1E"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1.6</w:t>
            </w:r>
          </w:p>
        </w:tc>
      </w:tr>
      <w:tr w:rsidR="00D07984" w:rsidRPr="00D07984" w14:paraId="413D5730"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2961F19C"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Arsenic</w:t>
            </w:r>
          </w:p>
        </w:tc>
        <w:tc>
          <w:tcPr>
            <w:tcW w:w="2477" w:type="dxa"/>
            <w:tcBorders>
              <w:top w:val="nil"/>
              <w:left w:val="nil"/>
              <w:bottom w:val="single" w:sz="4" w:space="0" w:color="auto"/>
              <w:right w:val="single" w:sz="4" w:space="0" w:color="auto"/>
            </w:tcBorders>
            <w:shd w:val="clear" w:color="auto" w:fill="auto"/>
            <w:noWrap/>
            <w:vAlign w:val="bottom"/>
            <w:hideMark/>
          </w:tcPr>
          <w:p w14:paraId="2D7EB096"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&lt;0.001</w:t>
            </w:r>
          </w:p>
        </w:tc>
        <w:tc>
          <w:tcPr>
            <w:tcW w:w="2256" w:type="dxa"/>
            <w:tcBorders>
              <w:top w:val="nil"/>
              <w:left w:val="nil"/>
              <w:bottom w:val="single" w:sz="4" w:space="0" w:color="auto"/>
              <w:right w:val="single" w:sz="4" w:space="0" w:color="auto"/>
            </w:tcBorders>
            <w:shd w:val="clear" w:color="auto" w:fill="auto"/>
            <w:noWrap/>
            <w:vAlign w:val="bottom"/>
            <w:hideMark/>
          </w:tcPr>
          <w:p w14:paraId="704925D5"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Nil</w:t>
            </w:r>
          </w:p>
        </w:tc>
      </w:tr>
      <w:tr w:rsidR="00D07984" w:rsidRPr="00D07984" w14:paraId="0EDC94FB"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69469B2F"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Cadmium</w:t>
            </w:r>
          </w:p>
        </w:tc>
        <w:tc>
          <w:tcPr>
            <w:tcW w:w="2477" w:type="dxa"/>
            <w:tcBorders>
              <w:top w:val="nil"/>
              <w:left w:val="nil"/>
              <w:bottom w:val="single" w:sz="4" w:space="0" w:color="auto"/>
              <w:right w:val="single" w:sz="4" w:space="0" w:color="auto"/>
            </w:tcBorders>
            <w:shd w:val="clear" w:color="auto" w:fill="auto"/>
            <w:noWrap/>
            <w:vAlign w:val="bottom"/>
            <w:hideMark/>
          </w:tcPr>
          <w:p w14:paraId="54BC569B"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Nil</w:t>
            </w:r>
          </w:p>
        </w:tc>
        <w:tc>
          <w:tcPr>
            <w:tcW w:w="2256" w:type="dxa"/>
            <w:tcBorders>
              <w:top w:val="nil"/>
              <w:left w:val="nil"/>
              <w:bottom w:val="single" w:sz="4" w:space="0" w:color="auto"/>
              <w:right w:val="single" w:sz="4" w:space="0" w:color="auto"/>
            </w:tcBorders>
            <w:shd w:val="clear" w:color="auto" w:fill="auto"/>
            <w:noWrap/>
            <w:vAlign w:val="bottom"/>
            <w:hideMark/>
          </w:tcPr>
          <w:p w14:paraId="58534DCD"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Nil</w:t>
            </w:r>
          </w:p>
        </w:tc>
      </w:tr>
      <w:tr w:rsidR="00D07984" w:rsidRPr="00D07984" w14:paraId="677BC19C"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3F4C1D0D"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Chromium</w:t>
            </w:r>
          </w:p>
        </w:tc>
        <w:tc>
          <w:tcPr>
            <w:tcW w:w="2477" w:type="dxa"/>
            <w:tcBorders>
              <w:top w:val="nil"/>
              <w:left w:val="nil"/>
              <w:bottom w:val="single" w:sz="4" w:space="0" w:color="auto"/>
              <w:right w:val="single" w:sz="4" w:space="0" w:color="auto"/>
            </w:tcBorders>
            <w:shd w:val="clear" w:color="auto" w:fill="auto"/>
            <w:noWrap/>
            <w:vAlign w:val="bottom"/>
            <w:hideMark/>
          </w:tcPr>
          <w:p w14:paraId="66035A94"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0.0052</w:t>
            </w:r>
          </w:p>
        </w:tc>
        <w:tc>
          <w:tcPr>
            <w:tcW w:w="2256" w:type="dxa"/>
            <w:tcBorders>
              <w:top w:val="nil"/>
              <w:left w:val="nil"/>
              <w:bottom w:val="single" w:sz="4" w:space="0" w:color="auto"/>
              <w:right w:val="single" w:sz="4" w:space="0" w:color="auto"/>
            </w:tcBorders>
            <w:shd w:val="clear" w:color="auto" w:fill="auto"/>
            <w:noWrap/>
            <w:vAlign w:val="bottom"/>
            <w:hideMark/>
          </w:tcPr>
          <w:p w14:paraId="29B6DE5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0.0047</w:t>
            </w:r>
          </w:p>
        </w:tc>
      </w:tr>
      <w:tr w:rsidR="00D07984" w:rsidRPr="00D07984" w14:paraId="41E9ADBB"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11BF6500"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 xml:space="preserve">Copper </w:t>
            </w:r>
          </w:p>
        </w:tc>
        <w:tc>
          <w:tcPr>
            <w:tcW w:w="2477" w:type="dxa"/>
            <w:tcBorders>
              <w:top w:val="nil"/>
              <w:left w:val="nil"/>
              <w:bottom w:val="single" w:sz="4" w:space="0" w:color="auto"/>
              <w:right w:val="single" w:sz="4" w:space="0" w:color="auto"/>
            </w:tcBorders>
            <w:shd w:val="clear" w:color="auto" w:fill="auto"/>
            <w:noWrap/>
            <w:vAlign w:val="bottom"/>
            <w:hideMark/>
          </w:tcPr>
          <w:p w14:paraId="769276FB"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0.0017</w:t>
            </w:r>
          </w:p>
        </w:tc>
        <w:tc>
          <w:tcPr>
            <w:tcW w:w="2256" w:type="dxa"/>
            <w:tcBorders>
              <w:top w:val="nil"/>
              <w:left w:val="nil"/>
              <w:bottom w:val="single" w:sz="4" w:space="0" w:color="auto"/>
              <w:right w:val="single" w:sz="4" w:space="0" w:color="auto"/>
            </w:tcBorders>
            <w:shd w:val="clear" w:color="auto" w:fill="auto"/>
            <w:noWrap/>
            <w:vAlign w:val="bottom"/>
            <w:hideMark/>
          </w:tcPr>
          <w:p w14:paraId="6BEB6E0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0.0016</w:t>
            </w:r>
          </w:p>
        </w:tc>
      </w:tr>
      <w:tr w:rsidR="00D07984" w:rsidRPr="00D07984" w14:paraId="681685E1"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3CBAC403"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Mercury</w:t>
            </w:r>
          </w:p>
        </w:tc>
        <w:tc>
          <w:tcPr>
            <w:tcW w:w="2477" w:type="dxa"/>
            <w:tcBorders>
              <w:top w:val="nil"/>
              <w:left w:val="nil"/>
              <w:bottom w:val="single" w:sz="4" w:space="0" w:color="auto"/>
              <w:right w:val="single" w:sz="4" w:space="0" w:color="auto"/>
            </w:tcBorders>
            <w:shd w:val="clear" w:color="auto" w:fill="auto"/>
            <w:noWrap/>
            <w:vAlign w:val="bottom"/>
            <w:hideMark/>
          </w:tcPr>
          <w:p w14:paraId="63FE823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&lt;0.0001</w:t>
            </w:r>
          </w:p>
        </w:tc>
        <w:tc>
          <w:tcPr>
            <w:tcW w:w="2256" w:type="dxa"/>
            <w:tcBorders>
              <w:top w:val="nil"/>
              <w:left w:val="nil"/>
              <w:bottom w:val="single" w:sz="4" w:space="0" w:color="auto"/>
              <w:right w:val="single" w:sz="4" w:space="0" w:color="auto"/>
            </w:tcBorders>
            <w:shd w:val="clear" w:color="auto" w:fill="auto"/>
            <w:noWrap/>
            <w:vAlign w:val="bottom"/>
            <w:hideMark/>
          </w:tcPr>
          <w:p w14:paraId="35D5D9EF"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&lt;00001</w:t>
            </w:r>
          </w:p>
        </w:tc>
      </w:tr>
      <w:tr w:rsidR="00D07984" w:rsidRPr="00D07984" w14:paraId="0875C231"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431B03B2"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Nickel</w:t>
            </w:r>
          </w:p>
        </w:tc>
        <w:tc>
          <w:tcPr>
            <w:tcW w:w="2477" w:type="dxa"/>
            <w:tcBorders>
              <w:top w:val="nil"/>
              <w:left w:val="nil"/>
              <w:bottom w:val="single" w:sz="4" w:space="0" w:color="auto"/>
              <w:right w:val="single" w:sz="4" w:space="0" w:color="auto"/>
            </w:tcBorders>
            <w:shd w:val="clear" w:color="auto" w:fill="auto"/>
            <w:noWrap/>
            <w:vAlign w:val="bottom"/>
            <w:hideMark/>
          </w:tcPr>
          <w:p w14:paraId="7E69A046"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0.0028</w:t>
            </w:r>
          </w:p>
        </w:tc>
        <w:tc>
          <w:tcPr>
            <w:tcW w:w="2256" w:type="dxa"/>
            <w:tcBorders>
              <w:top w:val="nil"/>
              <w:left w:val="nil"/>
              <w:bottom w:val="single" w:sz="4" w:space="0" w:color="auto"/>
              <w:right w:val="single" w:sz="4" w:space="0" w:color="auto"/>
            </w:tcBorders>
            <w:shd w:val="clear" w:color="auto" w:fill="auto"/>
            <w:noWrap/>
            <w:vAlign w:val="bottom"/>
            <w:hideMark/>
          </w:tcPr>
          <w:p w14:paraId="35368AC0"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0.0026</w:t>
            </w:r>
          </w:p>
        </w:tc>
      </w:tr>
      <w:tr w:rsidR="00D07984" w:rsidRPr="00D07984" w14:paraId="44C1D6ED"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28A78E7F"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Lead</w:t>
            </w:r>
          </w:p>
        </w:tc>
        <w:tc>
          <w:tcPr>
            <w:tcW w:w="2477" w:type="dxa"/>
            <w:tcBorders>
              <w:top w:val="nil"/>
              <w:left w:val="nil"/>
              <w:bottom w:val="single" w:sz="4" w:space="0" w:color="auto"/>
              <w:right w:val="single" w:sz="4" w:space="0" w:color="auto"/>
            </w:tcBorders>
            <w:shd w:val="clear" w:color="auto" w:fill="auto"/>
            <w:noWrap/>
            <w:vAlign w:val="bottom"/>
            <w:hideMark/>
          </w:tcPr>
          <w:p w14:paraId="3F12568F"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0.0005</w:t>
            </w:r>
          </w:p>
        </w:tc>
        <w:tc>
          <w:tcPr>
            <w:tcW w:w="2256" w:type="dxa"/>
            <w:tcBorders>
              <w:top w:val="nil"/>
              <w:left w:val="nil"/>
              <w:bottom w:val="single" w:sz="4" w:space="0" w:color="auto"/>
              <w:right w:val="single" w:sz="4" w:space="0" w:color="auto"/>
            </w:tcBorders>
            <w:shd w:val="clear" w:color="auto" w:fill="auto"/>
            <w:noWrap/>
            <w:vAlign w:val="bottom"/>
            <w:hideMark/>
          </w:tcPr>
          <w:p w14:paraId="3D8F7D2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0.0005</w:t>
            </w:r>
          </w:p>
        </w:tc>
      </w:tr>
      <w:tr w:rsidR="00D07984" w:rsidRPr="00D07984" w14:paraId="74D71AC5"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5B5F290C"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Selenium</w:t>
            </w:r>
          </w:p>
        </w:tc>
        <w:tc>
          <w:tcPr>
            <w:tcW w:w="2477" w:type="dxa"/>
            <w:tcBorders>
              <w:top w:val="nil"/>
              <w:left w:val="nil"/>
              <w:bottom w:val="single" w:sz="4" w:space="0" w:color="auto"/>
              <w:right w:val="single" w:sz="4" w:space="0" w:color="auto"/>
            </w:tcBorders>
            <w:shd w:val="clear" w:color="auto" w:fill="auto"/>
            <w:noWrap/>
            <w:vAlign w:val="bottom"/>
            <w:hideMark/>
          </w:tcPr>
          <w:p w14:paraId="6CB6A13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0.0008</w:t>
            </w:r>
          </w:p>
        </w:tc>
        <w:tc>
          <w:tcPr>
            <w:tcW w:w="2256" w:type="dxa"/>
            <w:tcBorders>
              <w:top w:val="nil"/>
              <w:left w:val="nil"/>
              <w:bottom w:val="single" w:sz="4" w:space="0" w:color="auto"/>
              <w:right w:val="single" w:sz="4" w:space="0" w:color="auto"/>
            </w:tcBorders>
            <w:shd w:val="clear" w:color="auto" w:fill="auto"/>
            <w:noWrap/>
            <w:vAlign w:val="bottom"/>
            <w:hideMark/>
          </w:tcPr>
          <w:p w14:paraId="35540F2E"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0.0003</w:t>
            </w:r>
          </w:p>
        </w:tc>
      </w:tr>
      <w:tr w:rsidR="00D07984" w:rsidRPr="00D07984" w14:paraId="46A3714A"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7B2AE735"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Zinc</w:t>
            </w:r>
          </w:p>
        </w:tc>
        <w:tc>
          <w:tcPr>
            <w:tcW w:w="2477" w:type="dxa"/>
            <w:tcBorders>
              <w:top w:val="nil"/>
              <w:left w:val="nil"/>
              <w:bottom w:val="single" w:sz="4" w:space="0" w:color="auto"/>
              <w:right w:val="single" w:sz="4" w:space="0" w:color="auto"/>
            </w:tcBorders>
            <w:shd w:val="clear" w:color="auto" w:fill="auto"/>
            <w:noWrap/>
            <w:vAlign w:val="bottom"/>
            <w:hideMark/>
          </w:tcPr>
          <w:p w14:paraId="37F4CEF8"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0.0017</w:t>
            </w:r>
          </w:p>
        </w:tc>
        <w:tc>
          <w:tcPr>
            <w:tcW w:w="2256" w:type="dxa"/>
            <w:tcBorders>
              <w:top w:val="nil"/>
              <w:left w:val="nil"/>
              <w:bottom w:val="single" w:sz="4" w:space="0" w:color="auto"/>
              <w:right w:val="single" w:sz="4" w:space="0" w:color="auto"/>
            </w:tcBorders>
            <w:shd w:val="clear" w:color="auto" w:fill="auto"/>
            <w:noWrap/>
            <w:vAlign w:val="bottom"/>
            <w:hideMark/>
          </w:tcPr>
          <w:p w14:paraId="45B4DD88"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0.0015</w:t>
            </w:r>
          </w:p>
        </w:tc>
      </w:tr>
      <w:tr w:rsidR="00D07984" w:rsidRPr="00D07984" w14:paraId="1873C6DA"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073DF748"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Manganese</w:t>
            </w:r>
          </w:p>
        </w:tc>
        <w:tc>
          <w:tcPr>
            <w:tcW w:w="2477" w:type="dxa"/>
            <w:tcBorders>
              <w:top w:val="nil"/>
              <w:left w:val="nil"/>
              <w:bottom w:val="single" w:sz="4" w:space="0" w:color="auto"/>
              <w:right w:val="single" w:sz="4" w:space="0" w:color="auto"/>
            </w:tcBorders>
            <w:shd w:val="clear" w:color="auto" w:fill="auto"/>
            <w:noWrap/>
            <w:vAlign w:val="bottom"/>
            <w:hideMark/>
          </w:tcPr>
          <w:p w14:paraId="6F443F00"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0.0066</w:t>
            </w:r>
          </w:p>
        </w:tc>
        <w:tc>
          <w:tcPr>
            <w:tcW w:w="2256" w:type="dxa"/>
            <w:tcBorders>
              <w:top w:val="nil"/>
              <w:left w:val="nil"/>
              <w:bottom w:val="single" w:sz="4" w:space="0" w:color="auto"/>
              <w:right w:val="single" w:sz="4" w:space="0" w:color="auto"/>
            </w:tcBorders>
            <w:shd w:val="clear" w:color="auto" w:fill="auto"/>
            <w:noWrap/>
            <w:vAlign w:val="bottom"/>
            <w:hideMark/>
          </w:tcPr>
          <w:p w14:paraId="2831C588"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0.0052</w:t>
            </w:r>
          </w:p>
        </w:tc>
      </w:tr>
      <w:tr w:rsidR="00D07984" w:rsidRPr="00D07984" w14:paraId="602ED490"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2CA067DF"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Phosphorus</w:t>
            </w:r>
          </w:p>
        </w:tc>
        <w:tc>
          <w:tcPr>
            <w:tcW w:w="2477" w:type="dxa"/>
            <w:tcBorders>
              <w:top w:val="nil"/>
              <w:left w:val="nil"/>
              <w:bottom w:val="single" w:sz="4" w:space="0" w:color="auto"/>
              <w:right w:val="single" w:sz="4" w:space="0" w:color="auto"/>
            </w:tcBorders>
            <w:shd w:val="clear" w:color="auto" w:fill="auto"/>
            <w:noWrap/>
            <w:vAlign w:val="bottom"/>
            <w:hideMark/>
          </w:tcPr>
          <w:p w14:paraId="20BDA537"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0.012</w:t>
            </w:r>
          </w:p>
        </w:tc>
        <w:tc>
          <w:tcPr>
            <w:tcW w:w="2256" w:type="dxa"/>
            <w:tcBorders>
              <w:top w:val="nil"/>
              <w:left w:val="nil"/>
              <w:bottom w:val="single" w:sz="4" w:space="0" w:color="auto"/>
              <w:right w:val="single" w:sz="4" w:space="0" w:color="auto"/>
            </w:tcBorders>
            <w:shd w:val="clear" w:color="auto" w:fill="auto"/>
            <w:noWrap/>
            <w:vAlign w:val="bottom"/>
            <w:hideMark/>
          </w:tcPr>
          <w:p w14:paraId="2677E23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0.011</w:t>
            </w:r>
          </w:p>
        </w:tc>
      </w:tr>
      <w:tr w:rsidR="00D07984" w:rsidRPr="00D07984" w14:paraId="4BFC9E79"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7F9D7E10"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Sulphur</w:t>
            </w:r>
          </w:p>
        </w:tc>
        <w:tc>
          <w:tcPr>
            <w:tcW w:w="2477" w:type="dxa"/>
            <w:tcBorders>
              <w:top w:val="nil"/>
              <w:left w:val="nil"/>
              <w:bottom w:val="single" w:sz="4" w:space="0" w:color="auto"/>
              <w:right w:val="single" w:sz="4" w:space="0" w:color="auto"/>
            </w:tcBorders>
            <w:shd w:val="clear" w:color="auto" w:fill="auto"/>
            <w:noWrap/>
            <w:vAlign w:val="bottom"/>
            <w:hideMark/>
          </w:tcPr>
          <w:p w14:paraId="57FA1F47"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0.0068</w:t>
            </w:r>
          </w:p>
        </w:tc>
        <w:tc>
          <w:tcPr>
            <w:tcW w:w="2256" w:type="dxa"/>
            <w:tcBorders>
              <w:top w:val="nil"/>
              <w:left w:val="nil"/>
              <w:bottom w:val="single" w:sz="4" w:space="0" w:color="auto"/>
              <w:right w:val="single" w:sz="4" w:space="0" w:color="auto"/>
            </w:tcBorders>
            <w:shd w:val="clear" w:color="auto" w:fill="auto"/>
            <w:noWrap/>
            <w:vAlign w:val="bottom"/>
            <w:hideMark/>
          </w:tcPr>
          <w:p w14:paraId="318EBD30"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0.0054</w:t>
            </w:r>
          </w:p>
        </w:tc>
      </w:tr>
      <w:tr w:rsidR="00D07984" w:rsidRPr="00D07984" w14:paraId="21B73D49"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35585F1A"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Vanadium</w:t>
            </w:r>
          </w:p>
        </w:tc>
        <w:tc>
          <w:tcPr>
            <w:tcW w:w="2477" w:type="dxa"/>
            <w:tcBorders>
              <w:top w:val="nil"/>
              <w:left w:val="nil"/>
              <w:bottom w:val="single" w:sz="4" w:space="0" w:color="auto"/>
              <w:right w:val="single" w:sz="4" w:space="0" w:color="auto"/>
            </w:tcBorders>
            <w:shd w:val="clear" w:color="auto" w:fill="auto"/>
            <w:noWrap/>
            <w:vAlign w:val="bottom"/>
            <w:hideMark/>
          </w:tcPr>
          <w:p w14:paraId="1A452571"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0.0041</w:t>
            </w:r>
          </w:p>
        </w:tc>
        <w:tc>
          <w:tcPr>
            <w:tcW w:w="2256" w:type="dxa"/>
            <w:tcBorders>
              <w:top w:val="nil"/>
              <w:left w:val="nil"/>
              <w:bottom w:val="single" w:sz="4" w:space="0" w:color="auto"/>
              <w:right w:val="single" w:sz="4" w:space="0" w:color="auto"/>
            </w:tcBorders>
            <w:shd w:val="clear" w:color="auto" w:fill="auto"/>
            <w:noWrap/>
            <w:vAlign w:val="bottom"/>
            <w:hideMark/>
          </w:tcPr>
          <w:p w14:paraId="69BA0DFB"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0.0035</w:t>
            </w:r>
          </w:p>
        </w:tc>
      </w:tr>
      <w:tr w:rsidR="00D07984" w:rsidRPr="00D07984" w14:paraId="0429D5EA"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0DB6F0F7"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Barium</w:t>
            </w:r>
          </w:p>
        </w:tc>
        <w:tc>
          <w:tcPr>
            <w:tcW w:w="2477" w:type="dxa"/>
            <w:tcBorders>
              <w:top w:val="nil"/>
              <w:left w:val="nil"/>
              <w:bottom w:val="single" w:sz="4" w:space="0" w:color="auto"/>
              <w:right w:val="single" w:sz="4" w:space="0" w:color="auto"/>
            </w:tcBorders>
            <w:shd w:val="clear" w:color="auto" w:fill="auto"/>
            <w:noWrap/>
            <w:vAlign w:val="bottom"/>
            <w:hideMark/>
          </w:tcPr>
          <w:p w14:paraId="3E46E63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0.0042</w:t>
            </w:r>
          </w:p>
        </w:tc>
        <w:tc>
          <w:tcPr>
            <w:tcW w:w="2256" w:type="dxa"/>
            <w:tcBorders>
              <w:top w:val="nil"/>
              <w:left w:val="nil"/>
              <w:bottom w:val="single" w:sz="4" w:space="0" w:color="auto"/>
              <w:right w:val="single" w:sz="4" w:space="0" w:color="auto"/>
            </w:tcBorders>
            <w:shd w:val="clear" w:color="auto" w:fill="auto"/>
            <w:noWrap/>
            <w:vAlign w:val="bottom"/>
            <w:hideMark/>
          </w:tcPr>
          <w:p w14:paraId="40FB4F9B"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0.0041</w:t>
            </w:r>
          </w:p>
        </w:tc>
      </w:tr>
      <w:tr w:rsidR="00D07984" w:rsidRPr="00D07984" w14:paraId="7715EA69"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54001500"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Silica</w:t>
            </w:r>
          </w:p>
        </w:tc>
        <w:tc>
          <w:tcPr>
            <w:tcW w:w="2477" w:type="dxa"/>
            <w:tcBorders>
              <w:top w:val="nil"/>
              <w:left w:val="nil"/>
              <w:bottom w:val="nil"/>
              <w:right w:val="nil"/>
            </w:tcBorders>
            <w:shd w:val="clear" w:color="auto" w:fill="auto"/>
            <w:noWrap/>
            <w:vAlign w:val="bottom"/>
            <w:hideMark/>
          </w:tcPr>
          <w:p w14:paraId="2232742C"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ND</w:t>
            </w:r>
          </w:p>
        </w:tc>
        <w:tc>
          <w:tcPr>
            <w:tcW w:w="2256" w:type="dxa"/>
            <w:tcBorders>
              <w:top w:val="nil"/>
              <w:left w:val="nil"/>
              <w:bottom w:val="nil"/>
              <w:right w:val="nil"/>
            </w:tcBorders>
            <w:shd w:val="clear" w:color="auto" w:fill="auto"/>
            <w:noWrap/>
            <w:vAlign w:val="bottom"/>
            <w:hideMark/>
          </w:tcPr>
          <w:p w14:paraId="049F874B"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ND</w:t>
            </w:r>
          </w:p>
        </w:tc>
      </w:tr>
      <w:tr w:rsidR="00D07984" w:rsidRPr="00D07984" w14:paraId="7B6C3975" w14:textId="77777777" w:rsidTr="00713AE7">
        <w:trPr>
          <w:trHeight w:val="290"/>
        </w:trPr>
        <w:tc>
          <w:tcPr>
            <w:tcW w:w="9021" w:type="dxa"/>
            <w:gridSpan w:val="3"/>
            <w:tcBorders>
              <w:top w:val="single" w:sz="4" w:space="0" w:color="auto"/>
              <w:left w:val="single" w:sz="4" w:space="0" w:color="auto"/>
              <w:bottom w:val="single" w:sz="4" w:space="0" w:color="auto"/>
              <w:right w:val="single" w:sz="4" w:space="0" w:color="000000"/>
            </w:tcBorders>
            <w:shd w:val="clear" w:color="000000" w:fill="D9D9D9"/>
            <w:noWrap/>
            <w:vAlign w:val="bottom"/>
            <w:hideMark/>
          </w:tcPr>
          <w:p w14:paraId="1ECEB7C1"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Properties</w:t>
            </w:r>
          </w:p>
        </w:tc>
      </w:tr>
      <w:tr w:rsidR="00D07984" w:rsidRPr="00D07984" w14:paraId="30104BC9"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01E52F40"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Organic matter (%)</w:t>
            </w:r>
          </w:p>
        </w:tc>
        <w:tc>
          <w:tcPr>
            <w:tcW w:w="2477" w:type="dxa"/>
            <w:tcBorders>
              <w:top w:val="nil"/>
              <w:left w:val="nil"/>
              <w:bottom w:val="single" w:sz="4" w:space="0" w:color="auto"/>
              <w:right w:val="single" w:sz="4" w:space="0" w:color="auto"/>
            </w:tcBorders>
            <w:shd w:val="clear" w:color="auto" w:fill="auto"/>
            <w:noWrap/>
            <w:vAlign w:val="bottom"/>
            <w:hideMark/>
          </w:tcPr>
          <w:p w14:paraId="50525389"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1.43</w:t>
            </w:r>
          </w:p>
        </w:tc>
        <w:tc>
          <w:tcPr>
            <w:tcW w:w="2256" w:type="dxa"/>
            <w:tcBorders>
              <w:top w:val="nil"/>
              <w:left w:val="nil"/>
              <w:bottom w:val="single" w:sz="4" w:space="0" w:color="auto"/>
              <w:right w:val="single" w:sz="4" w:space="0" w:color="auto"/>
            </w:tcBorders>
            <w:shd w:val="clear" w:color="auto" w:fill="auto"/>
            <w:noWrap/>
            <w:vAlign w:val="bottom"/>
            <w:hideMark/>
          </w:tcPr>
          <w:p w14:paraId="015B8BD6"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0.0187</w:t>
            </w:r>
          </w:p>
        </w:tc>
      </w:tr>
      <w:tr w:rsidR="00D07984" w:rsidRPr="00D07984" w14:paraId="08BD6ED7"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7C383CF4"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Acid soluble sulphate (%)</w:t>
            </w:r>
          </w:p>
        </w:tc>
        <w:tc>
          <w:tcPr>
            <w:tcW w:w="2477" w:type="dxa"/>
            <w:tcBorders>
              <w:top w:val="nil"/>
              <w:left w:val="nil"/>
              <w:bottom w:val="single" w:sz="4" w:space="0" w:color="auto"/>
              <w:right w:val="single" w:sz="4" w:space="0" w:color="auto"/>
            </w:tcBorders>
            <w:shd w:val="clear" w:color="auto" w:fill="auto"/>
            <w:noWrap/>
            <w:vAlign w:val="bottom"/>
            <w:hideMark/>
          </w:tcPr>
          <w:p w14:paraId="1487474E"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0.03</w:t>
            </w:r>
          </w:p>
        </w:tc>
        <w:tc>
          <w:tcPr>
            <w:tcW w:w="2256" w:type="dxa"/>
            <w:tcBorders>
              <w:top w:val="nil"/>
              <w:left w:val="nil"/>
              <w:bottom w:val="single" w:sz="4" w:space="0" w:color="auto"/>
              <w:right w:val="single" w:sz="4" w:space="0" w:color="auto"/>
            </w:tcBorders>
            <w:shd w:val="clear" w:color="auto" w:fill="auto"/>
            <w:noWrap/>
            <w:vAlign w:val="bottom"/>
            <w:hideMark/>
          </w:tcPr>
          <w:p w14:paraId="24C7315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0.02</w:t>
            </w:r>
          </w:p>
        </w:tc>
      </w:tr>
      <w:tr w:rsidR="00D07984" w:rsidRPr="00D07984" w14:paraId="6F17EE75"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6651EE78"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CEC (cation exchange capacity)</w:t>
            </w:r>
          </w:p>
        </w:tc>
        <w:tc>
          <w:tcPr>
            <w:tcW w:w="2477" w:type="dxa"/>
            <w:tcBorders>
              <w:top w:val="nil"/>
              <w:left w:val="nil"/>
              <w:bottom w:val="single" w:sz="4" w:space="0" w:color="auto"/>
              <w:right w:val="single" w:sz="4" w:space="0" w:color="auto"/>
            </w:tcBorders>
            <w:shd w:val="clear" w:color="auto" w:fill="auto"/>
            <w:noWrap/>
            <w:vAlign w:val="bottom"/>
            <w:hideMark/>
          </w:tcPr>
          <w:p w14:paraId="70364C8E"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21.1</w:t>
            </w:r>
          </w:p>
        </w:tc>
        <w:tc>
          <w:tcPr>
            <w:tcW w:w="2256" w:type="dxa"/>
            <w:tcBorders>
              <w:top w:val="nil"/>
              <w:left w:val="nil"/>
              <w:bottom w:val="single" w:sz="4" w:space="0" w:color="auto"/>
              <w:right w:val="single" w:sz="4" w:space="0" w:color="auto"/>
            </w:tcBorders>
            <w:shd w:val="clear" w:color="auto" w:fill="auto"/>
            <w:noWrap/>
            <w:vAlign w:val="bottom"/>
            <w:hideMark/>
          </w:tcPr>
          <w:p w14:paraId="6E23D10E"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13.8</w:t>
            </w:r>
          </w:p>
        </w:tc>
      </w:tr>
      <w:tr w:rsidR="00D07984" w:rsidRPr="00D07984" w14:paraId="118069DE"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0423FFC2"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Acid soluble chloride</w:t>
            </w:r>
          </w:p>
        </w:tc>
        <w:tc>
          <w:tcPr>
            <w:tcW w:w="2477" w:type="dxa"/>
            <w:tcBorders>
              <w:top w:val="nil"/>
              <w:left w:val="nil"/>
              <w:bottom w:val="single" w:sz="4" w:space="0" w:color="auto"/>
              <w:right w:val="single" w:sz="4" w:space="0" w:color="auto"/>
            </w:tcBorders>
            <w:shd w:val="clear" w:color="auto" w:fill="auto"/>
            <w:noWrap/>
            <w:vAlign w:val="bottom"/>
            <w:hideMark/>
          </w:tcPr>
          <w:p w14:paraId="741775B0"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&lt;0.01</w:t>
            </w:r>
          </w:p>
        </w:tc>
        <w:tc>
          <w:tcPr>
            <w:tcW w:w="2256" w:type="dxa"/>
            <w:tcBorders>
              <w:top w:val="nil"/>
              <w:left w:val="nil"/>
              <w:bottom w:val="single" w:sz="4" w:space="0" w:color="auto"/>
              <w:right w:val="single" w:sz="4" w:space="0" w:color="auto"/>
            </w:tcBorders>
            <w:shd w:val="clear" w:color="auto" w:fill="auto"/>
            <w:noWrap/>
            <w:vAlign w:val="bottom"/>
            <w:hideMark/>
          </w:tcPr>
          <w:p w14:paraId="430AD454"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&lt;0.01</w:t>
            </w:r>
          </w:p>
        </w:tc>
      </w:tr>
      <w:tr w:rsidR="00D07984" w:rsidRPr="00D07984" w14:paraId="39EE2255"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066A2AD7"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pH</w:t>
            </w:r>
          </w:p>
        </w:tc>
        <w:tc>
          <w:tcPr>
            <w:tcW w:w="2477" w:type="dxa"/>
            <w:tcBorders>
              <w:top w:val="nil"/>
              <w:left w:val="nil"/>
              <w:bottom w:val="single" w:sz="4" w:space="0" w:color="auto"/>
              <w:right w:val="single" w:sz="4" w:space="0" w:color="auto"/>
            </w:tcBorders>
            <w:shd w:val="clear" w:color="auto" w:fill="auto"/>
            <w:noWrap/>
            <w:vAlign w:val="bottom"/>
            <w:hideMark/>
          </w:tcPr>
          <w:p w14:paraId="31FA2EA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7.1</w:t>
            </w:r>
          </w:p>
        </w:tc>
        <w:tc>
          <w:tcPr>
            <w:tcW w:w="2256" w:type="dxa"/>
            <w:tcBorders>
              <w:top w:val="nil"/>
              <w:left w:val="nil"/>
              <w:bottom w:val="single" w:sz="4" w:space="0" w:color="auto"/>
              <w:right w:val="single" w:sz="4" w:space="0" w:color="auto"/>
            </w:tcBorders>
            <w:shd w:val="clear" w:color="auto" w:fill="auto"/>
            <w:noWrap/>
            <w:vAlign w:val="bottom"/>
            <w:hideMark/>
          </w:tcPr>
          <w:p w14:paraId="65DBBCFD"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5.9</w:t>
            </w:r>
          </w:p>
        </w:tc>
      </w:tr>
      <w:tr w:rsidR="00D07984" w:rsidRPr="00D07984" w14:paraId="77D8EDD4"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7FA7EA58"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Water soluble chloride</w:t>
            </w:r>
          </w:p>
        </w:tc>
        <w:tc>
          <w:tcPr>
            <w:tcW w:w="2477" w:type="dxa"/>
            <w:tcBorders>
              <w:top w:val="nil"/>
              <w:left w:val="nil"/>
              <w:bottom w:val="single" w:sz="4" w:space="0" w:color="auto"/>
              <w:right w:val="single" w:sz="4" w:space="0" w:color="auto"/>
            </w:tcBorders>
            <w:shd w:val="clear" w:color="auto" w:fill="auto"/>
            <w:noWrap/>
            <w:vAlign w:val="bottom"/>
            <w:hideMark/>
          </w:tcPr>
          <w:p w14:paraId="67D63F8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6.01</w:t>
            </w:r>
          </w:p>
        </w:tc>
        <w:tc>
          <w:tcPr>
            <w:tcW w:w="2256" w:type="dxa"/>
            <w:tcBorders>
              <w:top w:val="nil"/>
              <w:left w:val="nil"/>
              <w:bottom w:val="single" w:sz="4" w:space="0" w:color="auto"/>
              <w:right w:val="single" w:sz="4" w:space="0" w:color="auto"/>
            </w:tcBorders>
            <w:shd w:val="clear" w:color="auto" w:fill="auto"/>
            <w:noWrap/>
            <w:vAlign w:val="bottom"/>
            <w:hideMark/>
          </w:tcPr>
          <w:p w14:paraId="214F3CB7"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5.97</w:t>
            </w:r>
          </w:p>
        </w:tc>
      </w:tr>
      <w:tr w:rsidR="00D07984" w:rsidRPr="00D07984" w14:paraId="4477F6D5"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5828C471"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Water soluble fluoride (mg/l)</w:t>
            </w:r>
          </w:p>
        </w:tc>
        <w:tc>
          <w:tcPr>
            <w:tcW w:w="2477" w:type="dxa"/>
            <w:tcBorders>
              <w:top w:val="nil"/>
              <w:left w:val="nil"/>
              <w:bottom w:val="single" w:sz="4" w:space="0" w:color="auto"/>
              <w:right w:val="single" w:sz="4" w:space="0" w:color="auto"/>
            </w:tcBorders>
            <w:shd w:val="clear" w:color="auto" w:fill="auto"/>
            <w:noWrap/>
            <w:vAlign w:val="bottom"/>
            <w:hideMark/>
          </w:tcPr>
          <w:p w14:paraId="2F050894"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0.13</w:t>
            </w:r>
          </w:p>
        </w:tc>
        <w:tc>
          <w:tcPr>
            <w:tcW w:w="2256" w:type="dxa"/>
            <w:tcBorders>
              <w:top w:val="nil"/>
              <w:left w:val="nil"/>
              <w:bottom w:val="single" w:sz="4" w:space="0" w:color="auto"/>
              <w:right w:val="single" w:sz="4" w:space="0" w:color="auto"/>
            </w:tcBorders>
            <w:shd w:val="clear" w:color="auto" w:fill="auto"/>
            <w:noWrap/>
            <w:vAlign w:val="bottom"/>
            <w:hideMark/>
          </w:tcPr>
          <w:p w14:paraId="6F26F45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0.06</w:t>
            </w:r>
          </w:p>
        </w:tc>
      </w:tr>
      <w:tr w:rsidR="00D07984" w:rsidRPr="00D07984" w14:paraId="672E62E2"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49452BC2" w14:textId="4C5BFCBD"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lastRenderedPageBreak/>
              <w:t>Water soluble phosp</w:t>
            </w:r>
            <w:r w:rsidR="000056EB">
              <w:rPr>
                <w:rFonts w:ascii="Palatino Linotype" w:eastAsia="Times New Roman" w:hAnsi="Palatino Linotype" w:cs="Times New Roman"/>
                <w:color w:val="000000"/>
                <w:sz w:val="20"/>
                <w:szCs w:val="20"/>
                <w:lang w:eastAsia="en-GB"/>
              </w:rPr>
              <w:t>h</w:t>
            </w:r>
            <w:r w:rsidRPr="00D07984">
              <w:rPr>
                <w:rFonts w:ascii="Palatino Linotype" w:eastAsia="Times New Roman" w:hAnsi="Palatino Linotype" w:cs="Times New Roman"/>
                <w:color w:val="000000"/>
                <w:sz w:val="20"/>
                <w:szCs w:val="20"/>
                <w:lang w:eastAsia="en-GB"/>
              </w:rPr>
              <w:t>ate (mg/l)</w:t>
            </w:r>
          </w:p>
        </w:tc>
        <w:tc>
          <w:tcPr>
            <w:tcW w:w="2477" w:type="dxa"/>
            <w:tcBorders>
              <w:top w:val="nil"/>
              <w:left w:val="nil"/>
              <w:bottom w:val="single" w:sz="4" w:space="0" w:color="auto"/>
              <w:right w:val="single" w:sz="4" w:space="0" w:color="auto"/>
            </w:tcBorders>
            <w:shd w:val="clear" w:color="auto" w:fill="auto"/>
            <w:noWrap/>
            <w:vAlign w:val="bottom"/>
            <w:hideMark/>
          </w:tcPr>
          <w:p w14:paraId="7DAC9E45"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&lt;0.02</w:t>
            </w:r>
          </w:p>
        </w:tc>
        <w:tc>
          <w:tcPr>
            <w:tcW w:w="2256" w:type="dxa"/>
            <w:tcBorders>
              <w:top w:val="nil"/>
              <w:left w:val="nil"/>
              <w:bottom w:val="single" w:sz="4" w:space="0" w:color="auto"/>
              <w:right w:val="single" w:sz="4" w:space="0" w:color="auto"/>
            </w:tcBorders>
            <w:shd w:val="clear" w:color="auto" w:fill="auto"/>
            <w:noWrap/>
            <w:vAlign w:val="bottom"/>
            <w:hideMark/>
          </w:tcPr>
          <w:p w14:paraId="6240B360"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&lt;0.02</w:t>
            </w:r>
          </w:p>
        </w:tc>
      </w:tr>
      <w:tr w:rsidR="00D07984" w:rsidRPr="00D07984" w14:paraId="3A191179"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79945F59"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Water soluble sulphate</w:t>
            </w:r>
          </w:p>
        </w:tc>
        <w:tc>
          <w:tcPr>
            <w:tcW w:w="2477" w:type="dxa"/>
            <w:tcBorders>
              <w:top w:val="nil"/>
              <w:left w:val="nil"/>
              <w:bottom w:val="single" w:sz="4" w:space="0" w:color="auto"/>
              <w:right w:val="single" w:sz="4" w:space="0" w:color="auto"/>
            </w:tcBorders>
            <w:shd w:val="clear" w:color="auto" w:fill="auto"/>
            <w:noWrap/>
            <w:vAlign w:val="bottom"/>
            <w:hideMark/>
          </w:tcPr>
          <w:p w14:paraId="4C1AE51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6.34</w:t>
            </w:r>
          </w:p>
        </w:tc>
        <w:tc>
          <w:tcPr>
            <w:tcW w:w="2256" w:type="dxa"/>
            <w:tcBorders>
              <w:top w:val="nil"/>
              <w:left w:val="nil"/>
              <w:bottom w:val="single" w:sz="4" w:space="0" w:color="auto"/>
              <w:right w:val="single" w:sz="4" w:space="0" w:color="auto"/>
            </w:tcBorders>
            <w:shd w:val="clear" w:color="auto" w:fill="auto"/>
            <w:noWrap/>
            <w:vAlign w:val="bottom"/>
            <w:hideMark/>
          </w:tcPr>
          <w:p w14:paraId="3ED2DA9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3.2</w:t>
            </w:r>
          </w:p>
        </w:tc>
      </w:tr>
      <w:tr w:rsidR="00D07984" w:rsidRPr="00D07984" w14:paraId="6E46310E" w14:textId="77777777" w:rsidTr="00713AE7">
        <w:trPr>
          <w:trHeight w:val="290"/>
        </w:trPr>
        <w:tc>
          <w:tcPr>
            <w:tcW w:w="4288" w:type="dxa"/>
            <w:tcBorders>
              <w:top w:val="nil"/>
              <w:left w:val="single" w:sz="4" w:space="0" w:color="auto"/>
              <w:bottom w:val="single" w:sz="4" w:space="0" w:color="auto"/>
              <w:right w:val="single" w:sz="4" w:space="0" w:color="auto"/>
            </w:tcBorders>
            <w:shd w:val="clear" w:color="auto" w:fill="auto"/>
            <w:noWrap/>
            <w:vAlign w:val="bottom"/>
            <w:hideMark/>
          </w:tcPr>
          <w:p w14:paraId="6EC02C64"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Water soluble nitrate</w:t>
            </w:r>
          </w:p>
        </w:tc>
        <w:tc>
          <w:tcPr>
            <w:tcW w:w="2477" w:type="dxa"/>
            <w:tcBorders>
              <w:top w:val="nil"/>
              <w:left w:val="nil"/>
              <w:bottom w:val="single" w:sz="4" w:space="0" w:color="auto"/>
              <w:right w:val="single" w:sz="4" w:space="0" w:color="auto"/>
            </w:tcBorders>
            <w:shd w:val="clear" w:color="auto" w:fill="auto"/>
            <w:noWrap/>
            <w:vAlign w:val="bottom"/>
            <w:hideMark/>
          </w:tcPr>
          <w:p w14:paraId="5D73E59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1.75</w:t>
            </w:r>
          </w:p>
        </w:tc>
        <w:tc>
          <w:tcPr>
            <w:tcW w:w="2256" w:type="dxa"/>
            <w:tcBorders>
              <w:top w:val="nil"/>
              <w:left w:val="nil"/>
              <w:bottom w:val="single" w:sz="4" w:space="0" w:color="auto"/>
              <w:right w:val="single" w:sz="4" w:space="0" w:color="auto"/>
            </w:tcBorders>
            <w:shd w:val="clear" w:color="auto" w:fill="auto"/>
            <w:noWrap/>
            <w:vAlign w:val="bottom"/>
            <w:hideMark/>
          </w:tcPr>
          <w:p w14:paraId="423B0BF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1.79</w:t>
            </w:r>
          </w:p>
        </w:tc>
      </w:tr>
      <w:tr w:rsidR="00D07984" w:rsidRPr="00D07984" w14:paraId="23A4B5DB" w14:textId="77777777" w:rsidTr="00713AE7">
        <w:trPr>
          <w:trHeight w:val="290"/>
        </w:trPr>
        <w:tc>
          <w:tcPr>
            <w:tcW w:w="9021" w:type="dxa"/>
            <w:gridSpan w:val="3"/>
            <w:tcBorders>
              <w:top w:val="single" w:sz="4" w:space="0" w:color="auto"/>
              <w:left w:val="single" w:sz="4" w:space="0" w:color="auto"/>
              <w:bottom w:val="single" w:sz="4" w:space="0" w:color="auto"/>
              <w:right w:val="single" w:sz="4" w:space="0" w:color="000000"/>
            </w:tcBorders>
            <w:shd w:val="clear" w:color="000000" w:fill="D9D9D9"/>
            <w:noWrap/>
            <w:vAlign w:val="bottom"/>
            <w:hideMark/>
          </w:tcPr>
          <w:p w14:paraId="15D4E6BE"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Physical Properties</w:t>
            </w:r>
          </w:p>
        </w:tc>
      </w:tr>
      <w:tr w:rsidR="00D07984" w:rsidRPr="00D07984" w14:paraId="75E5F3C8"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00E15A32"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Optimum moisture content (</w:t>
            </w:r>
            <w:proofErr w:type="gramStart"/>
            <w:r w:rsidRPr="00D07984">
              <w:rPr>
                <w:rFonts w:ascii="Palatino Linotype" w:eastAsia="Times New Roman" w:hAnsi="Palatino Linotype" w:cs="Times New Roman"/>
                <w:color w:val="000000"/>
                <w:sz w:val="20"/>
                <w:szCs w:val="20"/>
                <w:lang w:eastAsia="en-GB"/>
              </w:rPr>
              <w:t>%)*</w:t>
            </w:r>
            <w:proofErr w:type="gramEnd"/>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604DD627"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17</w:t>
            </w:r>
          </w:p>
        </w:tc>
        <w:tc>
          <w:tcPr>
            <w:tcW w:w="2256" w:type="dxa"/>
            <w:tcBorders>
              <w:top w:val="nil"/>
              <w:left w:val="nil"/>
              <w:bottom w:val="single" w:sz="4" w:space="0" w:color="auto"/>
              <w:right w:val="single" w:sz="4" w:space="0" w:color="auto"/>
            </w:tcBorders>
            <w:shd w:val="clear" w:color="auto" w:fill="auto"/>
            <w:noWrap/>
            <w:vAlign w:val="bottom"/>
            <w:hideMark/>
          </w:tcPr>
          <w:p w14:paraId="251D7388"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17</w:t>
            </w:r>
          </w:p>
        </w:tc>
      </w:tr>
      <w:tr w:rsidR="00D07984" w:rsidRPr="00D07984" w14:paraId="2A6788CF"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11C63586"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Dry density (mg/m3)</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7BFFFE8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1.52</w:t>
            </w:r>
          </w:p>
        </w:tc>
        <w:tc>
          <w:tcPr>
            <w:tcW w:w="2256" w:type="dxa"/>
            <w:tcBorders>
              <w:top w:val="nil"/>
              <w:left w:val="nil"/>
              <w:bottom w:val="single" w:sz="4" w:space="0" w:color="auto"/>
              <w:right w:val="single" w:sz="4" w:space="0" w:color="auto"/>
            </w:tcBorders>
            <w:shd w:val="clear" w:color="auto" w:fill="auto"/>
            <w:noWrap/>
            <w:vAlign w:val="bottom"/>
            <w:hideMark/>
          </w:tcPr>
          <w:p w14:paraId="26D3E79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ND</w:t>
            </w:r>
          </w:p>
        </w:tc>
      </w:tr>
      <w:tr w:rsidR="00D07984" w:rsidRPr="00D07984" w14:paraId="2B89D738"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60F82C96"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Plastic limit (%)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2BD369F5"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12</w:t>
            </w:r>
          </w:p>
        </w:tc>
        <w:tc>
          <w:tcPr>
            <w:tcW w:w="2256" w:type="dxa"/>
            <w:tcBorders>
              <w:top w:val="nil"/>
              <w:left w:val="nil"/>
              <w:bottom w:val="single" w:sz="4" w:space="0" w:color="auto"/>
              <w:right w:val="single" w:sz="4" w:space="0" w:color="auto"/>
            </w:tcBorders>
            <w:shd w:val="clear" w:color="auto" w:fill="auto"/>
            <w:noWrap/>
            <w:vAlign w:val="bottom"/>
            <w:hideMark/>
          </w:tcPr>
          <w:p w14:paraId="6894B25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13</w:t>
            </w:r>
          </w:p>
        </w:tc>
      </w:tr>
      <w:tr w:rsidR="00D07984" w:rsidRPr="00D07984" w14:paraId="0A9CA560"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62125A9B"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Liquid limit (%)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752ACF49"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30</w:t>
            </w:r>
          </w:p>
        </w:tc>
        <w:tc>
          <w:tcPr>
            <w:tcW w:w="2256" w:type="dxa"/>
            <w:tcBorders>
              <w:top w:val="nil"/>
              <w:left w:val="nil"/>
              <w:bottom w:val="single" w:sz="4" w:space="0" w:color="auto"/>
              <w:right w:val="single" w:sz="4" w:space="0" w:color="auto"/>
            </w:tcBorders>
            <w:shd w:val="clear" w:color="auto" w:fill="auto"/>
            <w:noWrap/>
            <w:vAlign w:val="bottom"/>
            <w:hideMark/>
          </w:tcPr>
          <w:p w14:paraId="065F21B4"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30</w:t>
            </w:r>
          </w:p>
        </w:tc>
      </w:tr>
      <w:tr w:rsidR="00D07984" w:rsidRPr="00D07984" w14:paraId="3FA0D4CD"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36810315"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 passing 425 microns</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0E6000BE"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84</w:t>
            </w:r>
          </w:p>
        </w:tc>
        <w:tc>
          <w:tcPr>
            <w:tcW w:w="2256" w:type="dxa"/>
            <w:tcBorders>
              <w:top w:val="nil"/>
              <w:left w:val="nil"/>
              <w:bottom w:val="single" w:sz="4" w:space="0" w:color="auto"/>
              <w:right w:val="single" w:sz="4" w:space="0" w:color="auto"/>
            </w:tcBorders>
            <w:shd w:val="clear" w:color="auto" w:fill="auto"/>
            <w:noWrap/>
            <w:vAlign w:val="bottom"/>
            <w:hideMark/>
          </w:tcPr>
          <w:p w14:paraId="140930C6"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74</w:t>
            </w:r>
          </w:p>
        </w:tc>
      </w:tr>
      <w:tr w:rsidR="00D07984" w:rsidRPr="00D07984" w14:paraId="044D0D2D"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18109125"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Porosity calculated TW (% voids)</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4E9CF5A8"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43</w:t>
            </w:r>
          </w:p>
        </w:tc>
        <w:tc>
          <w:tcPr>
            <w:tcW w:w="2256" w:type="dxa"/>
            <w:tcBorders>
              <w:top w:val="nil"/>
              <w:left w:val="nil"/>
              <w:bottom w:val="single" w:sz="4" w:space="0" w:color="auto"/>
              <w:right w:val="single" w:sz="4" w:space="0" w:color="auto"/>
            </w:tcBorders>
            <w:shd w:val="clear" w:color="auto" w:fill="auto"/>
            <w:noWrap/>
            <w:vAlign w:val="bottom"/>
            <w:hideMark/>
          </w:tcPr>
          <w:p w14:paraId="7689173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ND</w:t>
            </w:r>
          </w:p>
        </w:tc>
      </w:tr>
      <w:tr w:rsidR="00D07984" w:rsidRPr="00D07984" w14:paraId="49ECB465" w14:textId="77777777" w:rsidTr="00713AE7">
        <w:trPr>
          <w:trHeight w:val="290"/>
        </w:trPr>
        <w:tc>
          <w:tcPr>
            <w:tcW w:w="9021" w:type="dxa"/>
            <w:gridSpan w:val="3"/>
            <w:tcBorders>
              <w:top w:val="single" w:sz="4" w:space="0" w:color="auto"/>
              <w:left w:val="single" w:sz="4" w:space="0" w:color="auto"/>
              <w:bottom w:val="single" w:sz="4" w:space="0" w:color="auto"/>
              <w:right w:val="single" w:sz="4" w:space="0" w:color="000000"/>
            </w:tcBorders>
            <w:shd w:val="clear" w:color="000000" w:fill="D9D9D9"/>
            <w:noWrap/>
            <w:vAlign w:val="bottom"/>
            <w:hideMark/>
          </w:tcPr>
          <w:p w14:paraId="1AFF29A1" w14:textId="77777777" w:rsidR="00D07984" w:rsidRPr="00D07984" w:rsidRDefault="00D07984" w:rsidP="00713AE7">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Composition</w:t>
            </w:r>
          </w:p>
        </w:tc>
      </w:tr>
      <w:tr w:rsidR="00D07984" w:rsidRPr="00D07984" w14:paraId="670F5FD7"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18D1554B"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Cobbles (60-200mm)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31C1E67A"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w:t>
            </w:r>
          </w:p>
        </w:tc>
        <w:tc>
          <w:tcPr>
            <w:tcW w:w="2256" w:type="dxa"/>
            <w:tcBorders>
              <w:top w:val="nil"/>
              <w:left w:val="nil"/>
              <w:bottom w:val="single" w:sz="4" w:space="0" w:color="auto"/>
              <w:right w:val="single" w:sz="4" w:space="0" w:color="auto"/>
            </w:tcBorders>
            <w:shd w:val="clear" w:color="auto" w:fill="auto"/>
            <w:noWrap/>
            <w:vAlign w:val="bottom"/>
            <w:hideMark/>
          </w:tcPr>
          <w:p w14:paraId="76B3B40D"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0</w:t>
            </w:r>
          </w:p>
        </w:tc>
      </w:tr>
      <w:tr w:rsidR="00D07984" w:rsidRPr="00D07984" w14:paraId="17505E81"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53DCA487"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Gravel (2-60mm)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52A0BEAF"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24</w:t>
            </w:r>
          </w:p>
        </w:tc>
        <w:tc>
          <w:tcPr>
            <w:tcW w:w="2256" w:type="dxa"/>
            <w:tcBorders>
              <w:top w:val="nil"/>
              <w:left w:val="nil"/>
              <w:bottom w:val="single" w:sz="4" w:space="0" w:color="auto"/>
              <w:right w:val="single" w:sz="4" w:space="0" w:color="auto"/>
            </w:tcBorders>
            <w:shd w:val="clear" w:color="auto" w:fill="auto"/>
            <w:noWrap/>
            <w:vAlign w:val="bottom"/>
            <w:hideMark/>
          </w:tcPr>
          <w:p w14:paraId="7BC03223"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28</w:t>
            </w:r>
          </w:p>
        </w:tc>
      </w:tr>
      <w:tr w:rsidR="00D07984" w:rsidRPr="00D07984" w14:paraId="04BB9EE1"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01464306"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Sand (63microns-2mm)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7F85ED94"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28</w:t>
            </w:r>
          </w:p>
        </w:tc>
        <w:tc>
          <w:tcPr>
            <w:tcW w:w="2256" w:type="dxa"/>
            <w:tcBorders>
              <w:top w:val="nil"/>
              <w:left w:val="nil"/>
              <w:bottom w:val="single" w:sz="4" w:space="0" w:color="auto"/>
              <w:right w:val="single" w:sz="4" w:space="0" w:color="auto"/>
            </w:tcBorders>
            <w:shd w:val="clear" w:color="auto" w:fill="auto"/>
            <w:noWrap/>
            <w:vAlign w:val="bottom"/>
            <w:hideMark/>
          </w:tcPr>
          <w:p w14:paraId="4FF85402"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35</w:t>
            </w:r>
          </w:p>
        </w:tc>
      </w:tr>
      <w:tr w:rsidR="00D07984" w:rsidRPr="00D07984" w14:paraId="27C7A884"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2CCAE286"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Silt (2-63microns)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7E60FEC6"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25</w:t>
            </w:r>
          </w:p>
        </w:tc>
        <w:tc>
          <w:tcPr>
            <w:tcW w:w="2256" w:type="dxa"/>
            <w:tcBorders>
              <w:top w:val="nil"/>
              <w:left w:val="nil"/>
              <w:bottom w:val="single" w:sz="4" w:space="0" w:color="auto"/>
              <w:right w:val="single" w:sz="4" w:space="0" w:color="auto"/>
            </w:tcBorders>
            <w:shd w:val="clear" w:color="auto" w:fill="auto"/>
            <w:noWrap/>
            <w:vAlign w:val="bottom"/>
            <w:hideMark/>
          </w:tcPr>
          <w:p w14:paraId="6A1AF8CC"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19</w:t>
            </w:r>
          </w:p>
        </w:tc>
      </w:tr>
      <w:tr w:rsidR="00D07984" w:rsidRPr="00D07984" w14:paraId="42C85928" w14:textId="77777777" w:rsidTr="00713AE7">
        <w:trPr>
          <w:trHeight w:val="290"/>
        </w:trPr>
        <w:tc>
          <w:tcPr>
            <w:tcW w:w="4288" w:type="dxa"/>
            <w:tcBorders>
              <w:top w:val="nil"/>
              <w:left w:val="single" w:sz="4" w:space="0" w:color="auto"/>
              <w:bottom w:val="single" w:sz="4" w:space="0" w:color="auto"/>
              <w:right w:val="nil"/>
            </w:tcBorders>
            <w:shd w:val="clear" w:color="auto" w:fill="auto"/>
            <w:noWrap/>
            <w:vAlign w:val="bottom"/>
            <w:hideMark/>
          </w:tcPr>
          <w:p w14:paraId="319893D7" w14:textId="77777777" w:rsidR="00D07984" w:rsidRPr="00D07984" w:rsidRDefault="00D07984" w:rsidP="00713AE7">
            <w:pPr>
              <w:spacing w:after="0" w:line="240" w:lineRule="auto"/>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Clay (&lt;2microns) (%)</w:t>
            </w:r>
          </w:p>
        </w:tc>
        <w:tc>
          <w:tcPr>
            <w:tcW w:w="2477" w:type="dxa"/>
            <w:tcBorders>
              <w:top w:val="nil"/>
              <w:left w:val="single" w:sz="4" w:space="0" w:color="auto"/>
              <w:bottom w:val="single" w:sz="4" w:space="0" w:color="auto"/>
              <w:right w:val="single" w:sz="4" w:space="0" w:color="auto"/>
            </w:tcBorders>
            <w:shd w:val="clear" w:color="auto" w:fill="auto"/>
            <w:noWrap/>
            <w:vAlign w:val="bottom"/>
            <w:hideMark/>
          </w:tcPr>
          <w:p w14:paraId="456C684F"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23</w:t>
            </w:r>
          </w:p>
        </w:tc>
        <w:tc>
          <w:tcPr>
            <w:tcW w:w="2256" w:type="dxa"/>
            <w:tcBorders>
              <w:top w:val="nil"/>
              <w:left w:val="nil"/>
              <w:bottom w:val="single" w:sz="4" w:space="0" w:color="auto"/>
              <w:right w:val="single" w:sz="4" w:space="0" w:color="auto"/>
            </w:tcBorders>
            <w:shd w:val="clear" w:color="auto" w:fill="auto"/>
            <w:noWrap/>
            <w:vAlign w:val="bottom"/>
            <w:hideMark/>
          </w:tcPr>
          <w:p w14:paraId="6AEA8A4B" w14:textId="77777777" w:rsidR="00D07984" w:rsidRPr="00D07984" w:rsidRDefault="00D07984" w:rsidP="00713AE7">
            <w:pPr>
              <w:spacing w:after="0" w:line="240" w:lineRule="auto"/>
              <w:jc w:val="center"/>
              <w:rPr>
                <w:rFonts w:ascii="Palatino Linotype" w:eastAsia="Times New Roman" w:hAnsi="Palatino Linotype" w:cs="Times New Roman"/>
                <w:color w:val="000000"/>
                <w:sz w:val="20"/>
                <w:szCs w:val="20"/>
                <w:lang w:eastAsia="en-GB"/>
              </w:rPr>
            </w:pPr>
            <w:r w:rsidRPr="00D07984">
              <w:rPr>
                <w:rFonts w:ascii="Palatino Linotype" w:eastAsia="Times New Roman" w:hAnsi="Palatino Linotype" w:cs="Times New Roman"/>
                <w:color w:val="000000"/>
                <w:sz w:val="20"/>
                <w:szCs w:val="20"/>
                <w:lang w:eastAsia="en-GB"/>
              </w:rPr>
              <w:t>18</w:t>
            </w:r>
          </w:p>
        </w:tc>
      </w:tr>
      <w:tr w:rsidR="00D07984" w:rsidRPr="00D07984" w14:paraId="0AB725DF" w14:textId="77777777" w:rsidTr="00713AE7">
        <w:trPr>
          <w:trHeight w:val="290"/>
        </w:trPr>
        <w:tc>
          <w:tcPr>
            <w:tcW w:w="4288" w:type="dxa"/>
            <w:tcBorders>
              <w:top w:val="nil"/>
              <w:left w:val="nil"/>
              <w:bottom w:val="nil"/>
              <w:right w:val="nil"/>
            </w:tcBorders>
            <w:shd w:val="clear" w:color="auto" w:fill="auto"/>
            <w:noWrap/>
            <w:vAlign w:val="bottom"/>
            <w:hideMark/>
          </w:tcPr>
          <w:p w14:paraId="1B111B64" w14:textId="77777777" w:rsidR="00D07984" w:rsidRPr="00D07984" w:rsidRDefault="00D07984" w:rsidP="00D07984">
            <w:pPr>
              <w:spacing w:after="0" w:line="240" w:lineRule="auto"/>
              <w:rPr>
                <w:rFonts w:ascii="Palatino Linotype" w:eastAsia="Times New Roman" w:hAnsi="Palatino Linotype" w:cs="Times New Roman"/>
                <w:color w:val="000000"/>
                <w:sz w:val="20"/>
                <w:szCs w:val="20"/>
                <w:lang w:eastAsia="en-GB"/>
              </w:rPr>
            </w:pPr>
          </w:p>
        </w:tc>
        <w:tc>
          <w:tcPr>
            <w:tcW w:w="2477" w:type="dxa"/>
            <w:tcBorders>
              <w:top w:val="nil"/>
              <w:left w:val="nil"/>
              <w:bottom w:val="nil"/>
              <w:right w:val="nil"/>
            </w:tcBorders>
            <w:shd w:val="clear" w:color="auto" w:fill="auto"/>
            <w:noWrap/>
            <w:vAlign w:val="bottom"/>
            <w:hideMark/>
          </w:tcPr>
          <w:p w14:paraId="7A548638" w14:textId="77777777" w:rsidR="00D07984" w:rsidRPr="00D07984" w:rsidRDefault="00D07984" w:rsidP="00713AE7">
            <w:pPr>
              <w:spacing w:after="0" w:line="240" w:lineRule="auto"/>
              <w:rPr>
                <w:rFonts w:ascii="Palatino Linotype" w:eastAsia="Times New Roman" w:hAnsi="Palatino Linotype" w:cs="Times New Roman"/>
                <w:sz w:val="20"/>
                <w:szCs w:val="20"/>
                <w:lang w:eastAsia="en-GB"/>
              </w:rPr>
            </w:pPr>
          </w:p>
        </w:tc>
        <w:tc>
          <w:tcPr>
            <w:tcW w:w="2256" w:type="dxa"/>
            <w:tcBorders>
              <w:top w:val="nil"/>
              <w:left w:val="nil"/>
              <w:bottom w:val="nil"/>
              <w:right w:val="nil"/>
            </w:tcBorders>
            <w:shd w:val="clear" w:color="auto" w:fill="auto"/>
            <w:noWrap/>
            <w:vAlign w:val="bottom"/>
            <w:hideMark/>
          </w:tcPr>
          <w:p w14:paraId="17AE09B5" w14:textId="77777777" w:rsidR="00D07984" w:rsidRPr="00D07984" w:rsidRDefault="00D07984" w:rsidP="00713AE7">
            <w:pPr>
              <w:spacing w:after="0" w:line="240" w:lineRule="auto"/>
              <w:rPr>
                <w:rFonts w:ascii="Palatino Linotype" w:eastAsia="Times New Roman" w:hAnsi="Palatino Linotype" w:cs="Times New Roman"/>
                <w:sz w:val="20"/>
                <w:szCs w:val="20"/>
                <w:lang w:eastAsia="en-GB"/>
              </w:rPr>
            </w:pPr>
          </w:p>
        </w:tc>
      </w:tr>
      <w:tr w:rsidR="00D07984" w:rsidRPr="00D07984" w14:paraId="0D8E6A4D" w14:textId="77777777" w:rsidTr="00713AE7">
        <w:trPr>
          <w:trHeight w:val="290"/>
        </w:trPr>
        <w:tc>
          <w:tcPr>
            <w:tcW w:w="9021" w:type="dxa"/>
            <w:gridSpan w:val="3"/>
            <w:tcBorders>
              <w:top w:val="nil"/>
              <w:left w:val="nil"/>
              <w:bottom w:val="nil"/>
              <w:right w:val="nil"/>
            </w:tcBorders>
            <w:shd w:val="clear" w:color="auto" w:fill="auto"/>
            <w:noWrap/>
            <w:vAlign w:val="bottom"/>
            <w:hideMark/>
          </w:tcPr>
          <w:p w14:paraId="2F348992" w14:textId="77777777" w:rsidR="00D07984" w:rsidRPr="00D07984" w:rsidRDefault="00D07984" w:rsidP="00713AE7">
            <w:pPr>
              <w:spacing w:after="0" w:line="240" w:lineRule="auto"/>
              <w:rPr>
                <w:rFonts w:ascii="Palatino Linotype" w:eastAsia="Times New Roman" w:hAnsi="Palatino Linotype" w:cs="Times New Roman"/>
                <w:color w:val="222222"/>
                <w:sz w:val="18"/>
                <w:szCs w:val="18"/>
                <w:lang w:eastAsia="en-GB"/>
              </w:rPr>
            </w:pPr>
            <w:r w:rsidRPr="00D07984">
              <w:rPr>
                <w:rFonts w:ascii="Palatino Linotype" w:eastAsia="Times New Roman" w:hAnsi="Palatino Linotype" w:cs="Times New Roman"/>
                <w:color w:val="222222"/>
                <w:sz w:val="18"/>
                <w:szCs w:val="18"/>
                <w:lang w:eastAsia="en-GB"/>
              </w:rPr>
              <w:t> * The water content at which a maximum dry unit weight can be achieved after a given compaction effort.</w:t>
            </w:r>
          </w:p>
        </w:tc>
      </w:tr>
      <w:tr w:rsidR="00D07984" w:rsidRPr="00D07984" w14:paraId="6DC7F105" w14:textId="77777777" w:rsidTr="00713AE7">
        <w:trPr>
          <w:trHeight w:val="290"/>
        </w:trPr>
        <w:tc>
          <w:tcPr>
            <w:tcW w:w="9021" w:type="dxa"/>
            <w:gridSpan w:val="3"/>
            <w:tcBorders>
              <w:top w:val="nil"/>
              <w:left w:val="nil"/>
              <w:bottom w:val="nil"/>
              <w:right w:val="nil"/>
            </w:tcBorders>
            <w:shd w:val="clear" w:color="auto" w:fill="auto"/>
            <w:noWrap/>
            <w:vAlign w:val="bottom"/>
            <w:hideMark/>
          </w:tcPr>
          <w:p w14:paraId="2B90D1A8" w14:textId="77777777" w:rsidR="00D07984" w:rsidRPr="00D07984" w:rsidRDefault="00D07984" w:rsidP="00713AE7">
            <w:pPr>
              <w:spacing w:after="0" w:line="240" w:lineRule="auto"/>
              <w:rPr>
                <w:rFonts w:ascii="Palatino Linotype" w:eastAsia="Times New Roman" w:hAnsi="Palatino Linotype" w:cs="Times New Roman"/>
                <w:color w:val="222222"/>
                <w:sz w:val="18"/>
                <w:szCs w:val="18"/>
                <w:lang w:eastAsia="en-GB"/>
              </w:rPr>
            </w:pPr>
            <w:r w:rsidRPr="00D07984">
              <w:rPr>
                <w:rFonts w:ascii="Palatino Linotype" w:eastAsia="Times New Roman" w:hAnsi="Palatino Linotype" w:cs="Times New Roman"/>
                <w:color w:val="222222"/>
                <w:sz w:val="18"/>
                <w:szCs w:val="18"/>
                <w:lang w:eastAsia="en-GB"/>
              </w:rPr>
              <w:t>^ Determined by rolling out a thread of the fine portion of a soil on a flat, non-porous surface.</w:t>
            </w:r>
          </w:p>
        </w:tc>
      </w:tr>
      <w:tr w:rsidR="00D07984" w:rsidRPr="00D07984" w14:paraId="16CBF21F" w14:textId="77777777" w:rsidTr="00713AE7">
        <w:trPr>
          <w:trHeight w:val="290"/>
        </w:trPr>
        <w:tc>
          <w:tcPr>
            <w:tcW w:w="9021" w:type="dxa"/>
            <w:gridSpan w:val="3"/>
            <w:tcBorders>
              <w:top w:val="nil"/>
              <w:left w:val="nil"/>
              <w:bottom w:val="nil"/>
              <w:right w:val="nil"/>
            </w:tcBorders>
            <w:shd w:val="clear" w:color="auto" w:fill="auto"/>
            <w:noWrap/>
            <w:vAlign w:val="bottom"/>
            <w:hideMark/>
          </w:tcPr>
          <w:p w14:paraId="2A764899" w14:textId="77777777" w:rsidR="00D07984" w:rsidRPr="00D07984" w:rsidRDefault="00D07984" w:rsidP="00713AE7">
            <w:pPr>
              <w:spacing w:after="0" w:line="240" w:lineRule="auto"/>
              <w:rPr>
                <w:rFonts w:ascii="Palatino Linotype" w:eastAsia="Times New Roman" w:hAnsi="Palatino Linotype" w:cs="Times New Roman"/>
                <w:color w:val="222222"/>
                <w:sz w:val="18"/>
                <w:szCs w:val="18"/>
                <w:lang w:eastAsia="en-GB"/>
              </w:rPr>
            </w:pPr>
            <w:r w:rsidRPr="00D07984">
              <w:rPr>
                <w:rFonts w:ascii="Palatino Linotype" w:eastAsia="Times New Roman" w:hAnsi="Palatino Linotype" w:cs="Times New Roman"/>
                <w:color w:val="222222"/>
                <w:sz w:val="18"/>
                <w:szCs w:val="18"/>
                <w:lang w:eastAsia="en-GB"/>
              </w:rPr>
              <w:t xml:space="preserve"> $ The water content at which the </w:t>
            </w:r>
            <w:proofErr w:type="spellStart"/>
            <w:r w:rsidRPr="00D07984">
              <w:rPr>
                <w:rFonts w:ascii="Palatino Linotype" w:eastAsia="Times New Roman" w:hAnsi="Palatino Linotype" w:cs="Times New Roman"/>
                <w:color w:val="222222"/>
                <w:sz w:val="18"/>
                <w:szCs w:val="18"/>
                <w:lang w:eastAsia="en-GB"/>
              </w:rPr>
              <w:t>behavior</w:t>
            </w:r>
            <w:proofErr w:type="spellEnd"/>
            <w:r w:rsidRPr="00D07984">
              <w:rPr>
                <w:rFonts w:ascii="Palatino Linotype" w:eastAsia="Times New Roman" w:hAnsi="Palatino Linotype" w:cs="Times New Roman"/>
                <w:color w:val="222222"/>
                <w:sz w:val="18"/>
                <w:szCs w:val="18"/>
                <w:lang w:eastAsia="en-GB"/>
              </w:rPr>
              <w:t xml:space="preserve"> of a clayey soil changes from the </w:t>
            </w:r>
            <w:r w:rsidRPr="00D07984">
              <w:rPr>
                <w:rFonts w:ascii="Palatino Linotype" w:eastAsia="Times New Roman" w:hAnsi="Palatino Linotype" w:cs="Times New Roman"/>
                <w:color w:val="0B0080"/>
                <w:sz w:val="18"/>
                <w:szCs w:val="18"/>
                <w:lang w:eastAsia="en-GB"/>
              </w:rPr>
              <w:t>plastic</w:t>
            </w:r>
            <w:r w:rsidRPr="00D07984">
              <w:rPr>
                <w:rFonts w:ascii="Palatino Linotype" w:eastAsia="Times New Roman" w:hAnsi="Palatino Linotype" w:cs="Times New Roman"/>
                <w:color w:val="222222"/>
                <w:sz w:val="18"/>
                <w:szCs w:val="18"/>
                <w:lang w:eastAsia="en-GB"/>
              </w:rPr>
              <w:t> state to the </w:t>
            </w:r>
            <w:r w:rsidRPr="00D07984">
              <w:rPr>
                <w:rFonts w:ascii="Palatino Linotype" w:eastAsia="Times New Roman" w:hAnsi="Palatino Linotype" w:cs="Times New Roman"/>
                <w:color w:val="0B0080"/>
                <w:sz w:val="18"/>
                <w:szCs w:val="18"/>
                <w:lang w:eastAsia="en-GB"/>
              </w:rPr>
              <w:t>liquid</w:t>
            </w:r>
            <w:r w:rsidRPr="00D07984">
              <w:rPr>
                <w:rFonts w:ascii="Palatino Linotype" w:eastAsia="Times New Roman" w:hAnsi="Palatino Linotype" w:cs="Times New Roman"/>
                <w:color w:val="222222"/>
                <w:sz w:val="18"/>
                <w:szCs w:val="18"/>
                <w:lang w:eastAsia="en-GB"/>
              </w:rPr>
              <w:t> state. </w:t>
            </w:r>
          </w:p>
        </w:tc>
      </w:tr>
    </w:tbl>
    <w:p w14:paraId="29144F41" w14:textId="027E2472" w:rsidR="00D07984" w:rsidRDefault="00D07984" w:rsidP="00D07984"/>
    <w:p w14:paraId="5671945D" w14:textId="50CB821E" w:rsidR="000056EB" w:rsidRDefault="000056EB" w:rsidP="00D07984">
      <w:pPr>
        <w:rPr>
          <w:rFonts w:ascii="Palatino Linotype" w:hAnsi="Palatino Linotype"/>
          <w:bCs/>
          <w:sz w:val="20"/>
          <w:szCs w:val="20"/>
        </w:rPr>
      </w:pPr>
      <w:r w:rsidRPr="000056EB">
        <w:rPr>
          <w:rFonts w:ascii="Palatino Linotype" w:hAnsi="Palatino Linotype"/>
          <w:b/>
          <w:sz w:val="20"/>
          <w:szCs w:val="20"/>
        </w:rPr>
        <w:t>Table S1.</w:t>
      </w:r>
      <w:r w:rsidRPr="000056EB">
        <w:rPr>
          <w:rFonts w:ascii="Palatino Linotype" w:hAnsi="Palatino Linotype"/>
          <w:bCs/>
          <w:sz w:val="20"/>
          <w:szCs w:val="20"/>
        </w:rPr>
        <w:t xml:space="preserve"> </w:t>
      </w:r>
      <w:r w:rsidRPr="000056EB">
        <w:rPr>
          <w:rFonts w:ascii="Palatino Linotype" w:hAnsi="Palatino Linotype"/>
          <w:bCs/>
          <w:sz w:val="20"/>
          <w:szCs w:val="20"/>
        </w:rPr>
        <w:t xml:space="preserve">Intrinsic activity of clothianidin, measured </w:t>
      </w:r>
      <w:r w:rsidR="00CC259F">
        <w:rPr>
          <w:rFonts w:ascii="Palatino Linotype" w:hAnsi="Palatino Linotype"/>
          <w:bCs/>
          <w:sz w:val="20"/>
          <w:szCs w:val="20"/>
        </w:rPr>
        <w:t>as mortality after</w:t>
      </w:r>
      <w:r w:rsidRPr="000056EB">
        <w:rPr>
          <w:rFonts w:ascii="Palatino Linotype" w:hAnsi="Palatino Linotype"/>
          <w:bCs/>
          <w:sz w:val="20"/>
          <w:szCs w:val="20"/>
        </w:rPr>
        <w:t xml:space="preserve"> topical application</w:t>
      </w:r>
      <w:r w:rsidR="00CC259F">
        <w:rPr>
          <w:rFonts w:ascii="Palatino Linotype" w:hAnsi="Palatino Linotype"/>
          <w:bCs/>
          <w:sz w:val="20"/>
          <w:szCs w:val="20"/>
        </w:rPr>
        <w:t xml:space="preserve"> in solution with acetone</w:t>
      </w:r>
      <w:r w:rsidRPr="000056EB">
        <w:rPr>
          <w:rFonts w:ascii="Palatino Linotype" w:hAnsi="Palatino Linotype"/>
          <w:bCs/>
          <w:sz w:val="20"/>
          <w:szCs w:val="20"/>
        </w:rPr>
        <w:t>, in susceptible</w:t>
      </w:r>
      <w:r w:rsidR="00CC259F">
        <w:rPr>
          <w:rFonts w:ascii="Palatino Linotype" w:hAnsi="Palatino Linotype"/>
          <w:bCs/>
          <w:sz w:val="20"/>
          <w:szCs w:val="20"/>
        </w:rPr>
        <w:t xml:space="preserve"> strains of </w:t>
      </w:r>
      <w:r w:rsidR="00CC259F" w:rsidRPr="00CC259F">
        <w:rPr>
          <w:rFonts w:ascii="Palatino Linotype" w:hAnsi="Palatino Linotype"/>
          <w:bCs/>
          <w:i/>
          <w:sz w:val="20"/>
          <w:szCs w:val="20"/>
        </w:rPr>
        <w:t>Anopheles gambiae</w:t>
      </w:r>
      <w:r w:rsidR="00CC259F">
        <w:rPr>
          <w:rFonts w:ascii="Palatino Linotype" w:hAnsi="Palatino Linotype"/>
          <w:bCs/>
          <w:sz w:val="20"/>
          <w:szCs w:val="20"/>
        </w:rPr>
        <w:t xml:space="preserve"> (Kisumu) and</w:t>
      </w:r>
      <w:r w:rsidRPr="000056EB">
        <w:rPr>
          <w:rFonts w:ascii="Palatino Linotype" w:hAnsi="Palatino Linotype"/>
          <w:bCs/>
          <w:sz w:val="20"/>
          <w:szCs w:val="20"/>
        </w:rPr>
        <w:t xml:space="preserve"> </w:t>
      </w:r>
      <w:r w:rsidRPr="00CC259F">
        <w:rPr>
          <w:rFonts w:ascii="Palatino Linotype" w:hAnsi="Palatino Linotype"/>
          <w:bCs/>
          <w:i/>
          <w:sz w:val="20"/>
          <w:szCs w:val="20"/>
        </w:rPr>
        <w:t xml:space="preserve">Aedes aegypti </w:t>
      </w:r>
      <w:r w:rsidR="00CC259F" w:rsidRPr="00CC259F">
        <w:rPr>
          <w:rFonts w:ascii="Palatino Linotype" w:hAnsi="Palatino Linotype"/>
          <w:bCs/>
          <w:sz w:val="20"/>
          <w:szCs w:val="20"/>
        </w:rPr>
        <w:t>(</w:t>
      </w:r>
      <w:r w:rsidRPr="000056EB">
        <w:rPr>
          <w:rFonts w:ascii="Palatino Linotype" w:hAnsi="Palatino Linotype"/>
          <w:bCs/>
          <w:sz w:val="20"/>
          <w:szCs w:val="20"/>
        </w:rPr>
        <w:t>New Orleans</w:t>
      </w:r>
      <w:r w:rsidR="00CC259F">
        <w:rPr>
          <w:rFonts w:ascii="Palatino Linotype" w:hAnsi="Palatino Linotype"/>
          <w:bCs/>
          <w:sz w:val="20"/>
          <w:szCs w:val="20"/>
        </w:rPr>
        <w:t xml:space="preserve">). Kisumu data </w:t>
      </w:r>
      <w:r w:rsidR="0060687E">
        <w:rPr>
          <w:rFonts w:ascii="Palatino Linotype" w:hAnsi="Palatino Linotype"/>
          <w:bCs/>
          <w:sz w:val="20"/>
          <w:szCs w:val="20"/>
        </w:rPr>
        <w:t xml:space="preserve">has been </w:t>
      </w:r>
      <w:r w:rsidR="00CC259F">
        <w:rPr>
          <w:rFonts w:ascii="Palatino Linotype" w:hAnsi="Palatino Linotype"/>
          <w:bCs/>
          <w:sz w:val="20"/>
          <w:szCs w:val="20"/>
        </w:rPr>
        <w:t xml:space="preserve">previously published </w:t>
      </w:r>
      <w:r w:rsidR="00CC259F">
        <w:rPr>
          <w:rFonts w:ascii="Palatino Linotype" w:hAnsi="Palatino Linotype"/>
          <w:bCs/>
          <w:sz w:val="20"/>
          <w:szCs w:val="20"/>
        </w:rPr>
        <w:fldChar w:fldCharType="begin" w:fldLock="1"/>
      </w:r>
      <w:r w:rsidR="00CC259F">
        <w:rPr>
          <w:rFonts w:ascii="Palatino Linotype" w:hAnsi="Palatino Linotype"/>
          <w:bCs/>
          <w:sz w:val="20"/>
          <w:szCs w:val="20"/>
        </w:rPr>
        <w:instrText>ADDIN CSL_CITATION {"citationItems":[{"id":"ITEM-1","itemData":{"DOI":"10.12688/gatesopenres.12957.2","ISSN":"25724754","abstract":"Background: With insecticide resistance in malaria vectors spreading in geographical range and intensity, there is a need for compounds with novel modes of action to maintain the successes achieved to date by long-lasting insecticidal nets and indoor residual sprays, used as part of an insecticide resistance management strategy. Screening existing registered pesticides, predominantly those developed for use in agriculture, may provide a more rapid and less logistically challenging route to identifying active ingredients of value to public health than screening and chemical synthesis programmes for novel compounds. Methods: Insecticides and acaricides from all IRAC classes, including those with unclassified modes of action, were assessed for inclusion in a laboratory bioassay testing cascade against adult female Anopheles gambiae mosquitoes. A longlist of representative candidate compounds was selected, excluding those with safety concerns, unsuitable physiochemical properties, and likely hurdles to registration for public health use. An initial screen using topical application eliminated compounds with insufficient intrinsic activity, and a tarsal contact assay identified those with activity at an appropriate concentration. Compounds of interest were ranked by relative potency using dose response assays and discriminating dose calculations. Results: Inclusion of an adjuvant enhanced the tarsal efficacy of several compounds, facilitating the promotion of chemistries with great potential, given suitable formulation, which would not progress based on activity of compound alone. Comparison of data between stages in the testing cascade suggest that a more streamlined approach, topical application to test for intrinsic activity and determining the discriminating dose to compare relative potency of compounds, may be sufficient to identify compounds with potential value for use in long lasting insecticidal nets and indoor residual spray products. Conclusions: Identified were 11 compounds of interest as vector control agents (in descending order of potency): clothianidin, spinetoram, metaflumizone, dinotefuran, indoxacarb, abamectin, sulfoxaflor, oxazosulfyl, triflumezopyrim, fenpyroximate, and tolfenpyrad.","author":[{"dropping-particle":"","family":"Lees","given":"Rosemary","non-dropping-particle":"","parse-names":false,"suffix":""},{"dropping-particle":"","family":"Praulins","given":"Giorgio","non-dropping-particle":"","parse-names":false,"suffix":""},{"dropping-particle":"","family":"Davies","given":"Rachel","non-dropping-particle":"","parse-names":false,"suffix":""},{"dropping-particle":"","family":"Brown","given":"Faye","non-dropping-particle":"","parse-names":false,"suffix":""},{"dropping-particle":"","family":"Parsons","given":"George","non-dropping-particle":"","parse-names":false,"suffix":""},{"dropping-particle":"","family":"White","given":"Anthony","non-dropping-particle":"","parse-names":false,"suffix":""},{"dropping-particle":"","family":"Ranson","given":"Hilary","non-dropping-particle":"","parse-names":false,"suffix":""},{"dropping-particle":"","family":"Small","given":"Graham","non-dropping-particle":"","parse-names":false,"suffix":""},{"dropping-particle":"","family":"Malone","given":"David","non-dropping-particle":"","parse-names":false,"suffix":""}],"container-title":"Gates Open Research","id":"ITEM-1","issued":{"date-parts":[["2019"]]},"page":"1464","title":"A testing cascade to identify repurposed insecticides for next-generation vector control tools: Screening a panel of chemistries with novel modes of action against a malaria vector","type":"article-journal","volume":"3"},"uris":["http://www.mendeley.com/documents/?uuid=1acd47f2-bf5d-4856-8545-3d50c29f821a"]}],"mendeley":{"formattedCitation":"[1]","plainTextFormattedCitation":"[1]","previouslyFormattedCitation":"[1]"},"properties":{"noteIndex":0},"schema":"https://github.com/citation-style-language/schema/raw/master/csl-citation.json"}</w:instrText>
      </w:r>
      <w:r w:rsidR="00CC259F">
        <w:rPr>
          <w:rFonts w:ascii="Palatino Linotype" w:hAnsi="Palatino Linotype"/>
          <w:bCs/>
          <w:sz w:val="20"/>
          <w:szCs w:val="20"/>
        </w:rPr>
        <w:fldChar w:fldCharType="separate"/>
      </w:r>
      <w:r w:rsidR="00CC259F" w:rsidRPr="00CC259F">
        <w:rPr>
          <w:rFonts w:ascii="Palatino Linotype" w:hAnsi="Palatino Linotype"/>
          <w:bCs/>
          <w:noProof/>
          <w:sz w:val="20"/>
          <w:szCs w:val="20"/>
        </w:rPr>
        <w:t>[1]</w:t>
      </w:r>
      <w:r w:rsidR="00CC259F">
        <w:rPr>
          <w:rFonts w:ascii="Palatino Linotype" w:hAnsi="Palatino Linotype"/>
          <w:bCs/>
          <w:sz w:val="20"/>
          <w:szCs w:val="20"/>
        </w:rPr>
        <w:fldChar w:fldCharType="end"/>
      </w:r>
      <w:r w:rsidRPr="000056EB">
        <w:rPr>
          <w:rFonts w:ascii="Palatino Linotype" w:hAnsi="Palatino Linotype"/>
          <w:bCs/>
          <w:sz w:val="20"/>
          <w:szCs w:val="20"/>
        </w:rPr>
        <w:t>.</w:t>
      </w:r>
      <w:r w:rsidR="00CC259F">
        <w:rPr>
          <w:rFonts w:ascii="Palatino Linotype" w:hAnsi="Palatino Linotype"/>
          <w:bCs/>
          <w:sz w:val="20"/>
          <w:szCs w:val="20"/>
        </w:rPr>
        <w:t xml:space="preserve"> Mean mortality represents an average of three cohorts of ten 2-5 day old non-blood fed female adult mosquitoes, </w:t>
      </w:r>
      <w:r w:rsidRPr="000056EB">
        <w:rPr>
          <w:rFonts w:ascii="Palatino Linotype" w:hAnsi="Palatino Linotype"/>
          <w:bCs/>
          <w:sz w:val="20"/>
          <w:szCs w:val="20"/>
        </w:rPr>
        <w:t xml:space="preserve">corrected for negative control mortality using Abbott’s formula </w:t>
      </w:r>
      <w:r w:rsidR="00CC259F">
        <w:rPr>
          <w:rFonts w:ascii="Palatino Linotype" w:hAnsi="Palatino Linotype"/>
          <w:bCs/>
          <w:sz w:val="20"/>
          <w:szCs w:val="20"/>
        </w:rPr>
        <w:fldChar w:fldCharType="begin" w:fldLock="1"/>
      </w:r>
      <w:r w:rsidR="008F723F">
        <w:rPr>
          <w:rFonts w:ascii="Palatino Linotype" w:hAnsi="Palatino Linotype"/>
          <w:bCs/>
          <w:sz w:val="20"/>
          <w:szCs w:val="20"/>
        </w:rPr>
        <w:instrText>ADDIN CSL_CITATION {"citationItems":[{"id":"ITEM-1","itemData":{"abstract":"Dirk meint dass Blackwell bei seiner Ratekorrektur auf diese Arbeit verweist.","author":[{"dropping-particle":"","family":"Abbott","given":"W.S:","non-dropping-particle":"","parse-names":false,"suffix":""}],"container-title":"Journal of Economic Entomology","id":"ITEM-1","issued":{"date-parts":[["1925"]]},"title":"A method for computing the effectiveness of an insecticide","type":"article-journal"},"uris":["http://www.mendeley.com/documents/?uuid=1935d2ed-df8e-4f92-a797-1152ebf9a3c9"]}],"mendeley":{"formattedCitation":"[2]","plainTextFormattedCitation":"[2]","previouslyFormattedCitation":"[2]"},"properties":{"noteIndex":0},"schema":"https://github.com/citation-style-language/schema/raw/master/csl-citation.json"}</w:instrText>
      </w:r>
      <w:r w:rsidR="00CC259F">
        <w:rPr>
          <w:rFonts w:ascii="Palatino Linotype" w:hAnsi="Palatino Linotype"/>
          <w:bCs/>
          <w:sz w:val="20"/>
          <w:szCs w:val="20"/>
        </w:rPr>
        <w:fldChar w:fldCharType="separate"/>
      </w:r>
      <w:r w:rsidR="00CC259F" w:rsidRPr="00CC259F">
        <w:rPr>
          <w:rFonts w:ascii="Palatino Linotype" w:hAnsi="Palatino Linotype"/>
          <w:bCs/>
          <w:noProof/>
          <w:sz w:val="20"/>
          <w:szCs w:val="20"/>
        </w:rPr>
        <w:t>[2]</w:t>
      </w:r>
      <w:r w:rsidR="00CC259F">
        <w:rPr>
          <w:rFonts w:ascii="Palatino Linotype" w:hAnsi="Palatino Linotype"/>
          <w:bCs/>
          <w:sz w:val="20"/>
          <w:szCs w:val="20"/>
        </w:rPr>
        <w:fldChar w:fldCharType="end"/>
      </w:r>
      <w:r w:rsidRPr="000056EB">
        <w:rPr>
          <w:rFonts w:ascii="Palatino Linotype" w:hAnsi="Palatino Linotype"/>
          <w:bCs/>
          <w:sz w:val="20"/>
          <w:szCs w:val="20"/>
        </w:rPr>
        <w:t xml:space="preserve">. </w:t>
      </w:r>
    </w:p>
    <w:tbl>
      <w:tblPr>
        <w:tblW w:w="9493" w:type="dxa"/>
        <w:tblLook w:val="04A0" w:firstRow="1" w:lastRow="0" w:firstColumn="1" w:lastColumn="0" w:noHBand="0" w:noVBand="1"/>
      </w:tblPr>
      <w:tblGrid>
        <w:gridCol w:w="2122"/>
        <w:gridCol w:w="1842"/>
        <w:gridCol w:w="1843"/>
        <w:gridCol w:w="1843"/>
        <w:gridCol w:w="1843"/>
      </w:tblGrid>
      <w:tr w:rsidR="00CC259F" w:rsidRPr="00D07984" w14:paraId="6FD20982" w14:textId="77777777" w:rsidTr="00CC259F">
        <w:trPr>
          <w:trHeight w:val="290"/>
        </w:trPr>
        <w:tc>
          <w:tcPr>
            <w:tcW w:w="2122" w:type="dxa"/>
            <w:tcBorders>
              <w:top w:val="single" w:sz="4" w:space="0" w:color="auto"/>
              <w:left w:val="single" w:sz="4" w:space="0" w:color="auto"/>
              <w:bottom w:val="single" w:sz="4" w:space="0" w:color="auto"/>
              <w:right w:val="nil"/>
            </w:tcBorders>
            <w:shd w:val="clear" w:color="000000" w:fill="A6A6A6"/>
            <w:noWrap/>
            <w:vAlign w:val="bottom"/>
            <w:hideMark/>
          </w:tcPr>
          <w:p w14:paraId="5F1312CF" w14:textId="77777777" w:rsidR="00CC259F" w:rsidRPr="00D07984" w:rsidRDefault="00CC259F" w:rsidP="00460EF4">
            <w:pPr>
              <w:spacing w:after="0" w:line="240" w:lineRule="auto"/>
              <w:jc w:val="center"/>
              <w:rPr>
                <w:rFonts w:ascii="Palatino Linotype" w:eastAsia="Times New Roman" w:hAnsi="Palatino Linotype" w:cs="Times New Roman"/>
                <w:b/>
                <w:bCs/>
                <w:color w:val="000000"/>
                <w:sz w:val="20"/>
                <w:szCs w:val="20"/>
                <w:lang w:eastAsia="en-GB"/>
              </w:rPr>
            </w:pPr>
            <w:r w:rsidRPr="00D07984">
              <w:rPr>
                <w:rFonts w:ascii="Palatino Linotype" w:eastAsia="Times New Roman" w:hAnsi="Palatino Linotype" w:cs="Times New Roman"/>
                <w:b/>
                <w:bCs/>
                <w:color w:val="000000"/>
                <w:sz w:val="20"/>
                <w:szCs w:val="20"/>
                <w:lang w:eastAsia="en-GB"/>
              </w:rPr>
              <w:t>Property</w:t>
            </w:r>
          </w:p>
        </w:tc>
        <w:tc>
          <w:tcPr>
            <w:tcW w:w="3685" w:type="dxa"/>
            <w:gridSpan w:val="2"/>
            <w:tcBorders>
              <w:top w:val="single" w:sz="4" w:space="0" w:color="auto"/>
              <w:left w:val="single" w:sz="4" w:space="0" w:color="auto"/>
              <w:bottom w:val="single" w:sz="4" w:space="0" w:color="auto"/>
              <w:right w:val="single" w:sz="4" w:space="0" w:color="auto"/>
            </w:tcBorders>
            <w:shd w:val="clear" w:color="000000" w:fill="A6A6A6"/>
            <w:noWrap/>
            <w:vAlign w:val="bottom"/>
            <w:hideMark/>
          </w:tcPr>
          <w:p w14:paraId="7B9AED4E" w14:textId="29457659" w:rsidR="00CC259F" w:rsidRPr="00D07984" w:rsidRDefault="00CC259F" w:rsidP="00460EF4">
            <w:pPr>
              <w:spacing w:after="0" w:line="240" w:lineRule="auto"/>
              <w:jc w:val="center"/>
              <w:rPr>
                <w:rFonts w:ascii="Palatino Linotype" w:eastAsia="Times New Roman" w:hAnsi="Palatino Linotype" w:cs="Times New Roman"/>
                <w:b/>
                <w:bCs/>
                <w:color w:val="000000"/>
                <w:sz w:val="20"/>
                <w:szCs w:val="20"/>
                <w:lang w:eastAsia="en-GB"/>
              </w:rPr>
            </w:pPr>
            <w:r w:rsidRPr="00CC259F">
              <w:rPr>
                <w:rFonts w:ascii="Palatino Linotype" w:eastAsia="Times New Roman" w:hAnsi="Palatino Linotype" w:cs="Times New Roman"/>
                <w:b/>
                <w:bCs/>
                <w:i/>
                <w:color w:val="000000"/>
                <w:sz w:val="20"/>
                <w:szCs w:val="20"/>
                <w:lang w:eastAsia="en-GB"/>
              </w:rPr>
              <w:t>An. gambiae</w:t>
            </w:r>
            <w:r w:rsidRPr="00CC259F">
              <w:rPr>
                <w:rFonts w:ascii="Palatino Linotype" w:eastAsia="Times New Roman" w:hAnsi="Palatino Linotype" w:cs="Times New Roman"/>
                <w:b/>
                <w:bCs/>
                <w:color w:val="000000"/>
                <w:sz w:val="20"/>
                <w:szCs w:val="20"/>
                <w:lang w:eastAsia="en-GB"/>
              </w:rPr>
              <w:t xml:space="preserve"> Kisumu</w:t>
            </w:r>
          </w:p>
        </w:tc>
        <w:tc>
          <w:tcPr>
            <w:tcW w:w="3686" w:type="dxa"/>
            <w:gridSpan w:val="2"/>
            <w:tcBorders>
              <w:top w:val="single" w:sz="4" w:space="0" w:color="auto"/>
              <w:left w:val="nil"/>
              <w:bottom w:val="single" w:sz="4" w:space="0" w:color="auto"/>
              <w:right w:val="single" w:sz="4" w:space="0" w:color="auto"/>
            </w:tcBorders>
            <w:shd w:val="clear" w:color="000000" w:fill="A6A6A6"/>
          </w:tcPr>
          <w:p w14:paraId="2707C309" w14:textId="6E1FA267" w:rsidR="00CC259F" w:rsidRPr="00D07984" w:rsidRDefault="00CC259F" w:rsidP="00460EF4">
            <w:pPr>
              <w:spacing w:after="0" w:line="240" w:lineRule="auto"/>
              <w:jc w:val="center"/>
              <w:rPr>
                <w:rFonts w:ascii="Palatino Linotype" w:eastAsia="Times New Roman" w:hAnsi="Palatino Linotype" w:cs="Times New Roman"/>
                <w:b/>
                <w:bCs/>
                <w:color w:val="000000"/>
                <w:sz w:val="20"/>
                <w:szCs w:val="20"/>
                <w:lang w:eastAsia="en-GB"/>
              </w:rPr>
            </w:pPr>
            <w:r w:rsidRPr="00CC259F">
              <w:rPr>
                <w:rFonts w:ascii="Palatino Linotype" w:eastAsia="Times New Roman" w:hAnsi="Palatino Linotype" w:cs="Times New Roman"/>
                <w:b/>
                <w:bCs/>
                <w:i/>
                <w:color w:val="000000"/>
                <w:sz w:val="20"/>
                <w:szCs w:val="20"/>
                <w:lang w:eastAsia="en-GB"/>
              </w:rPr>
              <w:t>Ae. aegypti</w:t>
            </w:r>
            <w:r w:rsidRPr="00CC259F">
              <w:rPr>
                <w:rFonts w:ascii="Palatino Linotype" w:eastAsia="Times New Roman" w:hAnsi="Palatino Linotype" w:cs="Times New Roman"/>
                <w:b/>
                <w:bCs/>
                <w:color w:val="000000"/>
                <w:sz w:val="20"/>
                <w:szCs w:val="20"/>
                <w:lang w:eastAsia="en-GB"/>
              </w:rPr>
              <w:t xml:space="preserve"> New Orleans</w:t>
            </w:r>
          </w:p>
        </w:tc>
      </w:tr>
      <w:tr w:rsidR="000D04B0" w:rsidRPr="00D07984" w14:paraId="57E5D9E2" w14:textId="77777777" w:rsidTr="00CC259F">
        <w:trPr>
          <w:trHeight w:val="290"/>
        </w:trPr>
        <w:tc>
          <w:tcPr>
            <w:tcW w:w="2122" w:type="dxa"/>
            <w:tcBorders>
              <w:top w:val="single" w:sz="4" w:space="0" w:color="auto"/>
              <w:left w:val="single" w:sz="4" w:space="0" w:color="auto"/>
              <w:bottom w:val="single" w:sz="4" w:space="0" w:color="auto"/>
              <w:right w:val="single" w:sz="4" w:space="0" w:color="000000"/>
            </w:tcBorders>
            <w:shd w:val="clear" w:color="000000" w:fill="D9D9D9"/>
            <w:noWrap/>
            <w:vAlign w:val="bottom"/>
            <w:hideMark/>
          </w:tcPr>
          <w:p w14:paraId="6D09B898" w14:textId="1CC2E0ED" w:rsidR="000D04B0" w:rsidRPr="00D07984" w:rsidRDefault="000D04B0" w:rsidP="00460EF4">
            <w:pPr>
              <w:spacing w:after="0" w:line="240" w:lineRule="auto"/>
              <w:jc w:val="center"/>
              <w:rPr>
                <w:rFonts w:ascii="Palatino Linotype" w:eastAsia="Times New Roman" w:hAnsi="Palatino Linotype" w:cs="Times New Roman"/>
                <w:b/>
                <w:bCs/>
                <w:color w:val="000000"/>
                <w:sz w:val="20"/>
                <w:szCs w:val="20"/>
                <w:lang w:eastAsia="en-GB"/>
              </w:rPr>
            </w:pPr>
            <w:r>
              <w:rPr>
                <w:rFonts w:ascii="Palatino Linotype" w:eastAsia="Times New Roman" w:hAnsi="Palatino Linotype" w:cs="Times New Roman"/>
                <w:b/>
                <w:bCs/>
                <w:color w:val="000000"/>
                <w:sz w:val="20"/>
                <w:szCs w:val="20"/>
                <w:lang w:eastAsia="en-GB"/>
              </w:rPr>
              <w:t>Concentration (%)</w:t>
            </w:r>
          </w:p>
        </w:tc>
        <w:tc>
          <w:tcPr>
            <w:tcW w:w="1842" w:type="dxa"/>
            <w:tcBorders>
              <w:top w:val="single" w:sz="4" w:space="0" w:color="auto"/>
              <w:left w:val="single" w:sz="4" w:space="0" w:color="auto"/>
              <w:bottom w:val="single" w:sz="4" w:space="0" w:color="auto"/>
              <w:right w:val="single" w:sz="4" w:space="0" w:color="000000"/>
            </w:tcBorders>
            <w:shd w:val="clear" w:color="000000" w:fill="D9D9D9"/>
            <w:vAlign w:val="bottom"/>
          </w:tcPr>
          <w:p w14:paraId="28FB8725" w14:textId="3EDFA2CA" w:rsidR="000D04B0" w:rsidRPr="00D07984" w:rsidRDefault="000D04B0" w:rsidP="00460EF4">
            <w:pPr>
              <w:spacing w:after="0" w:line="240" w:lineRule="auto"/>
              <w:jc w:val="center"/>
              <w:rPr>
                <w:rFonts w:ascii="Palatino Linotype" w:eastAsia="Times New Roman" w:hAnsi="Palatino Linotype" w:cs="Times New Roman"/>
                <w:b/>
                <w:bCs/>
                <w:color w:val="000000"/>
                <w:sz w:val="20"/>
                <w:szCs w:val="20"/>
                <w:lang w:eastAsia="en-GB"/>
              </w:rPr>
            </w:pPr>
            <w:r w:rsidRPr="000D04B0">
              <w:rPr>
                <w:rFonts w:ascii="Palatino Linotype" w:eastAsia="Times New Roman" w:hAnsi="Palatino Linotype" w:cs="Times New Roman"/>
                <w:b/>
                <w:bCs/>
                <w:color w:val="000000"/>
                <w:sz w:val="20"/>
                <w:szCs w:val="20"/>
                <w:lang w:eastAsia="en-GB"/>
              </w:rPr>
              <w:t xml:space="preserve">Mean </w:t>
            </w:r>
            <w:r w:rsidR="00CC259F">
              <w:rPr>
                <w:rFonts w:ascii="Palatino Linotype" w:eastAsia="Times New Roman" w:hAnsi="Palatino Linotype" w:cs="Times New Roman"/>
                <w:b/>
                <w:bCs/>
                <w:color w:val="000000"/>
                <w:sz w:val="20"/>
                <w:szCs w:val="20"/>
                <w:lang w:eastAsia="en-GB"/>
              </w:rPr>
              <w:t>m</w:t>
            </w:r>
            <w:r w:rsidRPr="000D04B0">
              <w:rPr>
                <w:rFonts w:ascii="Palatino Linotype" w:eastAsia="Times New Roman" w:hAnsi="Palatino Linotype" w:cs="Times New Roman"/>
                <w:b/>
                <w:bCs/>
                <w:color w:val="000000"/>
                <w:sz w:val="20"/>
                <w:szCs w:val="20"/>
                <w:lang w:eastAsia="en-GB"/>
              </w:rPr>
              <w:t>ortality 24 hours (%)</w:t>
            </w:r>
          </w:p>
        </w:tc>
        <w:tc>
          <w:tcPr>
            <w:tcW w:w="1843" w:type="dxa"/>
            <w:tcBorders>
              <w:top w:val="single" w:sz="4" w:space="0" w:color="auto"/>
              <w:left w:val="single" w:sz="4" w:space="0" w:color="auto"/>
              <w:bottom w:val="single" w:sz="4" w:space="0" w:color="auto"/>
              <w:right w:val="single" w:sz="4" w:space="0" w:color="auto"/>
            </w:tcBorders>
            <w:shd w:val="clear" w:color="000000" w:fill="D9D9D9"/>
          </w:tcPr>
          <w:p w14:paraId="5AD9FE35" w14:textId="3575DDCC" w:rsidR="000D04B0" w:rsidRPr="00D07984" w:rsidRDefault="00CC259F" w:rsidP="00460EF4">
            <w:pPr>
              <w:spacing w:after="0" w:line="240" w:lineRule="auto"/>
              <w:jc w:val="center"/>
              <w:rPr>
                <w:rFonts w:ascii="Palatino Linotype" w:eastAsia="Times New Roman" w:hAnsi="Palatino Linotype" w:cs="Times New Roman"/>
                <w:b/>
                <w:bCs/>
                <w:color w:val="000000"/>
                <w:sz w:val="20"/>
                <w:szCs w:val="20"/>
                <w:lang w:eastAsia="en-GB"/>
              </w:rPr>
            </w:pPr>
            <w:r w:rsidRPr="00CC259F">
              <w:rPr>
                <w:rFonts w:ascii="Palatino Linotype" w:eastAsia="Times New Roman" w:hAnsi="Palatino Linotype" w:cs="Times New Roman"/>
                <w:b/>
                <w:bCs/>
                <w:color w:val="000000"/>
                <w:sz w:val="20"/>
                <w:szCs w:val="20"/>
                <w:lang w:eastAsia="en-GB"/>
              </w:rPr>
              <w:t xml:space="preserve">Mean </w:t>
            </w:r>
            <w:r>
              <w:rPr>
                <w:rFonts w:ascii="Palatino Linotype" w:eastAsia="Times New Roman" w:hAnsi="Palatino Linotype" w:cs="Times New Roman"/>
                <w:b/>
                <w:bCs/>
                <w:color w:val="000000"/>
                <w:sz w:val="20"/>
                <w:szCs w:val="20"/>
                <w:lang w:eastAsia="en-GB"/>
              </w:rPr>
              <w:t>m</w:t>
            </w:r>
            <w:r w:rsidRPr="00CC259F">
              <w:rPr>
                <w:rFonts w:ascii="Palatino Linotype" w:eastAsia="Times New Roman" w:hAnsi="Palatino Linotype" w:cs="Times New Roman"/>
                <w:b/>
                <w:bCs/>
                <w:color w:val="000000"/>
                <w:sz w:val="20"/>
                <w:szCs w:val="20"/>
                <w:lang w:eastAsia="en-GB"/>
              </w:rPr>
              <w:t>ortality 48 hours (%)</w:t>
            </w:r>
          </w:p>
        </w:tc>
        <w:tc>
          <w:tcPr>
            <w:tcW w:w="1843" w:type="dxa"/>
            <w:tcBorders>
              <w:top w:val="single" w:sz="4" w:space="0" w:color="auto"/>
              <w:left w:val="single" w:sz="4" w:space="0" w:color="auto"/>
              <w:bottom w:val="single" w:sz="4" w:space="0" w:color="auto"/>
              <w:right w:val="single" w:sz="4" w:space="0" w:color="auto"/>
            </w:tcBorders>
            <w:shd w:val="clear" w:color="000000" w:fill="D9D9D9"/>
          </w:tcPr>
          <w:p w14:paraId="1CE013D2" w14:textId="48878E3F" w:rsidR="000D04B0" w:rsidRPr="00D07984" w:rsidRDefault="000D04B0" w:rsidP="00460EF4">
            <w:pPr>
              <w:spacing w:after="0" w:line="240" w:lineRule="auto"/>
              <w:jc w:val="center"/>
              <w:rPr>
                <w:rFonts w:ascii="Palatino Linotype" w:eastAsia="Times New Roman" w:hAnsi="Palatino Linotype" w:cs="Times New Roman"/>
                <w:b/>
                <w:bCs/>
                <w:color w:val="000000"/>
                <w:sz w:val="20"/>
                <w:szCs w:val="20"/>
                <w:lang w:eastAsia="en-GB"/>
              </w:rPr>
            </w:pPr>
            <w:r w:rsidRPr="000D04B0">
              <w:rPr>
                <w:rFonts w:ascii="Palatino Linotype" w:eastAsia="Times New Roman" w:hAnsi="Palatino Linotype" w:cs="Times New Roman"/>
                <w:b/>
                <w:bCs/>
                <w:color w:val="000000"/>
                <w:sz w:val="20"/>
                <w:szCs w:val="20"/>
                <w:lang w:eastAsia="en-GB"/>
              </w:rPr>
              <w:t xml:space="preserve">Mean </w:t>
            </w:r>
            <w:r w:rsidR="00CC259F">
              <w:rPr>
                <w:rFonts w:ascii="Palatino Linotype" w:eastAsia="Times New Roman" w:hAnsi="Palatino Linotype" w:cs="Times New Roman"/>
                <w:b/>
                <w:bCs/>
                <w:color w:val="000000"/>
                <w:sz w:val="20"/>
                <w:szCs w:val="20"/>
                <w:lang w:eastAsia="en-GB"/>
              </w:rPr>
              <w:t>m</w:t>
            </w:r>
            <w:r w:rsidRPr="000D04B0">
              <w:rPr>
                <w:rFonts w:ascii="Palatino Linotype" w:eastAsia="Times New Roman" w:hAnsi="Palatino Linotype" w:cs="Times New Roman"/>
                <w:b/>
                <w:bCs/>
                <w:color w:val="000000"/>
                <w:sz w:val="20"/>
                <w:szCs w:val="20"/>
                <w:lang w:eastAsia="en-GB"/>
              </w:rPr>
              <w:t>ortality 24 hours (%)</w:t>
            </w:r>
          </w:p>
        </w:tc>
        <w:tc>
          <w:tcPr>
            <w:tcW w:w="1843" w:type="dxa"/>
            <w:tcBorders>
              <w:top w:val="single" w:sz="4" w:space="0" w:color="auto"/>
              <w:left w:val="single" w:sz="4" w:space="0" w:color="auto"/>
              <w:bottom w:val="single" w:sz="4" w:space="0" w:color="auto"/>
              <w:right w:val="single" w:sz="4" w:space="0" w:color="000000"/>
            </w:tcBorders>
            <w:shd w:val="clear" w:color="000000" w:fill="D9D9D9"/>
            <w:vAlign w:val="bottom"/>
          </w:tcPr>
          <w:p w14:paraId="67C3A6E0" w14:textId="3C1173C2" w:rsidR="000D04B0" w:rsidRPr="00D07984" w:rsidRDefault="00CC259F" w:rsidP="00460EF4">
            <w:pPr>
              <w:spacing w:after="0" w:line="240" w:lineRule="auto"/>
              <w:jc w:val="center"/>
              <w:rPr>
                <w:rFonts w:ascii="Palatino Linotype" w:eastAsia="Times New Roman" w:hAnsi="Palatino Linotype" w:cs="Times New Roman"/>
                <w:b/>
                <w:bCs/>
                <w:color w:val="000000"/>
                <w:sz w:val="20"/>
                <w:szCs w:val="20"/>
                <w:lang w:eastAsia="en-GB"/>
              </w:rPr>
            </w:pPr>
            <w:r w:rsidRPr="00CC259F">
              <w:rPr>
                <w:rFonts w:ascii="Palatino Linotype" w:eastAsia="Times New Roman" w:hAnsi="Palatino Linotype" w:cs="Times New Roman"/>
                <w:b/>
                <w:bCs/>
                <w:color w:val="000000"/>
                <w:sz w:val="20"/>
                <w:szCs w:val="20"/>
                <w:lang w:eastAsia="en-GB"/>
              </w:rPr>
              <w:t xml:space="preserve">Mean </w:t>
            </w:r>
            <w:r>
              <w:rPr>
                <w:rFonts w:ascii="Palatino Linotype" w:eastAsia="Times New Roman" w:hAnsi="Palatino Linotype" w:cs="Times New Roman"/>
                <w:b/>
                <w:bCs/>
                <w:color w:val="000000"/>
                <w:sz w:val="20"/>
                <w:szCs w:val="20"/>
                <w:lang w:eastAsia="en-GB"/>
              </w:rPr>
              <w:t>m</w:t>
            </w:r>
            <w:r w:rsidRPr="00CC259F">
              <w:rPr>
                <w:rFonts w:ascii="Palatino Linotype" w:eastAsia="Times New Roman" w:hAnsi="Palatino Linotype" w:cs="Times New Roman"/>
                <w:b/>
                <w:bCs/>
                <w:color w:val="000000"/>
                <w:sz w:val="20"/>
                <w:szCs w:val="20"/>
                <w:lang w:eastAsia="en-GB"/>
              </w:rPr>
              <w:t>ortality 48 hours (%)</w:t>
            </w:r>
          </w:p>
        </w:tc>
      </w:tr>
      <w:tr w:rsidR="00CC259F" w:rsidRPr="00D07984" w14:paraId="04B4727C" w14:textId="77777777" w:rsidTr="00CC259F">
        <w:trPr>
          <w:trHeight w:val="290"/>
        </w:trPr>
        <w:tc>
          <w:tcPr>
            <w:tcW w:w="2122" w:type="dxa"/>
            <w:tcBorders>
              <w:top w:val="nil"/>
              <w:left w:val="single" w:sz="4" w:space="0" w:color="auto"/>
              <w:bottom w:val="single" w:sz="4" w:space="0" w:color="auto"/>
              <w:right w:val="single" w:sz="4" w:space="0" w:color="auto"/>
            </w:tcBorders>
            <w:shd w:val="clear" w:color="auto" w:fill="auto"/>
            <w:noWrap/>
            <w:hideMark/>
          </w:tcPr>
          <w:p w14:paraId="27E48C45" w14:textId="20262BBF"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0.01</w:t>
            </w:r>
          </w:p>
        </w:tc>
        <w:tc>
          <w:tcPr>
            <w:tcW w:w="1842" w:type="dxa"/>
            <w:tcBorders>
              <w:top w:val="nil"/>
              <w:left w:val="nil"/>
              <w:bottom w:val="single" w:sz="4" w:space="0" w:color="auto"/>
              <w:right w:val="single" w:sz="4" w:space="0" w:color="auto"/>
            </w:tcBorders>
            <w:shd w:val="clear" w:color="auto" w:fill="auto"/>
            <w:noWrap/>
          </w:tcPr>
          <w:p w14:paraId="05E5EC64" w14:textId="6A359B08"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nil"/>
              <w:bottom w:val="single" w:sz="4" w:space="0" w:color="auto"/>
              <w:right w:val="single" w:sz="4" w:space="0" w:color="auto"/>
            </w:tcBorders>
          </w:tcPr>
          <w:p w14:paraId="514EAD42" w14:textId="251AF753"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single" w:sz="4" w:space="0" w:color="auto"/>
              <w:bottom w:val="single" w:sz="4" w:space="0" w:color="auto"/>
              <w:right w:val="single" w:sz="4" w:space="0" w:color="auto"/>
            </w:tcBorders>
          </w:tcPr>
          <w:p w14:paraId="510929CE" w14:textId="02DCEE35"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60AA6A14" w14:textId="6D8C7C5C"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r>
      <w:tr w:rsidR="00CC259F" w:rsidRPr="00D07984" w14:paraId="152107DF" w14:textId="77777777" w:rsidTr="00CC259F">
        <w:trPr>
          <w:trHeight w:val="290"/>
        </w:trPr>
        <w:tc>
          <w:tcPr>
            <w:tcW w:w="2122" w:type="dxa"/>
            <w:tcBorders>
              <w:top w:val="nil"/>
              <w:left w:val="single" w:sz="4" w:space="0" w:color="auto"/>
              <w:bottom w:val="single" w:sz="4" w:space="0" w:color="auto"/>
              <w:right w:val="single" w:sz="4" w:space="0" w:color="auto"/>
            </w:tcBorders>
            <w:shd w:val="clear" w:color="auto" w:fill="auto"/>
            <w:noWrap/>
            <w:hideMark/>
          </w:tcPr>
          <w:p w14:paraId="1998C422" w14:textId="1F57F753"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0.1</w:t>
            </w:r>
          </w:p>
        </w:tc>
        <w:tc>
          <w:tcPr>
            <w:tcW w:w="1842" w:type="dxa"/>
            <w:tcBorders>
              <w:top w:val="nil"/>
              <w:left w:val="nil"/>
              <w:bottom w:val="single" w:sz="4" w:space="0" w:color="auto"/>
              <w:right w:val="single" w:sz="4" w:space="0" w:color="auto"/>
            </w:tcBorders>
            <w:shd w:val="clear" w:color="auto" w:fill="auto"/>
            <w:noWrap/>
          </w:tcPr>
          <w:p w14:paraId="14A911F7" w14:textId="27C0E43A"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97</w:t>
            </w:r>
          </w:p>
        </w:tc>
        <w:tc>
          <w:tcPr>
            <w:tcW w:w="1843" w:type="dxa"/>
            <w:tcBorders>
              <w:top w:val="single" w:sz="4" w:space="0" w:color="auto"/>
              <w:left w:val="nil"/>
              <w:bottom w:val="single" w:sz="4" w:space="0" w:color="auto"/>
              <w:right w:val="single" w:sz="4" w:space="0" w:color="auto"/>
            </w:tcBorders>
          </w:tcPr>
          <w:p w14:paraId="5115ABF1" w14:textId="5A5DBAD5"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single" w:sz="4" w:space="0" w:color="auto"/>
              <w:bottom w:val="single" w:sz="4" w:space="0" w:color="auto"/>
              <w:right w:val="single" w:sz="4" w:space="0" w:color="auto"/>
            </w:tcBorders>
          </w:tcPr>
          <w:p w14:paraId="70B51431" w14:textId="0B1B358C"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97</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3522DA64" w14:textId="4E34B899"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r>
      <w:tr w:rsidR="00CC259F" w:rsidRPr="00D07984" w14:paraId="32F1E954" w14:textId="77777777" w:rsidTr="00CC259F">
        <w:trPr>
          <w:trHeight w:val="290"/>
        </w:trPr>
        <w:tc>
          <w:tcPr>
            <w:tcW w:w="2122" w:type="dxa"/>
            <w:tcBorders>
              <w:top w:val="nil"/>
              <w:left w:val="single" w:sz="4" w:space="0" w:color="auto"/>
              <w:bottom w:val="single" w:sz="4" w:space="0" w:color="auto"/>
              <w:right w:val="single" w:sz="4" w:space="0" w:color="auto"/>
            </w:tcBorders>
            <w:shd w:val="clear" w:color="auto" w:fill="auto"/>
            <w:noWrap/>
            <w:hideMark/>
          </w:tcPr>
          <w:p w14:paraId="2F37ABD0" w14:textId="0917A7CC"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w:t>
            </w:r>
          </w:p>
        </w:tc>
        <w:tc>
          <w:tcPr>
            <w:tcW w:w="1842" w:type="dxa"/>
            <w:tcBorders>
              <w:top w:val="nil"/>
              <w:left w:val="nil"/>
              <w:bottom w:val="single" w:sz="4" w:space="0" w:color="auto"/>
              <w:right w:val="single" w:sz="4" w:space="0" w:color="auto"/>
            </w:tcBorders>
            <w:shd w:val="clear" w:color="auto" w:fill="auto"/>
            <w:noWrap/>
          </w:tcPr>
          <w:p w14:paraId="05C70E14" w14:textId="60FFAE1F"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97</w:t>
            </w:r>
          </w:p>
        </w:tc>
        <w:tc>
          <w:tcPr>
            <w:tcW w:w="1843" w:type="dxa"/>
            <w:tcBorders>
              <w:top w:val="single" w:sz="4" w:space="0" w:color="auto"/>
              <w:left w:val="nil"/>
              <w:bottom w:val="single" w:sz="4" w:space="0" w:color="auto"/>
              <w:right w:val="single" w:sz="4" w:space="0" w:color="auto"/>
            </w:tcBorders>
          </w:tcPr>
          <w:p w14:paraId="022A6577" w14:textId="4A35F8B1"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97</w:t>
            </w:r>
          </w:p>
        </w:tc>
        <w:tc>
          <w:tcPr>
            <w:tcW w:w="1843" w:type="dxa"/>
            <w:tcBorders>
              <w:top w:val="single" w:sz="4" w:space="0" w:color="auto"/>
              <w:left w:val="single" w:sz="4" w:space="0" w:color="auto"/>
              <w:bottom w:val="single" w:sz="4" w:space="0" w:color="auto"/>
              <w:right w:val="single" w:sz="4" w:space="0" w:color="auto"/>
            </w:tcBorders>
          </w:tcPr>
          <w:p w14:paraId="0DA8C430" w14:textId="746E3661"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97</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4073BBA1" w14:textId="18FB387E"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97</w:t>
            </w:r>
          </w:p>
        </w:tc>
      </w:tr>
      <w:tr w:rsidR="00CC259F" w:rsidRPr="00D07984" w14:paraId="41349847" w14:textId="77777777" w:rsidTr="00CC259F">
        <w:trPr>
          <w:trHeight w:val="290"/>
        </w:trPr>
        <w:tc>
          <w:tcPr>
            <w:tcW w:w="2122" w:type="dxa"/>
            <w:tcBorders>
              <w:top w:val="nil"/>
              <w:left w:val="single" w:sz="4" w:space="0" w:color="auto"/>
              <w:bottom w:val="single" w:sz="4" w:space="0" w:color="auto"/>
              <w:right w:val="single" w:sz="4" w:space="0" w:color="auto"/>
            </w:tcBorders>
            <w:shd w:val="clear" w:color="auto" w:fill="auto"/>
            <w:noWrap/>
            <w:hideMark/>
          </w:tcPr>
          <w:p w14:paraId="05910D31" w14:textId="33C95380"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Acetone control</w:t>
            </w:r>
          </w:p>
        </w:tc>
        <w:tc>
          <w:tcPr>
            <w:tcW w:w="1842" w:type="dxa"/>
            <w:tcBorders>
              <w:top w:val="nil"/>
              <w:left w:val="nil"/>
              <w:bottom w:val="single" w:sz="4" w:space="0" w:color="auto"/>
              <w:right w:val="single" w:sz="4" w:space="0" w:color="auto"/>
            </w:tcBorders>
            <w:shd w:val="clear" w:color="auto" w:fill="auto"/>
            <w:noWrap/>
          </w:tcPr>
          <w:p w14:paraId="28B3C3D4" w14:textId="05A306A3"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6</w:t>
            </w:r>
          </w:p>
        </w:tc>
        <w:tc>
          <w:tcPr>
            <w:tcW w:w="1843" w:type="dxa"/>
            <w:tcBorders>
              <w:top w:val="single" w:sz="4" w:space="0" w:color="auto"/>
              <w:left w:val="nil"/>
              <w:bottom w:val="single" w:sz="4" w:space="0" w:color="auto"/>
              <w:right w:val="single" w:sz="4" w:space="0" w:color="auto"/>
            </w:tcBorders>
          </w:tcPr>
          <w:p w14:paraId="582727FB" w14:textId="3EAED881"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12</w:t>
            </w:r>
          </w:p>
        </w:tc>
        <w:tc>
          <w:tcPr>
            <w:tcW w:w="1843" w:type="dxa"/>
            <w:tcBorders>
              <w:top w:val="single" w:sz="4" w:space="0" w:color="auto"/>
              <w:left w:val="single" w:sz="4" w:space="0" w:color="auto"/>
              <w:bottom w:val="single" w:sz="4" w:space="0" w:color="auto"/>
              <w:right w:val="single" w:sz="4" w:space="0" w:color="auto"/>
            </w:tcBorders>
          </w:tcPr>
          <w:p w14:paraId="7263A718" w14:textId="32520EB8"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7</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136C6A3E" w14:textId="7E262D55"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13</w:t>
            </w:r>
          </w:p>
        </w:tc>
      </w:tr>
      <w:tr w:rsidR="00CC259F" w:rsidRPr="00D07984" w14:paraId="5F416240" w14:textId="77777777" w:rsidTr="00CC259F">
        <w:trPr>
          <w:trHeight w:val="290"/>
        </w:trPr>
        <w:tc>
          <w:tcPr>
            <w:tcW w:w="2122" w:type="dxa"/>
            <w:tcBorders>
              <w:top w:val="nil"/>
              <w:left w:val="single" w:sz="4" w:space="0" w:color="auto"/>
              <w:bottom w:val="single" w:sz="4" w:space="0" w:color="auto"/>
              <w:right w:val="single" w:sz="4" w:space="0" w:color="auto"/>
            </w:tcBorders>
            <w:shd w:val="clear" w:color="auto" w:fill="auto"/>
            <w:noWrap/>
            <w:hideMark/>
          </w:tcPr>
          <w:p w14:paraId="19C2A7C6" w14:textId="22ECCACF"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0.1% permethrin</w:t>
            </w:r>
          </w:p>
        </w:tc>
        <w:tc>
          <w:tcPr>
            <w:tcW w:w="1842" w:type="dxa"/>
            <w:tcBorders>
              <w:top w:val="nil"/>
              <w:left w:val="nil"/>
              <w:bottom w:val="single" w:sz="4" w:space="0" w:color="auto"/>
              <w:right w:val="single" w:sz="4" w:space="0" w:color="auto"/>
            </w:tcBorders>
            <w:shd w:val="clear" w:color="auto" w:fill="auto"/>
            <w:noWrap/>
          </w:tcPr>
          <w:p w14:paraId="5BAB1173" w14:textId="1553623D"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nil"/>
              <w:bottom w:val="single" w:sz="4" w:space="0" w:color="auto"/>
              <w:right w:val="single" w:sz="4" w:space="0" w:color="auto"/>
            </w:tcBorders>
          </w:tcPr>
          <w:p w14:paraId="30E07A00" w14:textId="1D5FD9EA"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single" w:sz="4" w:space="0" w:color="auto"/>
              <w:bottom w:val="single" w:sz="4" w:space="0" w:color="auto"/>
              <w:right w:val="single" w:sz="4" w:space="0" w:color="auto"/>
            </w:tcBorders>
          </w:tcPr>
          <w:p w14:paraId="5E4B74C7" w14:textId="4D5B57F8"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4CC93D4C" w14:textId="7D053C5D" w:rsidR="00CC259F" w:rsidRPr="00CC259F" w:rsidRDefault="00CC259F" w:rsidP="00CC259F">
            <w:pPr>
              <w:spacing w:after="0" w:line="240" w:lineRule="auto"/>
              <w:jc w:val="center"/>
              <w:rPr>
                <w:rFonts w:ascii="Palatino Linotype" w:eastAsia="Times New Roman" w:hAnsi="Palatino Linotype" w:cs="Times New Roman"/>
                <w:color w:val="000000"/>
                <w:sz w:val="20"/>
                <w:szCs w:val="20"/>
                <w:lang w:eastAsia="en-GB"/>
              </w:rPr>
            </w:pPr>
            <w:r w:rsidRPr="00CC259F">
              <w:rPr>
                <w:rFonts w:ascii="Palatino Linotype" w:hAnsi="Palatino Linotype"/>
                <w:sz w:val="20"/>
                <w:szCs w:val="20"/>
              </w:rPr>
              <w:t>100</w:t>
            </w:r>
          </w:p>
        </w:tc>
      </w:tr>
    </w:tbl>
    <w:p w14:paraId="635F6E30" w14:textId="77777777" w:rsidR="000056EB" w:rsidRDefault="000056EB" w:rsidP="00D07984">
      <w:pPr>
        <w:rPr>
          <w:rFonts w:ascii="Palatino Linotype" w:hAnsi="Palatino Linotype"/>
          <w:bCs/>
          <w:sz w:val="20"/>
          <w:szCs w:val="20"/>
        </w:rPr>
      </w:pPr>
    </w:p>
    <w:p w14:paraId="7B330ABB" w14:textId="465DF42D" w:rsidR="00E375D6" w:rsidRPr="000056EB" w:rsidRDefault="00D07984" w:rsidP="00D07984">
      <w:pPr>
        <w:rPr>
          <w:rFonts w:ascii="Palatino Linotype" w:hAnsi="Palatino Linotype"/>
          <w:sz w:val="20"/>
          <w:szCs w:val="20"/>
        </w:rPr>
      </w:pPr>
      <w:r w:rsidRPr="000056EB">
        <w:rPr>
          <w:rFonts w:ascii="Palatino Linotype" w:hAnsi="Palatino Linotype"/>
          <w:sz w:val="20"/>
          <w:szCs w:val="20"/>
        </w:rPr>
        <w:br w:type="page"/>
      </w:r>
    </w:p>
    <w:p w14:paraId="38FEC1BE" w14:textId="274CEC7E" w:rsidR="00314514" w:rsidRDefault="00621BE0" w:rsidP="00314514">
      <w:pPr>
        <w:spacing w:after="0"/>
        <w:rPr>
          <w:rFonts w:ascii="Palatino Linotype" w:hAnsi="Palatino Linotype"/>
          <w:b/>
          <w:bCs/>
          <w:sz w:val="18"/>
          <w:szCs w:val="20"/>
        </w:rPr>
      </w:pPr>
      <w:r>
        <w:rPr>
          <w:rFonts w:ascii="Palatino Linotype" w:hAnsi="Palatino Linotype"/>
          <w:b/>
          <w:bCs/>
          <w:noProof/>
          <w:sz w:val="18"/>
          <w:szCs w:val="20"/>
        </w:rPr>
        <w:lastRenderedPageBreak/>
        <w:drawing>
          <wp:inline distT="0" distB="0" distL="0" distR="0" wp14:anchorId="3FC778BE" wp14:editId="60ECB30D">
            <wp:extent cx="5731510" cy="3757295"/>
            <wp:effectExtent l="0" t="0" r="2540" b="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3757295"/>
                    </a:xfrm>
                    <a:prstGeom prst="rect">
                      <a:avLst/>
                    </a:prstGeom>
                  </pic:spPr>
                </pic:pic>
              </a:graphicData>
            </a:graphic>
          </wp:inline>
        </w:drawing>
      </w:r>
    </w:p>
    <w:p w14:paraId="4378D235" w14:textId="711F4C36" w:rsidR="00314514" w:rsidRPr="007124E0" w:rsidRDefault="00314514" w:rsidP="00314514">
      <w:pPr>
        <w:spacing w:after="0"/>
        <w:rPr>
          <w:rFonts w:ascii="Palatino Linotype" w:hAnsi="Palatino Linotype"/>
          <w:lang w:val="en-US" w:eastAsia="de-DE" w:bidi="en-US"/>
        </w:rPr>
      </w:pPr>
      <w:bookmarkStart w:id="1" w:name="_Hlk85723310"/>
      <w:r w:rsidRPr="007124E0">
        <w:rPr>
          <w:rFonts w:ascii="Palatino Linotype" w:hAnsi="Palatino Linotype"/>
          <w:b/>
          <w:bCs/>
          <w:sz w:val="18"/>
          <w:szCs w:val="20"/>
        </w:rPr>
        <w:t>Figure S1.</w:t>
      </w:r>
      <w:r w:rsidRPr="007124E0">
        <w:rPr>
          <w:rFonts w:ascii="Palatino Linotype" w:hAnsi="Palatino Linotype"/>
          <w:sz w:val="18"/>
          <w:szCs w:val="20"/>
        </w:rPr>
        <w:t xml:space="preserve"> Residual efficacy of SumiShield and K-Othrine applied to different surface types against </w:t>
      </w:r>
      <w:r w:rsidRPr="007124E0">
        <w:rPr>
          <w:rFonts w:ascii="Palatino Linotype" w:hAnsi="Palatino Linotype"/>
          <w:i/>
          <w:iCs/>
          <w:sz w:val="18"/>
          <w:szCs w:val="20"/>
        </w:rPr>
        <w:t>Anopheles</w:t>
      </w:r>
      <w:r w:rsidRPr="007124E0">
        <w:rPr>
          <w:rFonts w:ascii="Palatino Linotype" w:hAnsi="Palatino Linotype"/>
          <w:sz w:val="18"/>
          <w:szCs w:val="20"/>
        </w:rPr>
        <w:t xml:space="preserve"> mosquitoes. Mortality of resistant and susceptible strains of </w:t>
      </w:r>
      <w:r w:rsidRPr="007124E0">
        <w:rPr>
          <w:rFonts w:ascii="Palatino Linotype" w:hAnsi="Palatino Linotype"/>
          <w:i/>
          <w:iCs/>
          <w:sz w:val="18"/>
          <w:szCs w:val="20"/>
        </w:rPr>
        <w:t>An. gambiae</w:t>
      </w:r>
      <w:r w:rsidRPr="007124E0">
        <w:rPr>
          <w:rFonts w:ascii="Palatino Linotype" w:hAnsi="Palatino Linotype"/>
          <w:sz w:val="18"/>
          <w:szCs w:val="20"/>
        </w:rPr>
        <w:t xml:space="preserve"> and </w:t>
      </w:r>
      <w:r w:rsidRPr="007124E0">
        <w:rPr>
          <w:rFonts w:ascii="Palatino Linotype" w:hAnsi="Palatino Linotype"/>
          <w:i/>
          <w:iCs/>
          <w:sz w:val="18"/>
          <w:szCs w:val="20"/>
        </w:rPr>
        <w:t>An. funestus</w:t>
      </w:r>
      <w:r w:rsidRPr="007124E0">
        <w:rPr>
          <w:rFonts w:ascii="Palatino Linotype" w:hAnsi="Palatino Linotype"/>
          <w:sz w:val="18"/>
          <w:szCs w:val="20"/>
        </w:rPr>
        <w:t xml:space="preserve"> </w:t>
      </w:r>
      <w:r>
        <w:rPr>
          <w:rFonts w:ascii="Palatino Linotype" w:hAnsi="Palatino Linotype"/>
          <w:sz w:val="18"/>
          <w:szCs w:val="20"/>
        </w:rPr>
        <w:t xml:space="preserve">at 24-hours, </w:t>
      </w:r>
      <w:r w:rsidRPr="007124E0">
        <w:rPr>
          <w:rFonts w:ascii="Palatino Linotype" w:hAnsi="Palatino Linotype"/>
          <w:sz w:val="18"/>
          <w:szCs w:val="20"/>
        </w:rPr>
        <w:t>after exposure to cement, mud and wood surfaces treated with SumiShield</w:t>
      </w:r>
      <w:r w:rsidR="00D242AC">
        <w:rPr>
          <w:rFonts w:ascii="Palatino Linotype" w:hAnsi="Palatino Linotype"/>
          <w:sz w:val="18"/>
          <w:szCs w:val="20"/>
        </w:rPr>
        <w:t xml:space="preserve"> </w:t>
      </w:r>
      <w:r w:rsidRPr="007124E0">
        <w:rPr>
          <w:rFonts w:ascii="Palatino Linotype" w:hAnsi="Palatino Linotype"/>
          <w:sz w:val="18"/>
          <w:szCs w:val="20"/>
        </w:rPr>
        <w:t>or K-Othrine is presented, in comparison to control surfaces treated with water only. Mosquitoes were exposed in a WHO cone bioassay at 24-hours, and 1, 3, 5, 7, 9, 12, and 18 months after surfaces were treated. Data from 3 replicates of each treatment and surface type are presented as separate lines.</w:t>
      </w:r>
    </w:p>
    <w:bookmarkEnd w:id="1"/>
    <w:p w14:paraId="2916DD15" w14:textId="0D25261B" w:rsidR="009149CD" w:rsidRPr="009149CD" w:rsidRDefault="009149CD" w:rsidP="00E375D6">
      <w:pPr>
        <w:spacing w:after="0"/>
        <w:rPr>
          <w:rFonts w:ascii="Palatino Linotype" w:hAnsi="Palatino Linotype"/>
          <w:sz w:val="20"/>
        </w:rPr>
      </w:pPr>
    </w:p>
    <w:p w14:paraId="3BEB85F2" w14:textId="4D19719E" w:rsidR="00314514" w:rsidRDefault="00621BE0" w:rsidP="00E375D6">
      <w:pPr>
        <w:spacing w:after="0"/>
        <w:rPr>
          <w:rFonts w:ascii="Palatino Linotype" w:hAnsi="Palatino Linotype"/>
          <w:b/>
          <w:bCs/>
          <w:sz w:val="18"/>
          <w:szCs w:val="20"/>
        </w:rPr>
      </w:pPr>
      <w:r>
        <w:rPr>
          <w:rFonts w:ascii="Palatino Linotype" w:hAnsi="Palatino Linotype"/>
          <w:b/>
          <w:bCs/>
          <w:noProof/>
          <w:sz w:val="18"/>
          <w:szCs w:val="20"/>
        </w:rPr>
        <w:drawing>
          <wp:inline distT="0" distB="0" distL="0" distR="0" wp14:anchorId="4E96D1A3" wp14:editId="739DD881">
            <wp:extent cx="5731510" cy="3757295"/>
            <wp:effectExtent l="0" t="0" r="2540" b="0"/>
            <wp:docPr id="8" name="Picture 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3757295"/>
                    </a:xfrm>
                    <a:prstGeom prst="rect">
                      <a:avLst/>
                    </a:prstGeom>
                  </pic:spPr>
                </pic:pic>
              </a:graphicData>
            </a:graphic>
          </wp:inline>
        </w:drawing>
      </w:r>
    </w:p>
    <w:p w14:paraId="1EAE9795" w14:textId="743B126C" w:rsidR="007124E0" w:rsidRDefault="007124E0" w:rsidP="00E375D6">
      <w:pPr>
        <w:spacing w:after="0"/>
        <w:rPr>
          <w:rFonts w:ascii="Palatino Linotype" w:hAnsi="Palatino Linotype"/>
          <w:sz w:val="18"/>
          <w:szCs w:val="20"/>
        </w:rPr>
      </w:pPr>
      <w:bookmarkStart w:id="2" w:name="_Hlk85016423"/>
      <w:bookmarkStart w:id="3" w:name="_Hlk85723344"/>
      <w:r w:rsidRPr="007124E0">
        <w:rPr>
          <w:rFonts w:ascii="Palatino Linotype" w:hAnsi="Palatino Linotype"/>
          <w:b/>
          <w:bCs/>
          <w:sz w:val="18"/>
          <w:szCs w:val="20"/>
        </w:rPr>
        <w:lastRenderedPageBreak/>
        <w:t>Figure S</w:t>
      </w:r>
      <w:r w:rsidR="00314514">
        <w:rPr>
          <w:rFonts w:ascii="Palatino Linotype" w:hAnsi="Palatino Linotype"/>
          <w:b/>
          <w:bCs/>
          <w:sz w:val="18"/>
          <w:szCs w:val="20"/>
        </w:rPr>
        <w:t>2</w:t>
      </w:r>
      <w:r w:rsidRPr="007124E0">
        <w:rPr>
          <w:rFonts w:ascii="Palatino Linotype" w:hAnsi="Palatino Linotype"/>
          <w:b/>
          <w:bCs/>
          <w:sz w:val="18"/>
          <w:szCs w:val="20"/>
        </w:rPr>
        <w:t>.</w:t>
      </w:r>
      <w:r w:rsidRPr="007124E0">
        <w:rPr>
          <w:rFonts w:ascii="Palatino Linotype" w:hAnsi="Palatino Linotype"/>
          <w:sz w:val="18"/>
          <w:szCs w:val="20"/>
        </w:rPr>
        <w:t xml:space="preserve"> Residual efficacy of SumiShield and K-Othrine applied to different surface types against </w:t>
      </w:r>
      <w:r w:rsidRPr="007124E0">
        <w:rPr>
          <w:rFonts w:ascii="Palatino Linotype" w:hAnsi="Palatino Linotype"/>
          <w:i/>
          <w:iCs/>
          <w:sz w:val="18"/>
          <w:szCs w:val="20"/>
        </w:rPr>
        <w:t>Anopheles</w:t>
      </w:r>
      <w:r w:rsidRPr="007124E0">
        <w:rPr>
          <w:rFonts w:ascii="Palatino Linotype" w:hAnsi="Palatino Linotype"/>
          <w:sz w:val="18"/>
          <w:szCs w:val="20"/>
        </w:rPr>
        <w:t xml:space="preserve"> mosquitoes. Mortality of resistant and susceptible strains of </w:t>
      </w:r>
      <w:r w:rsidRPr="007124E0">
        <w:rPr>
          <w:rFonts w:ascii="Palatino Linotype" w:hAnsi="Palatino Linotype"/>
          <w:i/>
          <w:iCs/>
          <w:sz w:val="18"/>
          <w:szCs w:val="20"/>
        </w:rPr>
        <w:t>An. gambiae</w:t>
      </w:r>
      <w:r w:rsidRPr="007124E0">
        <w:rPr>
          <w:rFonts w:ascii="Palatino Linotype" w:hAnsi="Palatino Linotype"/>
          <w:sz w:val="18"/>
          <w:szCs w:val="20"/>
        </w:rPr>
        <w:t xml:space="preserve"> and </w:t>
      </w:r>
      <w:r w:rsidRPr="007124E0">
        <w:rPr>
          <w:rFonts w:ascii="Palatino Linotype" w:hAnsi="Palatino Linotype"/>
          <w:i/>
          <w:iCs/>
          <w:sz w:val="18"/>
          <w:szCs w:val="20"/>
        </w:rPr>
        <w:t>An. funestus</w:t>
      </w:r>
      <w:r w:rsidRPr="007124E0">
        <w:rPr>
          <w:rFonts w:ascii="Palatino Linotype" w:hAnsi="Palatino Linotype"/>
          <w:sz w:val="18"/>
          <w:szCs w:val="20"/>
        </w:rPr>
        <w:t xml:space="preserve"> </w:t>
      </w:r>
      <w:r>
        <w:rPr>
          <w:rFonts w:ascii="Palatino Linotype" w:hAnsi="Palatino Linotype"/>
          <w:sz w:val="18"/>
          <w:szCs w:val="20"/>
        </w:rPr>
        <w:t xml:space="preserve">at 120-hours, </w:t>
      </w:r>
      <w:r w:rsidRPr="007124E0">
        <w:rPr>
          <w:rFonts w:ascii="Palatino Linotype" w:hAnsi="Palatino Linotype"/>
          <w:sz w:val="18"/>
          <w:szCs w:val="20"/>
        </w:rPr>
        <w:t>after exposure to cement, mud and wood surfaces treated with SumiShield</w:t>
      </w:r>
      <w:r w:rsidR="00D242AC">
        <w:rPr>
          <w:rFonts w:ascii="Palatino Linotype" w:hAnsi="Palatino Linotype"/>
          <w:sz w:val="18"/>
          <w:szCs w:val="20"/>
        </w:rPr>
        <w:t xml:space="preserve"> </w:t>
      </w:r>
      <w:r w:rsidRPr="007124E0">
        <w:rPr>
          <w:rFonts w:ascii="Palatino Linotype" w:hAnsi="Palatino Linotype"/>
          <w:sz w:val="18"/>
          <w:szCs w:val="20"/>
        </w:rPr>
        <w:t>or K-Othrine is presented, in comparison to control surfaces treated with water only. Mosquitoes were exposed in a WHO cone bioassay at 24-hours, and 1, 3, 5, 7, 9, 12, and 18 months after surfaces were treated. Data from 3 replicates of each treatment and surface type are presented as separate lines.</w:t>
      </w:r>
      <w:bookmarkEnd w:id="2"/>
    </w:p>
    <w:bookmarkEnd w:id="3"/>
    <w:p w14:paraId="4F0EE297" w14:textId="557E72CC" w:rsidR="00314514" w:rsidRDefault="00314514" w:rsidP="00E375D6">
      <w:pPr>
        <w:spacing w:after="0"/>
        <w:rPr>
          <w:rFonts w:ascii="Palatino Linotype" w:hAnsi="Palatino Linotype"/>
          <w:sz w:val="18"/>
          <w:szCs w:val="20"/>
        </w:rPr>
      </w:pPr>
    </w:p>
    <w:p w14:paraId="6F06ECCD" w14:textId="3F3CE2BA" w:rsidR="00314514" w:rsidRDefault="00314514" w:rsidP="00E375D6">
      <w:pPr>
        <w:spacing w:after="0"/>
        <w:rPr>
          <w:rFonts w:ascii="Palatino Linotype" w:hAnsi="Palatino Linotype"/>
          <w:sz w:val="18"/>
          <w:szCs w:val="20"/>
        </w:rPr>
      </w:pPr>
      <w:r>
        <w:rPr>
          <w:rFonts w:ascii="Palatino Linotype" w:hAnsi="Palatino Linotype"/>
          <w:noProof/>
          <w:sz w:val="18"/>
          <w:szCs w:val="20"/>
        </w:rPr>
        <w:drawing>
          <wp:inline distT="0" distB="0" distL="0" distR="0" wp14:anchorId="1DD2DF7A" wp14:editId="5EFED54B">
            <wp:extent cx="5727700" cy="3752215"/>
            <wp:effectExtent l="0" t="0" r="6350" b="635"/>
            <wp:docPr id="10" name="Picture 1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bar chart&#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27700" cy="3752215"/>
                    </a:xfrm>
                    <a:prstGeom prst="rect">
                      <a:avLst/>
                    </a:prstGeom>
                    <a:noFill/>
                    <a:ln>
                      <a:noFill/>
                    </a:ln>
                  </pic:spPr>
                </pic:pic>
              </a:graphicData>
            </a:graphic>
          </wp:inline>
        </w:drawing>
      </w:r>
    </w:p>
    <w:p w14:paraId="2F78DD26" w14:textId="3001F664" w:rsidR="00314514" w:rsidRDefault="00314514" w:rsidP="00E375D6">
      <w:pPr>
        <w:spacing w:after="0"/>
        <w:rPr>
          <w:rFonts w:ascii="Palatino Linotype" w:hAnsi="Palatino Linotype"/>
          <w:sz w:val="18"/>
          <w:szCs w:val="20"/>
        </w:rPr>
      </w:pPr>
      <w:bookmarkStart w:id="4" w:name="_Hlk85028709"/>
      <w:r w:rsidRPr="00314514">
        <w:rPr>
          <w:rFonts w:ascii="Palatino Linotype" w:hAnsi="Palatino Linotype"/>
          <w:b/>
          <w:bCs/>
          <w:sz w:val="18"/>
          <w:szCs w:val="20"/>
        </w:rPr>
        <w:t>Figure S3.</w:t>
      </w:r>
      <w:r>
        <w:rPr>
          <w:rFonts w:ascii="Palatino Linotype" w:hAnsi="Palatino Linotype"/>
          <w:sz w:val="18"/>
          <w:szCs w:val="20"/>
        </w:rPr>
        <w:t xml:space="preserve"> </w:t>
      </w:r>
      <w:r w:rsidR="00A32461" w:rsidRPr="00A32461">
        <w:rPr>
          <w:rFonts w:ascii="Palatino Linotype" w:hAnsi="Palatino Linotype"/>
          <w:sz w:val="18"/>
          <w:szCs w:val="20"/>
        </w:rPr>
        <w:t xml:space="preserve">Speed of action of SumiShield against insecticide-susceptible </w:t>
      </w:r>
      <w:r w:rsidR="00A32461" w:rsidRPr="00A32461">
        <w:rPr>
          <w:rFonts w:ascii="Palatino Linotype" w:hAnsi="Palatino Linotype"/>
          <w:i/>
          <w:iCs/>
          <w:sz w:val="18"/>
          <w:szCs w:val="20"/>
        </w:rPr>
        <w:t>An</w:t>
      </w:r>
      <w:r w:rsidR="00B702DD">
        <w:rPr>
          <w:rFonts w:ascii="Palatino Linotype" w:hAnsi="Palatino Linotype"/>
          <w:i/>
          <w:iCs/>
          <w:sz w:val="18"/>
          <w:szCs w:val="20"/>
        </w:rPr>
        <w:t>.</w:t>
      </w:r>
      <w:r w:rsidR="00A32461" w:rsidRPr="00A32461">
        <w:rPr>
          <w:rFonts w:ascii="Palatino Linotype" w:hAnsi="Palatino Linotype"/>
          <w:i/>
          <w:iCs/>
          <w:sz w:val="18"/>
          <w:szCs w:val="20"/>
        </w:rPr>
        <w:t xml:space="preserve"> </w:t>
      </w:r>
      <w:r w:rsidR="00792F71" w:rsidRPr="00A32461">
        <w:rPr>
          <w:rFonts w:ascii="Palatino Linotype" w:hAnsi="Palatino Linotype"/>
          <w:i/>
          <w:iCs/>
          <w:sz w:val="18"/>
          <w:szCs w:val="20"/>
        </w:rPr>
        <w:t>G</w:t>
      </w:r>
      <w:r w:rsidR="00A32461" w:rsidRPr="00A32461">
        <w:rPr>
          <w:rFonts w:ascii="Palatino Linotype" w:hAnsi="Palatino Linotype"/>
          <w:i/>
          <w:iCs/>
          <w:sz w:val="18"/>
          <w:szCs w:val="20"/>
        </w:rPr>
        <w:t>ambiae</w:t>
      </w:r>
      <w:r w:rsidR="00792F71">
        <w:rPr>
          <w:rFonts w:ascii="Palatino Linotype" w:hAnsi="Palatino Linotype"/>
          <w:i/>
          <w:iCs/>
          <w:sz w:val="18"/>
          <w:szCs w:val="20"/>
        </w:rPr>
        <w:t xml:space="preserve"> </w:t>
      </w:r>
      <w:r w:rsidR="00792F71">
        <w:rPr>
          <w:rFonts w:ascii="Palatino Linotype" w:hAnsi="Palatino Linotype"/>
          <w:sz w:val="18"/>
          <w:szCs w:val="20"/>
        </w:rPr>
        <w:t>Kisumu</w:t>
      </w:r>
      <w:r w:rsidR="00A32461"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bookmarkEnd w:id="4"/>
      <w:r w:rsidR="0004590B">
        <w:rPr>
          <w:rFonts w:ascii="Palatino Linotype" w:hAnsi="Palatino Linotype"/>
          <w:sz w:val="18"/>
          <w:szCs w:val="20"/>
        </w:rPr>
        <w:t>.</w:t>
      </w:r>
    </w:p>
    <w:p w14:paraId="158CC421" w14:textId="6BC95EF6" w:rsidR="00314514" w:rsidRDefault="00D8275D" w:rsidP="00E375D6">
      <w:pPr>
        <w:spacing w:after="0"/>
        <w:rPr>
          <w:rFonts w:ascii="Palatino Linotype" w:hAnsi="Palatino Linotype"/>
          <w:sz w:val="18"/>
          <w:szCs w:val="20"/>
        </w:rPr>
      </w:pPr>
      <w:r>
        <w:rPr>
          <w:rFonts w:ascii="Palatino Linotype" w:hAnsi="Palatino Linotype"/>
          <w:noProof/>
          <w:sz w:val="18"/>
          <w:szCs w:val="20"/>
        </w:rPr>
        <w:lastRenderedPageBreak/>
        <w:drawing>
          <wp:inline distT="0" distB="0" distL="0" distR="0" wp14:anchorId="243629CD" wp14:editId="1DD767BF">
            <wp:extent cx="5727700" cy="3752215"/>
            <wp:effectExtent l="0" t="0" r="635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7700" cy="3752215"/>
                    </a:xfrm>
                    <a:prstGeom prst="rect">
                      <a:avLst/>
                    </a:prstGeom>
                    <a:noFill/>
                    <a:ln>
                      <a:noFill/>
                    </a:ln>
                  </pic:spPr>
                </pic:pic>
              </a:graphicData>
            </a:graphic>
          </wp:inline>
        </w:drawing>
      </w:r>
    </w:p>
    <w:p w14:paraId="58D321BE" w14:textId="5656313E" w:rsidR="00A32461" w:rsidRDefault="00314514" w:rsidP="00A32461">
      <w:pPr>
        <w:spacing w:after="0"/>
        <w:rPr>
          <w:rFonts w:ascii="Palatino Linotype" w:hAnsi="Palatino Linotype"/>
          <w:sz w:val="18"/>
          <w:szCs w:val="20"/>
        </w:rPr>
      </w:pPr>
      <w:r w:rsidRPr="00314514">
        <w:rPr>
          <w:rFonts w:ascii="Palatino Linotype" w:hAnsi="Palatino Linotype"/>
          <w:b/>
          <w:bCs/>
          <w:sz w:val="18"/>
          <w:szCs w:val="20"/>
        </w:rPr>
        <w:t>Figure S4.</w:t>
      </w:r>
      <w:r>
        <w:rPr>
          <w:rFonts w:ascii="Palatino Linotype" w:hAnsi="Palatino Linotype"/>
          <w:sz w:val="18"/>
          <w:szCs w:val="20"/>
        </w:rPr>
        <w:t xml:space="preserve"> </w:t>
      </w:r>
      <w:r w:rsidR="00A32461" w:rsidRPr="00A32461">
        <w:rPr>
          <w:rFonts w:ascii="Palatino Linotype" w:hAnsi="Palatino Linotype"/>
          <w:sz w:val="18"/>
          <w:szCs w:val="20"/>
        </w:rPr>
        <w:t>Speed of action of SumiShield against insecticide-</w:t>
      </w:r>
      <w:r w:rsidR="00B702DD">
        <w:rPr>
          <w:rFonts w:ascii="Palatino Linotype" w:hAnsi="Palatino Linotype"/>
          <w:sz w:val="18"/>
          <w:szCs w:val="20"/>
        </w:rPr>
        <w:t>resistant</w:t>
      </w:r>
      <w:r w:rsidR="00A32461" w:rsidRPr="00A32461">
        <w:rPr>
          <w:rFonts w:ascii="Palatino Linotype" w:hAnsi="Palatino Linotype"/>
          <w:sz w:val="18"/>
          <w:szCs w:val="20"/>
        </w:rPr>
        <w:t xml:space="preserve"> </w:t>
      </w:r>
      <w:r w:rsidR="00A32461" w:rsidRPr="00A32461">
        <w:rPr>
          <w:rFonts w:ascii="Palatino Linotype" w:hAnsi="Palatino Linotype"/>
          <w:i/>
          <w:iCs/>
          <w:sz w:val="18"/>
          <w:szCs w:val="20"/>
        </w:rPr>
        <w:t>An</w:t>
      </w:r>
      <w:r w:rsidR="00B702DD">
        <w:rPr>
          <w:rFonts w:ascii="Palatino Linotype" w:hAnsi="Palatino Linotype"/>
          <w:i/>
          <w:iCs/>
          <w:sz w:val="18"/>
          <w:szCs w:val="20"/>
        </w:rPr>
        <w:t>.</w:t>
      </w:r>
      <w:r w:rsidR="00A32461" w:rsidRPr="00A32461">
        <w:rPr>
          <w:rFonts w:ascii="Palatino Linotype" w:hAnsi="Palatino Linotype"/>
          <w:i/>
          <w:iCs/>
          <w:sz w:val="18"/>
          <w:szCs w:val="20"/>
        </w:rPr>
        <w:t xml:space="preserve"> </w:t>
      </w:r>
      <w:r w:rsidR="00792F71" w:rsidRPr="00A32461">
        <w:rPr>
          <w:rFonts w:ascii="Palatino Linotype" w:hAnsi="Palatino Linotype"/>
          <w:i/>
          <w:iCs/>
          <w:sz w:val="18"/>
          <w:szCs w:val="20"/>
        </w:rPr>
        <w:t>G</w:t>
      </w:r>
      <w:r w:rsidR="00A32461" w:rsidRPr="00A32461">
        <w:rPr>
          <w:rFonts w:ascii="Palatino Linotype" w:hAnsi="Palatino Linotype"/>
          <w:i/>
          <w:iCs/>
          <w:sz w:val="18"/>
          <w:szCs w:val="20"/>
        </w:rPr>
        <w:t>ambiae</w:t>
      </w:r>
      <w:r w:rsidR="00792F71">
        <w:rPr>
          <w:rFonts w:ascii="Palatino Linotype" w:hAnsi="Palatino Linotype"/>
          <w:i/>
          <w:iCs/>
          <w:sz w:val="18"/>
          <w:szCs w:val="20"/>
        </w:rPr>
        <w:t xml:space="preserve"> </w:t>
      </w:r>
      <w:r w:rsidR="00792F71">
        <w:rPr>
          <w:rFonts w:ascii="Palatino Linotype" w:hAnsi="Palatino Linotype"/>
          <w:sz w:val="18"/>
          <w:szCs w:val="20"/>
        </w:rPr>
        <w:t>VK7</w:t>
      </w:r>
      <w:r w:rsidR="00A32461"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r w:rsidR="0004590B">
        <w:rPr>
          <w:rFonts w:ascii="Palatino Linotype" w:hAnsi="Palatino Linotype"/>
          <w:sz w:val="18"/>
          <w:szCs w:val="20"/>
        </w:rPr>
        <w:t>.</w:t>
      </w:r>
    </w:p>
    <w:p w14:paraId="6D1C03FD" w14:textId="1FA013EB" w:rsidR="00B702DD" w:rsidRDefault="00B702DD" w:rsidP="00A32461">
      <w:pPr>
        <w:spacing w:after="0"/>
        <w:rPr>
          <w:rFonts w:ascii="Palatino Linotype" w:hAnsi="Palatino Linotype"/>
          <w:sz w:val="18"/>
          <w:szCs w:val="20"/>
        </w:rPr>
      </w:pPr>
    </w:p>
    <w:p w14:paraId="5B28CEB3" w14:textId="4FFD3B89" w:rsidR="00B702DD" w:rsidRDefault="00B702DD" w:rsidP="00A32461">
      <w:pPr>
        <w:spacing w:after="0"/>
        <w:rPr>
          <w:rFonts w:ascii="Palatino Linotype" w:hAnsi="Palatino Linotype"/>
          <w:sz w:val="18"/>
          <w:szCs w:val="20"/>
        </w:rPr>
      </w:pPr>
      <w:r>
        <w:rPr>
          <w:rFonts w:ascii="Palatino Linotype" w:hAnsi="Palatino Linotype"/>
          <w:noProof/>
          <w:sz w:val="18"/>
          <w:szCs w:val="20"/>
        </w:rPr>
        <w:drawing>
          <wp:inline distT="0" distB="0" distL="0" distR="0" wp14:anchorId="62529A5C" wp14:editId="258A9184">
            <wp:extent cx="5727700" cy="3752215"/>
            <wp:effectExtent l="0" t="0" r="635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7700" cy="3752215"/>
                    </a:xfrm>
                    <a:prstGeom prst="rect">
                      <a:avLst/>
                    </a:prstGeom>
                    <a:noFill/>
                    <a:ln>
                      <a:noFill/>
                    </a:ln>
                  </pic:spPr>
                </pic:pic>
              </a:graphicData>
            </a:graphic>
          </wp:inline>
        </w:drawing>
      </w:r>
    </w:p>
    <w:p w14:paraId="05F66680" w14:textId="78030331" w:rsidR="00B702DD" w:rsidRDefault="00B702DD" w:rsidP="00B702DD">
      <w:pPr>
        <w:spacing w:after="0"/>
        <w:rPr>
          <w:rFonts w:ascii="Palatino Linotype" w:hAnsi="Palatino Linotype"/>
          <w:sz w:val="18"/>
          <w:szCs w:val="20"/>
        </w:rPr>
      </w:pPr>
      <w:bookmarkStart w:id="5" w:name="_Hlk85723413"/>
      <w:r w:rsidRPr="00314514">
        <w:rPr>
          <w:rFonts w:ascii="Palatino Linotype" w:hAnsi="Palatino Linotype"/>
          <w:b/>
          <w:bCs/>
          <w:sz w:val="18"/>
          <w:szCs w:val="20"/>
        </w:rPr>
        <w:t>Figure S</w:t>
      </w:r>
      <w:r>
        <w:rPr>
          <w:rFonts w:ascii="Palatino Linotype" w:hAnsi="Palatino Linotype"/>
          <w:b/>
          <w:bCs/>
          <w:sz w:val="18"/>
          <w:szCs w:val="20"/>
        </w:rPr>
        <w:t>5</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 SumiShield against insecticide-</w:t>
      </w:r>
      <w:r>
        <w:rPr>
          <w:rFonts w:ascii="Palatino Linotype" w:hAnsi="Palatino Linotype"/>
          <w:sz w:val="18"/>
          <w:szCs w:val="20"/>
        </w:rPr>
        <w:t>susceptible</w:t>
      </w:r>
      <w:r w:rsidRPr="00A32461">
        <w:rPr>
          <w:rFonts w:ascii="Palatino Linotype" w:hAnsi="Palatino Linotype"/>
          <w:sz w:val="18"/>
          <w:szCs w:val="20"/>
        </w:rPr>
        <w:t xml:space="preserve"> </w:t>
      </w:r>
      <w:r w:rsidRPr="00B702DD">
        <w:rPr>
          <w:rFonts w:ascii="Palatino Linotype" w:hAnsi="Palatino Linotype"/>
          <w:i/>
          <w:iCs/>
          <w:sz w:val="18"/>
          <w:szCs w:val="20"/>
        </w:rPr>
        <w:t xml:space="preserve">Ae. </w:t>
      </w:r>
      <w:r w:rsidR="00792F71" w:rsidRPr="00B702DD">
        <w:rPr>
          <w:rFonts w:ascii="Palatino Linotype" w:hAnsi="Palatino Linotype"/>
          <w:i/>
          <w:iCs/>
          <w:sz w:val="18"/>
          <w:szCs w:val="20"/>
        </w:rPr>
        <w:t>A</w:t>
      </w:r>
      <w:r w:rsidRPr="00B702DD">
        <w:rPr>
          <w:rFonts w:ascii="Palatino Linotype" w:hAnsi="Palatino Linotype"/>
          <w:i/>
          <w:iCs/>
          <w:sz w:val="18"/>
          <w:szCs w:val="20"/>
        </w:rPr>
        <w:t>egypti</w:t>
      </w:r>
      <w:r w:rsidR="00792F71">
        <w:rPr>
          <w:rFonts w:ascii="Palatino Linotype" w:hAnsi="Palatino Linotype"/>
          <w:sz w:val="18"/>
          <w:szCs w:val="20"/>
        </w:rPr>
        <w:t xml:space="preserve"> New Orleans</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r w:rsidR="0004590B">
        <w:rPr>
          <w:rFonts w:ascii="Palatino Linotype" w:hAnsi="Palatino Linotype"/>
          <w:sz w:val="18"/>
          <w:szCs w:val="20"/>
        </w:rPr>
        <w:t>.</w:t>
      </w:r>
    </w:p>
    <w:bookmarkEnd w:id="5"/>
    <w:p w14:paraId="1C79C139" w14:textId="7FF6632D" w:rsidR="00B702DD" w:rsidRDefault="00B702DD" w:rsidP="00A32461">
      <w:pPr>
        <w:spacing w:after="0"/>
        <w:rPr>
          <w:rFonts w:ascii="Palatino Linotype" w:hAnsi="Palatino Linotype"/>
          <w:sz w:val="18"/>
          <w:szCs w:val="20"/>
        </w:rPr>
      </w:pPr>
    </w:p>
    <w:p w14:paraId="6AA85A63" w14:textId="542F6BBF" w:rsidR="00B702DD" w:rsidRDefault="00B702DD" w:rsidP="00B702DD">
      <w:pPr>
        <w:spacing w:after="0"/>
        <w:rPr>
          <w:rFonts w:ascii="Palatino Linotype" w:hAnsi="Palatino Linotype"/>
          <w:sz w:val="18"/>
          <w:szCs w:val="20"/>
        </w:rPr>
      </w:pPr>
      <w:r>
        <w:rPr>
          <w:rFonts w:ascii="Palatino Linotype" w:hAnsi="Palatino Linotype"/>
          <w:b/>
          <w:bCs/>
          <w:noProof/>
          <w:sz w:val="18"/>
          <w:szCs w:val="20"/>
        </w:rPr>
        <w:drawing>
          <wp:inline distT="0" distB="0" distL="0" distR="0" wp14:anchorId="7E6E0CFD" wp14:editId="723DEAD9">
            <wp:extent cx="5727700" cy="3752215"/>
            <wp:effectExtent l="0" t="0" r="635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7700" cy="3752215"/>
                    </a:xfrm>
                    <a:prstGeom prst="rect">
                      <a:avLst/>
                    </a:prstGeom>
                    <a:noFill/>
                    <a:ln>
                      <a:noFill/>
                    </a:ln>
                  </pic:spPr>
                </pic:pic>
              </a:graphicData>
            </a:graphic>
          </wp:inline>
        </w:drawing>
      </w:r>
      <w:bookmarkStart w:id="6" w:name="_Hlk85723430"/>
      <w:r>
        <w:rPr>
          <w:rFonts w:ascii="Palatino Linotype" w:hAnsi="Palatino Linotype"/>
          <w:b/>
          <w:bCs/>
          <w:sz w:val="18"/>
          <w:szCs w:val="20"/>
        </w:rPr>
        <w:t>Figure S6</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 SumiShield against insecticide-</w:t>
      </w:r>
      <w:r>
        <w:rPr>
          <w:rFonts w:ascii="Palatino Linotype" w:hAnsi="Palatino Linotype"/>
          <w:sz w:val="18"/>
          <w:szCs w:val="20"/>
        </w:rPr>
        <w:t>resistant</w:t>
      </w:r>
      <w:r w:rsidRPr="00A32461">
        <w:rPr>
          <w:rFonts w:ascii="Palatino Linotype" w:hAnsi="Palatino Linotype"/>
          <w:sz w:val="18"/>
          <w:szCs w:val="20"/>
        </w:rPr>
        <w:t xml:space="preserve"> </w:t>
      </w:r>
      <w:r w:rsidRPr="00B702DD">
        <w:rPr>
          <w:rFonts w:ascii="Palatino Linotype" w:hAnsi="Palatino Linotype"/>
          <w:i/>
          <w:iCs/>
          <w:sz w:val="18"/>
          <w:szCs w:val="20"/>
        </w:rPr>
        <w:t xml:space="preserve">Ae. </w:t>
      </w:r>
      <w:r w:rsidR="00792F71" w:rsidRPr="00B702DD">
        <w:rPr>
          <w:rFonts w:ascii="Palatino Linotype" w:hAnsi="Palatino Linotype"/>
          <w:i/>
          <w:iCs/>
          <w:sz w:val="18"/>
          <w:szCs w:val="20"/>
        </w:rPr>
        <w:t>A</w:t>
      </w:r>
      <w:r w:rsidRPr="00B702DD">
        <w:rPr>
          <w:rFonts w:ascii="Palatino Linotype" w:hAnsi="Palatino Linotype"/>
          <w:i/>
          <w:iCs/>
          <w:sz w:val="18"/>
          <w:szCs w:val="20"/>
        </w:rPr>
        <w:t>egypti</w:t>
      </w:r>
      <w:r w:rsidR="00792F71">
        <w:rPr>
          <w:rFonts w:ascii="Palatino Linotype" w:hAnsi="Palatino Linotype"/>
          <w:i/>
          <w:iCs/>
          <w:sz w:val="18"/>
          <w:szCs w:val="20"/>
        </w:rPr>
        <w:t xml:space="preserve"> </w:t>
      </w:r>
      <w:r w:rsidR="00792F71">
        <w:rPr>
          <w:rFonts w:ascii="Palatino Linotype" w:hAnsi="Palatino Linotype"/>
          <w:sz w:val="18"/>
          <w:szCs w:val="20"/>
        </w:rPr>
        <w:t>Cayman</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bookmarkEnd w:id="6"/>
      <w:r w:rsidR="0004590B">
        <w:rPr>
          <w:rFonts w:ascii="Palatino Linotype" w:hAnsi="Palatino Linotype"/>
          <w:sz w:val="18"/>
          <w:szCs w:val="20"/>
        </w:rPr>
        <w:t>.</w:t>
      </w:r>
    </w:p>
    <w:p w14:paraId="642D4D44" w14:textId="38FA0A23" w:rsidR="00B702DD" w:rsidRDefault="00B702DD" w:rsidP="00A32461">
      <w:pPr>
        <w:spacing w:after="0"/>
        <w:rPr>
          <w:rFonts w:ascii="Palatino Linotype" w:hAnsi="Palatino Linotype"/>
          <w:sz w:val="18"/>
          <w:szCs w:val="20"/>
        </w:rPr>
      </w:pPr>
    </w:p>
    <w:p w14:paraId="6B63B1C9" w14:textId="11333F37" w:rsidR="00B702DD" w:rsidRDefault="00324599" w:rsidP="00324599">
      <w:pPr>
        <w:spacing w:after="0"/>
        <w:jc w:val="center"/>
        <w:rPr>
          <w:rFonts w:ascii="Palatino Linotype" w:hAnsi="Palatino Linotype"/>
          <w:sz w:val="18"/>
          <w:szCs w:val="20"/>
        </w:rPr>
      </w:pPr>
      <w:r>
        <w:rPr>
          <w:noProof/>
        </w:rPr>
        <w:drawing>
          <wp:inline distT="0" distB="0" distL="0" distR="0" wp14:anchorId="3ABBA5F7" wp14:editId="4A712C47">
            <wp:extent cx="5731510" cy="3754755"/>
            <wp:effectExtent l="0" t="0" r="2540" b="0"/>
            <wp:docPr id="1" name="Picture 1"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5FE1C99B" w14:textId="785D3064" w:rsidR="00D242AC" w:rsidRDefault="00D242AC" w:rsidP="00D242AC">
      <w:pPr>
        <w:spacing w:after="0"/>
        <w:rPr>
          <w:rFonts w:ascii="Palatino Linotype" w:hAnsi="Palatino Linotype"/>
          <w:sz w:val="18"/>
          <w:szCs w:val="20"/>
        </w:rPr>
      </w:pPr>
      <w:bookmarkStart w:id="7" w:name="_Hlk85723447"/>
      <w:r w:rsidRPr="00314514">
        <w:rPr>
          <w:rFonts w:ascii="Palatino Linotype" w:hAnsi="Palatino Linotype"/>
          <w:b/>
          <w:bCs/>
          <w:sz w:val="18"/>
          <w:szCs w:val="20"/>
        </w:rPr>
        <w:t>Figure S</w:t>
      </w:r>
      <w:r w:rsidR="00792F71">
        <w:rPr>
          <w:rFonts w:ascii="Palatino Linotype" w:hAnsi="Palatino Linotype"/>
          <w:b/>
          <w:bCs/>
          <w:sz w:val="18"/>
          <w:szCs w:val="20"/>
        </w:rPr>
        <w:t>7</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w:t>
      </w:r>
      <w:r w:rsidR="00792F71" w:rsidRPr="007124E0">
        <w:rPr>
          <w:rFonts w:ascii="Palatino Linotype" w:hAnsi="Palatino Linotype"/>
          <w:sz w:val="18"/>
          <w:szCs w:val="20"/>
        </w:rPr>
        <w:t>K-Othrine</w:t>
      </w:r>
      <w:r w:rsidRPr="00A32461">
        <w:rPr>
          <w:rFonts w:ascii="Palatino Linotype" w:hAnsi="Palatino Linotype"/>
          <w:sz w:val="18"/>
          <w:szCs w:val="20"/>
        </w:rPr>
        <w:t xml:space="preserve"> </w:t>
      </w:r>
      <w:r w:rsidR="009B0F97">
        <w:rPr>
          <w:rFonts w:ascii="Palatino Linotype" w:hAnsi="Palatino Linotype"/>
          <w:sz w:val="18"/>
          <w:szCs w:val="20"/>
        </w:rPr>
        <w:t xml:space="preserve">(deltamethrin) </w:t>
      </w:r>
      <w:r w:rsidRPr="00A32461">
        <w:rPr>
          <w:rFonts w:ascii="Palatino Linotype" w:hAnsi="Palatino Linotype"/>
          <w:sz w:val="18"/>
          <w:szCs w:val="20"/>
        </w:rPr>
        <w:t>against insecticide-</w:t>
      </w:r>
      <w:r>
        <w:rPr>
          <w:rFonts w:ascii="Palatino Linotype" w:hAnsi="Palatino Linotype"/>
          <w:sz w:val="18"/>
          <w:szCs w:val="20"/>
        </w:rPr>
        <w:t>susceptible</w:t>
      </w:r>
      <w:r w:rsidR="00792F71">
        <w:rPr>
          <w:rFonts w:ascii="Palatino Linotype" w:hAnsi="Palatino Linotype"/>
          <w:i/>
          <w:iCs/>
          <w:sz w:val="18"/>
          <w:szCs w:val="20"/>
        </w:rPr>
        <w:t xml:space="preserve"> </w:t>
      </w:r>
      <w:r w:rsidR="00324599">
        <w:rPr>
          <w:rFonts w:ascii="Palatino Linotype" w:hAnsi="Palatino Linotype"/>
          <w:i/>
          <w:iCs/>
          <w:sz w:val="18"/>
          <w:szCs w:val="20"/>
        </w:rPr>
        <w:t xml:space="preserve">An. gambiae </w:t>
      </w:r>
      <w:r w:rsidR="00324599" w:rsidRPr="00324599">
        <w:rPr>
          <w:rFonts w:ascii="Palatino Linotype" w:hAnsi="Palatino Linotype"/>
          <w:sz w:val="18"/>
          <w:szCs w:val="20"/>
        </w:rPr>
        <w:t>Kisumu</w:t>
      </w:r>
      <w:r w:rsidRPr="00A32461">
        <w:rPr>
          <w:rFonts w:ascii="Palatino Linotype" w:hAnsi="Palatino Linotype"/>
          <w:sz w:val="18"/>
          <w:szCs w:val="20"/>
        </w:rPr>
        <w:t xml:space="preserve">. Cumulative mortality is shown by hours post-exposure to treated cement, mud, and wood surfaces, for each </w:t>
      </w:r>
      <w:r w:rsidRPr="00A32461">
        <w:rPr>
          <w:rFonts w:ascii="Palatino Linotype" w:hAnsi="Palatino Linotype"/>
          <w:sz w:val="18"/>
          <w:szCs w:val="20"/>
        </w:rPr>
        <w:lastRenderedPageBreak/>
        <w:t>month of the experiment. Time to reach the WHO-recommended 80% mortality threshold for an IRS product is marked with a red line</w:t>
      </w:r>
      <w:r w:rsidR="00324599">
        <w:rPr>
          <w:rFonts w:ascii="Palatino Linotype" w:hAnsi="Palatino Linotype"/>
          <w:sz w:val="18"/>
          <w:szCs w:val="20"/>
        </w:rPr>
        <w:t>.</w:t>
      </w:r>
    </w:p>
    <w:bookmarkEnd w:id="7"/>
    <w:p w14:paraId="10F9371A" w14:textId="77777777" w:rsidR="00324599" w:rsidRDefault="00324599" w:rsidP="00D242AC">
      <w:pPr>
        <w:spacing w:after="0"/>
        <w:rPr>
          <w:rFonts w:ascii="Palatino Linotype" w:hAnsi="Palatino Linotype"/>
          <w:sz w:val="18"/>
          <w:szCs w:val="20"/>
        </w:rPr>
      </w:pPr>
    </w:p>
    <w:p w14:paraId="1772D199" w14:textId="29F130D6" w:rsidR="00D242AC" w:rsidRDefault="00324599" w:rsidP="00324599">
      <w:pPr>
        <w:spacing w:after="0"/>
        <w:jc w:val="center"/>
        <w:rPr>
          <w:rFonts w:ascii="Palatino Linotype" w:hAnsi="Palatino Linotype"/>
          <w:lang w:val="en-US" w:eastAsia="de-DE" w:bidi="en-US"/>
        </w:rPr>
      </w:pPr>
      <w:r>
        <w:rPr>
          <w:noProof/>
        </w:rPr>
        <w:drawing>
          <wp:inline distT="0" distB="0" distL="0" distR="0" wp14:anchorId="0477811D" wp14:editId="436E8F91">
            <wp:extent cx="5731510" cy="3754755"/>
            <wp:effectExtent l="0" t="0" r="2540" b="0"/>
            <wp:docPr id="2" name="Picture 2"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6BF8AAAD" w14:textId="7AE7F39C" w:rsidR="00792F71" w:rsidRDefault="00792F71" w:rsidP="00792F71">
      <w:pPr>
        <w:spacing w:after="0"/>
        <w:rPr>
          <w:rFonts w:ascii="Palatino Linotype" w:hAnsi="Palatino Linotype"/>
          <w:sz w:val="18"/>
          <w:szCs w:val="20"/>
        </w:rPr>
      </w:pPr>
      <w:bookmarkStart w:id="8" w:name="_Hlk85723458"/>
      <w:r w:rsidRPr="00314514">
        <w:rPr>
          <w:rFonts w:ascii="Palatino Linotype" w:hAnsi="Palatino Linotype"/>
          <w:b/>
          <w:bCs/>
          <w:sz w:val="18"/>
          <w:szCs w:val="20"/>
        </w:rPr>
        <w:t>Figure S</w:t>
      </w:r>
      <w:r>
        <w:rPr>
          <w:rFonts w:ascii="Palatino Linotype" w:hAnsi="Palatino Linotype"/>
          <w:b/>
          <w:bCs/>
          <w:sz w:val="18"/>
          <w:szCs w:val="20"/>
        </w:rPr>
        <w:t>8</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w:t>
      </w:r>
      <w:r w:rsidRPr="007124E0">
        <w:rPr>
          <w:rFonts w:ascii="Palatino Linotype" w:hAnsi="Palatino Linotype"/>
          <w:sz w:val="18"/>
          <w:szCs w:val="20"/>
        </w:rPr>
        <w:t>K-Othrine</w:t>
      </w:r>
      <w:r w:rsidR="009B0F97">
        <w:rPr>
          <w:rFonts w:ascii="Palatino Linotype" w:hAnsi="Palatino Linotype"/>
          <w:sz w:val="18"/>
          <w:szCs w:val="20"/>
        </w:rPr>
        <w:t xml:space="preserve"> (deltamethrin)</w:t>
      </w:r>
      <w:r w:rsidRPr="00A32461">
        <w:rPr>
          <w:rFonts w:ascii="Palatino Linotype" w:hAnsi="Palatino Linotype"/>
          <w:sz w:val="18"/>
          <w:szCs w:val="20"/>
        </w:rPr>
        <w:t xml:space="preserve"> against insecticide-</w:t>
      </w:r>
      <w:r>
        <w:rPr>
          <w:rFonts w:ascii="Palatino Linotype" w:hAnsi="Palatino Linotype"/>
          <w:sz w:val="18"/>
          <w:szCs w:val="20"/>
        </w:rPr>
        <w:t>susceptible</w:t>
      </w:r>
      <w:r>
        <w:rPr>
          <w:rFonts w:ascii="Palatino Linotype" w:hAnsi="Palatino Linotype"/>
          <w:i/>
          <w:iCs/>
          <w:sz w:val="18"/>
          <w:szCs w:val="20"/>
        </w:rPr>
        <w:t xml:space="preserve"> </w:t>
      </w:r>
      <w:r w:rsidR="00324599">
        <w:rPr>
          <w:rFonts w:ascii="Palatino Linotype" w:hAnsi="Palatino Linotype"/>
          <w:i/>
          <w:iCs/>
          <w:sz w:val="18"/>
          <w:szCs w:val="20"/>
        </w:rPr>
        <w:t xml:space="preserve">An. funestus </w:t>
      </w:r>
      <w:r w:rsidR="00324599" w:rsidRPr="00324599">
        <w:rPr>
          <w:rFonts w:ascii="Palatino Linotype" w:hAnsi="Palatino Linotype"/>
          <w:sz w:val="18"/>
          <w:szCs w:val="20"/>
        </w:rPr>
        <w:t>Fang</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r w:rsidR="0004590B">
        <w:rPr>
          <w:rFonts w:ascii="Palatino Linotype" w:hAnsi="Palatino Linotype"/>
          <w:sz w:val="18"/>
          <w:szCs w:val="20"/>
        </w:rPr>
        <w:t>.</w:t>
      </w:r>
    </w:p>
    <w:bookmarkEnd w:id="8"/>
    <w:p w14:paraId="2126E3AA" w14:textId="3FD5A00E" w:rsidR="00792F71" w:rsidRDefault="00792F71" w:rsidP="00E375D6">
      <w:pPr>
        <w:spacing w:after="0"/>
        <w:rPr>
          <w:rFonts w:ascii="Palatino Linotype" w:hAnsi="Palatino Linotype"/>
          <w:lang w:val="en-US" w:eastAsia="de-DE" w:bidi="en-US"/>
        </w:rPr>
      </w:pPr>
    </w:p>
    <w:p w14:paraId="0169FE8C" w14:textId="0544A3FB" w:rsidR="00324599" w:rsidRDefault="00324599" w:rsidP="00324599">
      <w:pPr>
        <w:spacing w:after="0"/>
        <w:jc w:val="center"/>
        <w:rPr>
          <w:rFonts w:ascii="Palatino Linotype" w:hAnsi="Palatino Linotype"/>
          <w:lang w:val="en-US" w:eastAsia="de-DE" w:bidi="en-US"/>
        </w:rPr>
      </w:pPr>
      <w:r>
        <w:rPr>
          <w:noProof/>
        </w:rPr>
        <w:lastRenderedPageBreak/>
        <w:drawing>
          <wp:inline distT="0" distB="0" distL="0" distR="0" wp14:anchorId="787E1508" wp14:editId="77494FBC">
            <wp:extent cx="5731510" cy="3754755"/>
            <wp:effectExtent l="0" t="0" r="254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7B6E4235" w14:textId="7EA33398" w:rsidR="00792F71" w:rsidRDefault="00792F71" w:rsidP="00792F71">
      <w:pPr>
        <w:spacing w:after="0"/>
        <w:rPr>
          <w:rFonts w:ascii="Palatino Linotype" w:hAnsi="Palatino Linotype"/>
          <w:sz w:val="18"/>
          <w:szCs w:val="20"/>
        </w:rPr>
      </w:pPr>
      <w:bookmarkStart w:id="9" w:name="_Hlk85723470"/>
      <w:r w:rsidRPr="00314514">
        <w:rPr>
          <w:rFonts w:ascii="Palatino Linotype" w:hAnsi="Palatino Linotype"/>
          <w:b/>
          <w:bCs/>
          <w:sz w:val="18"/>
          <w:szCs w:val="20"/>
        </w:rPr>
        <w:t>Figure S</w:t>
      </w:r>
      <w:r>
        <w:rPr>
          <w:rFonts w:ascii="Palatino Linotype" w:hAnsi="Palatino Linotype"/>
          <w:b/>
          <w:bCs/>
          <w:sz w:val="18"/>
          <w:szCs w:val="20"/>
        </w:rPr>
        <w:t>9</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w:t>
      </w:r>
      <w:r w:rsidRPr="007124E0">
        <w:rPr>
          <w:rFonts w:ascii="Palatino Linotype" w:hAnsi="Palatino Linotype"/>
          <w:sz w:val="18"/>
          <w:szCs w:val="20"/>
        </w:rPr>
        <w:t>K-Othrine</w:t>
      </w:r>
      <w:r w:rsidRPr="00A32461">
        <w:rPr>
          <w:rFonts w:ascii="Palatino Linotype" w:hAnsi="Palatino Linotype"/>
          <w:sz w:val="18"/>
          <w:szCs w:val="20"/>
        </w:rPr>
        <w:t xml:space="preserve"> </w:t>
      </w:r>
      <w:r w:rsidR="009B0F97">
        <w:rPr>
          <w:rFonts w:ascii="Palatino Linotype" w:hAnsi="Palatino Linotype"/>
          <w:sz w:val="18"/>
          <w:szCs w:val="20"/>
        </w:rPr>
        <w:t xml:space="preserve">(deltamethrin) </w:t>
      </w:r>
      <w:r w:rsidRPr="00A32461">
        <w:rPr>
          <w:rFonts w:ascii="Palatino Linotype" w:hAnsi="Palatino Linotype"/>
          <w:sz w:val="18"/>
          <w:szCs w:val="20"/>
        </w:rPr>
        <w:t>against insecticide-</w:t>
      </w:r>
      <w:r>
        <w:rPr>
          <w:rFonts w:ascii="Palatino Linotype" w:hAnsi="Palatino Linotype"/>
          <w:sz w:val="18"/>
          <w:szCs w:val="20"/>
        </w:rPr>
        <w:t>susceptible</w:t>
      </w:r>
      <w:r>
        <w:rPr>
          <w:rFonts w:ascii="Palatino Linotype" w:hAnsi="Palatino Linotype"/>
          <w:i/>
          <w:iCs/>
          <w:sz w:val="18"/>
          <w:szCs w:val="20"/>
        </w:rPr>
        <w:t xml:space="preserve"> </w:t>
      </w:r>
      <w:r w:rsidR="00324599">
        <w:rPr>
          <w:rFonts w:ascii="Palatino Linotype" w:hAnsi="Palatino Linotype"/>
          <w:i/>
          <w:iCs/>
          <w:sz w:val="18"/>
          <w:szCs w:val="20"/>
        </w:rPr>
        <w:t xml:space="preserve">Ae. </w:t>
      </w:r>
      <w:r w:rsidR="009B0F97">
        <w:rPr>
          <w:rFonts w:ascii="Palatino Linotype" w:hAnsi="Palatino Linotype"/>
          <w:i/>
          <w:iCs/>
          <w:sz w:val="18"/>
          <w:szCs w:val="20"/>
        </w:rPr>
        <w:t>a</w:t>
      </w:r>
      <w:r w:rsidR="00324599">
        <w:rPr>
          <w:rFonts w:ascii="Palatino Linotype" w:hAnsi="Palatino Linotype"/>
          <w:i/>
          <w:iCs/>
          <w:sz w:val="18"/>
          <w:szCs w:val="20"/>
        </w:rPr>
        <w:t xml:space="preserve">egypti </w:t>
      </w:r>
      <w:r w:rsidR="00324599" w:rsidRPr="00324599">
        <w:rPr>
          <w:rFonts w:ascii="Palatino Linotype" w:hAnsi="Palatino Linotype"/>
          <w:sz w:val="18"/>
          <w:szCs w:val="20"/>
        </w:rPr>
        <w:t>New Orleans</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r w:rsidR="0004590B">
        <w:rPr>
          <w:rFonts w:ascii="Palatino Linotype" w:hAnsi="Palatino Linotype"/>
          <w:sz w:val="18"/>
          <w:szCs w:val="20"/>
        </w:rPr>
        <w:t>.</w:t>
      </w:r>
    </w:p>
    <w:bookmarkEnd w:id="9"/>
    <w:p w14:paraId="6DB95E94" w14:textId="5185B073" w:rsidR="00792F71" w:rsidRDefault="00792F71" w:rsidP="00E375D6">
      <w:pPr>
        <w:spacing w:after="0"/>
        <w:rPr>
          <w:rFonts w:ascii="Palatino Linotype" w:hAnsi="Palatino Linotype"/>
          <w:lang w:val="en-US" w:eastAsia="de-DE" w:bidi="en-US"/>
        </w:rPr>
      </w:pPr>
    </w:p>
    <w:p w14:paraId="10CEFEBA" w14:textId="08EB273F" w:rsidR="00F27BCE" w:rsidRDefault="00F27BCE" w:rsidP="00F27BCE">
      <w:pPr>
        <w:spacing w:after="0"/>
        <w:jc w:val="center"/>
        <w:rPr>
          <w:rFonts w:ascii="Palatino Linotype" w:hAnsi="Palatino Linotype"/>
          <w:lang w:val="en-US" w:eastAsia="de-DE" w:bidi="en-US"/>
        </w:rPr>
      </w:pPr>
      <w:r>
        <w:rPr>
          <w:noProof/>
        </w:rPr>
        <w:drawing>
          <wp:inline distT="0" distB="0" distL="0" distR="0" wp14:anchorId="4068F51B" wp14:editId="5A2045EF">
            <wp:extent cx="5731510" cy="3754755"/>
            <wp:effectExtent l="0" t="0" r="2540" b="0"/>
            <wp:docPr id="4" name="Picture 4"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alenda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61C2FB2C" w14:textId="410A64E6" w:rsidR="009B0F97" w:rsidRDefault="009B0F97" w:rsidP="009B0F97">
      <w:pPr>
        <w:spacing w:after="0"/>
        <w:rPr>
          <w:rFonts w:ascii="Palatino Linotype" w:hAnsi="Palatino Linotype"/>
          <w:sz w:val="18"/>
          <w:szCs w:val="20"/>
        </w:rPr>
      </w:pPr>
      <w:bookmarkStart w:id="10" w:name="_Hlk85723488"/>
      <w:r w:rsidRPr="00314514">
        <w:rPr>
          <w:rFonts w:ascii="Palatino Linotype" w:hAnsi="Palatino Linotype"/>
          <w:b/>
          <w:bCs/>
          <w:sz w:val="18"/>
          <w:szCs w:val="20"/>
        </w:rPr>
        <w:t>Figure S</w:t>
      </w:r>
      <w:r>
        <w:rPr>
          <w:rFonts w:ascii="Palatino Linotype" w:hAnsi="Palatino Linotype"/>
          <w:b/>
          <w:bCs/>
          <w:sz w:val="18"/>
          <w:szCs w:val="20"/>
        </w:rPr>
        <w:t>10</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w:t>
      </w:r>
      <w:r w:rsidRPr="007124E0">
        <w:rPr>
          <w:rFonts w:ascii="Palatino Linotype" w:hAnsi="Palatino Linotype"/>
          <w:sz w:val="18"/>
          <w:szCs w:val="20"/>
        </w:rPr>
        <w:t>K-Othrine</w:t>
      </w:r>
      <w:r w:rsidRPr="00A32461">
        <w:rPr>
          <w:rFonts w:ascii="Palatino Linotype" w:hAnsi="Palatino Linotype"/>
          <w:sz w:val="18"/>
          <w:szCs w:val="20"/>
        </w:rPr>
        <w:t xml:space="preserve"> </w:t>
      </w:r>
      <w:r>
        <w:rPr>
          <w:rFonts w:ascii="Palatino Linotype" w:hAnsi="Palatino Linotype"/>
          <w:sz w:val="18"/>
          <w:szCs w:val="20"/>
        </w:rPr>
        <w:t xml:space="preserve">(deltamethrin) </w:t>
      </w:r>
      <w:r w:rsidRPr="00A32461">
        <w:rPr>
          <w:rFonts w:ascii="Palatino Linotype" w:hAnsi="Palatino Linotype"/>
          <w:sz w:val="18"/>
          <w:szCs w:val="20"/>
        </w:rPr>
        <w:t>against insecticide-</w:t>
      </w:r>
      <w:r>
        <w:rPr>
          <w:rFonts w:ascii="Palatino Linotype" w:hAnsi="Palatino Linotype"/>
          <w:sz w:val="18"/>
          <w:szCs w:val="20"/>
        </w:rPr>
        <w:t xml:space="preserve">resistant </w:t>
      </w:r>
      <w:r w:rsidRPr="009B0F97">
        <w:rPr>
          <w:rFonts w:ascii="Palatino Linotype" w:hAnsi="Palatino Linotype"/>
          <w:i/>
          <w:iCs/>
          <w:sz w:val="18"/>
          <w:szCs w:val="20"/>
        </w:rPr>
        <w:t>An. gambiae</w:t>
      </w:r>
      <w:r>
        <w:rPr>
          <w:rFonts w:ascii="Palatino Linotype" w:hAnsi="Palatino Linotype"/>
          <w:sz w:val="18"/>
          <w:szCs w:val="20"/>
        </w:rPr>
        <w:t xml:space="preserve"> VK7 2014</w:t>
      </w:r>
      <w:r w:rsidRPr="00A32461">
        <w:rPr>
          <w:rFonts w:ascii="Palatino Linotype" w:hAnsi="Palatino Linotype"/>
          <w:sz w:val="18"/>
          <w:szCs w:val="20"/>
        </w:rPr>
        <w:t xml:space="preserve">. Cumulative mortality is shown by hours post-exposure to treated cement, mud, and wood surfaces, for each </w:t>
      </w:r>
      <w:r w:rsidRPr="00A32461">
        <w:rPr>
          <w:rFonts w:ascii="Palatino Linotype" w:hAnsi="Palatino Linotype"/>
          <w:sz w:val="18"/>
          <w:szCs w:val="20"/>
        </w:rPr>
        <w:lastRenderedPageBreak/>
        <w:t>month of the experiment. Time to reach the WHO-recommended 80% mortality threshold for an IRS product is marked with a red line</w:t>
      </w:r>
      <w:r>
        <w:rPr>
          <w:rFonts w:ascii="Palatino Linotype" w:hAnsi="Palatino Linotype"/>
          <w:sz w:val="18"/>
          <w:szCs w:val="20"/>
        </w:rPr>
        <w:t>.</w:t>
      </w:r>
    </w:p>
    <w:bookmarkEnd w:id="10"/>
    <w:p w14:paraId="46CDA073" w14:textId="46D5B4BD" w:rsidR="009B0F97" w:rsidRDefault="00F27BCE" w:rsidP="00F27BCE">
      <w:pPr>
        <w:tabs>
          <w:tab w:val="left" w:pos="1710"/>
        </w:tabs>
        <w:spacing w:after="0"/>
        <w:rPr>
          <w:rFonts w:ascii="Palatino Linotype" w:hAnsi="Palatino Linotype"/>
          <w:sz w:val="18"/>
          <w:szCs w:val="20"/>
        </w:rPr>
      </w:pPr>
      <w:r>
        <w:rPr>
          <w:rFonts w:ascii="Palatino Linotype" w:hAnsi="Palatino Linotype"/>
          <w:sz w:val="18"/>
          <w:szCs w:val="20"/>
        </w:rPr>
        <w:tab/>
      </w:r>
    </w:p>
    <w:p w14:paraId="0F839A8B" w14:textId="6127D468" w:rsidR="00F27BCE" w:rsidRDefault="00F27BCE" w:rsidP="00F27BCE">
      <w:pPr>
        <w:tabs>
          <w:tab w:val="left" w:pos="1710"/>
        </w:tabs>
        <w:spacing w:after="0"/>
        <w:jc w:val="center"/>
        <w:rPr>
          <w:rFonts w:ascii="Palatino Linotype" w:hAnsi="Palatino Linotype"/>
          <w:sz w:val="18"/>
          <w:szCs w:val="20"/>
        </w:rPr>
      </w:pPr>
      <w:r>
        <w:rPr>
          <w:noProof/>
        </w:rPr>
        <w:drawing>
          <wp:inline distT="0" distB="0" distL="0" distR="0" wp14:anchorId="021182A6" wp14:editId="5B7E587D">
            <wp:extent cx="5731510" cy="3754755"/>
            <wp:effectExtent l="0" t="0" r="2540" b="0"/>
            <wp:docPr id="5" name="Picture 5"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alendar&#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5D5E2477" w14:textId="64D0D0F0" w:rsidR="009B0F97" w:rsidRDefault="009B0F97" w:rsidP="009B0F97">
      <w:pPr>
        <w:spacing w:after="0"/>
        <w:rPr>
          <w:rFonts w:ascii="Palatino Linotype" w:hAnsi="Palatino Linotype"/>
          <w:sz w:val="18"/>
          <w:szCs w:val="20"/>
        </w:rPr>
      </w:pPr>
      <w:bookmarkStart w:id="11" w:name="_Hlk85723498"/>
      <w:r w:rsidRPr="00314514">
        <w:rPr>
          <w:rFonts w:ascii="Palatino Linotype" w:hAnsi="Palatino Linotype"/>
          <w:b/>
          <w:bCs/>
          <w:sz w:val="18"/>
          <w:szCs w:val="20"/>
        </w:rPr>
        <w:t>Figure S</w:t>
      </w:r>
      <w:r>
        <w:rPr>
          <w:rFonts w:ascii="Palatino Linotype" w:hAnsi="Palatino Linotype"/>
          <w:b/>
          <w:bCs/>
          <w:sz w:val="18"/>
          <w:szCs w:val="20"/>
        </w:rPr>
        <w:t>11</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w:t>
      </w:r>
      <w:r w:rsidRPr="007124E0">
        <w:rPr>
          <w:rFonts w:ascii="Palatino Linotype" w:hAnsi="Palatino Linotype"/>
          <w:sz w:val="18"/>
          <w:szCs w:val="20"/>
        </w:rPr>
        <w:t>K-Othrine</w:t>
      </w:r>
      <w:r w:rsidRPr="00A32461">
        <w:rPr>
          <w:rFonts w:ascii="Palatino Linotype" w:hAnsi="Palatino Linotype"/>
          <w:sz w:val="18"/>
          <w:szCs w:val="20"/>
        </w:rPr>
        <w:t xml:space="preserve"> </w:t>
      </w:r>
      <w:r>
        <w:rPr>
          <w:rFonts w:ascii="Palatino Linotype" w:hAnsi="Palatino Linotype"/>
          <w:sz w:val="18"/>
          <w:szCs w:val="20"/>
        </w:rPr>
        <w:t xml:space="preserve">(deltamethrin) </w:t>
      </w:r>
      <w:r w:rsidRPr="00A32461">
        <w:rPr>
          <w:rFonts w:ascii="Palatino Linotype" w:hAnsi="Palatino Linotype"/>
          <w:sz w:val="18"/>
          <w:szCs w:val="20"/>
        </w:rPr>
        <w:t>against insecticide-</w:t>
      </w:r>
      <w:r>
        <w:rPr>
          <w:rFonts w:ascii="Palatino Linotype" w:hAnsi="Palatino Linotype"/>
          <w:sz w:val="18"/>
          <w:szCs w:val="20"/>
        </w:rPr>
        <w:t xml:space="preserve">resistant </w:t>
      </w:r>
      <w:r w:rsidRPr="009B0F97">
        <w:rPr>
          <w:rFonts w:ascii="Palatino Linotype" w:hAnsi="Palatino Linotype"/>
          <w:i/>
          <w:iCs/>
          <w:sz w:val="18"/>
          <w:szCs w:val="20"/>
        </w:rPr>
        <w:t>An. funestus</w:t>
      </w:r>
      <w:r>
        <w:rPr>
          <w:rFonts w:ascii="Palatino Linotype" w:hAnsi="Palatino Linotype"/>
          <w:sz w:val="18"/>
          <w:szCs w:val="20"/>
        </w:rPr>
        <w:t xml:space="preserve"> FUMOZ-R</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r>
        <w:rPr>
          <w:rFonts w:ascii="Palatino Linotype" w:hAnsi="Palatino Linotype"/>
          <w:sz w:val="18"/>
          <w:szCs w:val="20"/>
        </w:rPr>
        <w:t>.</w:t>
      </w:r>
    </w:p>
    <w:bookmarkEnd w:id="11"/>
    <w:p w14:paraId="39EC807F" w14:textId="191593C5" w:rsidR="009B0F97" w:rsidRDefault="009B0F97" w:rsidP="009B0F97">
      <w:pPr>
        <w:spacing w:after="0"/>
        <w:rPr>
          <w:rFonts w:ascii="Palatino Linotype" w:hAnsi="Palatino Linotype"/>
          <w:sz w:val="18"/>
          <w:szCs w:val="20"/>
        </w:rPr>
      </w:pPr>
    </w:p>
    <w:p w14:paraId="6BD2B6AB" w14:textId="029933FD" w:rsidR="00F27BCE" w:rsidRDefault="00F27BCE" w:rsidP="00F27BCE">
      <w:pPr>
        <w:spacing w:after="0"/>
        <w:jc w:val="center"/>
        <w:rPr>
          <w:rFonts w:ascii="Palatino Linotype" w:hAnsi="Palatino Linotype"/>
          <w:sz w:val="18"/>
          <w:szCs w:val="20"/>
        </w:rPr>
      </w:pPr>
      <w:r>
        <w:rPr>
          <w:noProof/>
        </w:rPr>
        <w:drawing>
          <wp:inline distT="0" distB="0" distL="0" distR="0" wp14:anchorId="464B761D" wp14:editId="15B04EDA">
            <wp:extent cx="5731510" cy="3754755"/>
            <wp:effectExtent l="0" t="0" r="2540" b="0"/>
            <wp:docPr id="6" name="Picture 6"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alenda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7FA9BF65" w14:textId="00F919FF" w:rsidR="009B0F97" w:rsidRDefault="009B0F97" w:rsidP="009B0F97">
      <w:pPr>
        <w:spacing w:after="0"/>
        <w:rPr>
          <w:rFonts w:ascii="Palatino Linotype" w:hAnsi="Palatino Linotype"/>
          <w:sz w:val="18"/>
          <w:szCs w:val="20"/>
        </w:rPr>
      </w:pPr>
      <w:bookmarkStart w:id="12" w:name="_Hlk85723508"/>
      <w:r w:rsidRPr="00314514">
        <w:rPr>
          <w:rFonts w:ascii="Palatino Linotype" w:hAnsi="Palatino Linotype"/>
          <w:b/>
          <w:bCs/>
          <w:sz w:val="18"/>
          <w:szCs w:val="20"/>
        </w:rPr>
        <w:lastRenderedPageBreak/>
        <w:t>Figure S</w:t>
      </w:r>
      <w:r>
        <w:rPr>
          <w:rFonts w:ascii="Palatino Linotype" w:hAnsi="Palatino Linotype"/>
          <w:b/>
          <w:bCs/>
          <w:sz w:val="18"/>
          <w:szCs w:val="20"/>
        </w:rPr>
        <w:t>12</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w:t>
      </w:r>
      <w:r w:rsidRPr="007124E0">
        <w:rPr>
          <w:rFonts w:ascii="Palatino Linotype" w:hAnsi="Palatino Linotype"/>
          <w:sz w:val="18"/>
          <w:szCs w:val="20"/>
        </w:rPr>
        <w:t>K-Othrine</w:t>
      </w:r>
      <w:r w:rsidRPr="00A32461">
        <w:rPr>
          <w:rFonts w:ascii="Palatino Linotype" w:hAnsi="Palatino Linotype"/>
          <w:sz w:val="18"/>
          <w:szCs w:val="20"/>
        </w:rPr>
        <w:t xml:space="preserve"> </w:t>
      </w:r>
      <w:r>
        <w:rPr>
          <w:rFonts w:ascii="Palatino Linotype" w:hAnsi="Palatino Linotype"/>
          <w:sz w:val="18"/>
          <w:szCs w:val="20"/>
        </w:rPr>
        <w:t xml:space="preserve">(deltamethrin) </w:t>
      </w:r>
      <w:r w:rsidRPr="00A32461">
        <w:rPr>
          <w:rFonts w:ascii="Palatino Linotype" w:hAnsi="Palatino Linotype"/>
          <w:sz w:val="18"/>
          <w:szCs w:val="20"/>
        </w:rPr>
        <w:t>against insecticide-</w:t>
      </w:r>
      <w:r>
        <w:rPr>
          <w:rFonts w:ascii="Palatino Linotype" w:hAnsi="Palatino Linotype"/>
          <w:sz w:val="18"/>
          <w:szCs w:val="20"/>
        </w:rPr>
        <w:t xml:space="preserve">resistant </w:t>
      </w:r>
      <w:r w:rsidRPr="009B0F97">
        <w:rPr>
          <w:rFonts w:ascii="Palatino Linotype" w:hAnsi="Palatino Linotype"/>
          <w:i/>
          <w:iCs/>
          <w:sz w:val="18"/>
          <w:szCs w:val="20"/>
        </w:rPr>
        <w:t>Ae.</w:t>
      </w:r>
      <w:r>
        <w:rPr>
          <w:rFonts w:ascii="Palatino Linotype" w:hAnsi="Palatino Linotype"/>
          <w:sz w:val="18"/>
          <w:szCs w:val="20"/>
        </w:rPr>
        <w:t xml:space="preserve"> </w:t>
      </w:r>
      <w:r>
        <w:rPr>
          <w:rFonts w:ascii="Palatino Linotype" w:hAnsi="Palatino Linotype"/>
          <w:i/>
          <w:iCs/>
          <w:sz w:val="18"/>
          <w:szCs w:val="20"/>
        </w:rPr>
        <w:t xml:space="preserve">aegypti </w:t>
      </w:r>
      <w:r>
        <w:rPr>
          <w:rFonts w:ascii="Palatino Linotype" w:hAnsi="Palatino Linotype"/>
          <w:sz w:val="18"/>
          <w:szCs w:val="20"/>
        </w:rPr>
        <w:t>Cayman</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p>
    <w:bookmarkEnd w:id="12"/>
    <w:p w14:paraId="7FDC0DBD" w14:textId="3AFBF035" w:rsidR="009B0F97" w:rsidRDefault="009B0F97" w:rsidP="00E375D6">
      <w:pPr>
        <w:spacing w:after="0"/>
        <w:rPr>
          <w:rFonts w:ascii="Palatino Linotype" w:hAnsi="Palatino Linotype"/>
          <w:lang w:val="en-US" w:eastAsia="de-DE" w:bidi="en-US"/>
        </w:rPr>
      </w:pPr>
    </w:p>
    <w:p w14:paraId="6E3AED74" w14:textId="7BCB909C" w:rsidR="00297BBC" w:rsidRDefault="00297BBC" w:rsidP="00297BBC">
      <w:pPr>
        <w:spacing w:after="0"/>
        <w:jc w:val="center"/>
        <w:rPr>
          <w:rFonts w:ascii="Palatino Linotype" w:hAnsi="Palatino Linotype"/>
          <w:lang w:val="en-US" w:eastAsia="de-DE" w:bidi="en-US"/>
        </w:rPr>
      </w:pPr>
      <w:r>
        <w:rPr>
          <w:noProof/>
        </w:rPr>
        <w:drawing>
          <wp:inline distT="0" distB="0" distL="0" distR="0" wp14:anchorId="4E05DE2A" wp14:editId="44295694">
            <wp:extent cx="5731510" cy="3754755"/>
            <wp:effectExtent l="0" t="0" r="2540" b="0"/>
            <wp:docPr id="9" name="Picture 9"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alenda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3329D3C1" w14:textId="07DCBB77" w:rsidR="00297BBC" w:rsidRDefault="00297BBC" w:rsidP="00297BBC">
      <w:pPr>
        <w:spacing w:after="0"/>
        <w:rPr>
          <w:rFonts w:ascii="Palatino Linotype" w:hAnsi="Palatino Linotype"/>
          <w:sz w:val="18"/>
          <w:szCs w:val="20"/>
        </w:rPr>
      </w:pPr>
      <w:bookmarkStart w:id="13" w:name="_Hlk85723516"/>
      <w:r w:rsidRPr="00314514">
        <w:rPr>
          <w:rFonts w:ascii="Palatino Linotype" w:hAnsi="Palatino Linotype"/>
          <w:b/>
          <w:bCs/>
          <w:sz w:val="18"/>
          <w:szCs w:val="20"/>
        </w:rPr>
        <w:t>Figure S</w:t>
      </w:r>
      <w:r>
        <w:rPr>
          <w:rFonts w:ascii="Palatino Linotype" w:hAnsi="Palatino Linotype"/>
          <w:b/>
          <w:bCs/>
          <w:sz w:val="18"/>
          <w:szCs w:val="20"/>
        </w:rPr>
        <w:t>13</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purified water control </w:t>
      </w:r>
      <w:r w:rsidRPr="00A32461">
        <w:rPr>
          <w:rFonts w:ascii="Palatino Linotype" w:hAnsi="Palatino Linotype"/>
          <w:sz w:val="18"/>
          <w:szCs w:val="20"/>
        </w:rPr>
        <w:t>against insecticide-</w:t>
      </w:r>
      <w:r>
        <w:rPr>
          <w:rFonts w:ascii="Palatino Linotype" w:hAnsi="Palatino Linotype"/>
          <w:sz w:val="18"/>
          <w:szCs w:val="20"/>
        </w:rPr>
        <w:t xml:space="preserve">susceptible </w:t>
      </w:r>
      <w:r w:rsidRPr="00297BBC">
        <w:rPr>
          <w:rFonts w:ascii="Palatino Linotype" w:hAnsi="Palatino Linotype"/>
          <w:i/>
          <w:iCs/>
          <w:sz w:val="18"/>
          <w:szCs w:val="20"/>
        </w:rPr>
        <w:t>An. gambiae</w:t>
      </w:r>
      <w:r>
        <w:rPr>
          <w:rFonts w:ascii="Palatino Linotype" w:hAnsi="Palatino Linotype"/>
          <w:sz w:val="18"/>
          <w:szCs w:val="20"/>
        </w:rPr>
        <w:t xml:space="preserve"> </w:t>
      </w:r>
      <w:proofErr w:type="spellStart"/>
      <w:r>
        <w:rPr>
          <w:rFonts w:ascii="Palatino Linotype" w:hAnsi="Palatino Linotype"/>
          <w:sz w:val="18"/>
          <w:szCs w:val="20"/>
        </w:rPr>
        <w:t>kisumu</w:t>
      </w:r>
      <w:proofErr w:type="spellEnd"/>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p>
    <w:bookmarkEnd w:id="13"/>
    <w:p w14:paraId="46A1403A" w14:textId="343F7EA8" w:rsidR="00297BBC" w:rsidRDefault="00297BBC" w:rsidP="00E375D6">
      <w:pPr>
        <w:spacing w:after="0"/>
        <w:rPr>
          <w:rFonts w:ascii="Palatino Linotype" w:hAnsi="Palatino Linotype"/>
          <w:lang w:val="en-US" w:eastAsia="de-DE" w:bidi="en-US"/>
        </w:rPr>
      </w:pPr>
    </w:p>
    <w:p w14:paraId="02EAB3B3" w14:textId="3F416001" w:rsidR="00297BBC" w:rsidRDefault="00297BBC" w:rsidP="00297BBC">
      <w:pPr>
        <w:spacing w:after="0"/>
        <w:jc w:val="center"/>
        <w:rPr>
          <w:rFonts w:ascii="Palatino Linotype" w:hAnsi="Palatino Linotype"/>
          <w:lang w:val="en-US" w:eastAsia="de-DE" w:bidi="en-US"/>
        </w:rPr>
      </w:pPr>
      <w:r>
        <w:rPr>
          <w:noProof/>
        </w:rPr>
        <w:lastRenderedPageBreak/>
        <w:drawing>
          <wp:inline distT="0" distB="0" distL="0" distR="0" wp14:anchorId="507546D3" wp14:editId="0D678C5B">
            <wp:extent cx="5731510" cy="3754755"/>
            <wp:effectExtent l="0" t="0" r="2540" b="0"/>
            <wp:docPr id="11" name="Picture 11"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alenda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76F31233" w14:textId="7FECA33E" w:rsidR="00297BBC" w:rsidRDefault="00297BBC" w:rsidP="00297BBC">
      <w:pPr>
        <w:spacing w:after="0"/>
        <w:rPr>
          <w:rFonts w:ascii="Palatino Linotype" w:hAnsi="Palatino Linotype"/>
          <w:sz w:val="18"/>
          <w:szCs w:val="20"/>
        </w:rPr>
      </w:pPr>
      <w:bookmarkStart w:id="14" w:name="_Hlk85723524"/>
      <w:r w:rsidRPr="00314514">
        <w:rPr>
          <w:rFonts w:ascii="Palatino Linotype" w:hAnsi="Palatino Linotype"/>
          <w:b/>
          <w:bCs/>
          <w:sz w:val="18"/>
          <w:szCs w:val="20"/>
        </w:rPr>
        <w:t>Figure S</w:t>
      </w:r>
      <w:r>
        <w:rPr>
          <w:rFonts w:ascii="Palatino Linotype" w:hAnsi="Palatino Linotype"/>
          <w:b/>
          <w:bCs/>
          <w:sz w:val="18"/>
          <w:szCs w:val="20"/>
        </w:rPr>
        <w:t>14</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purified water control </w:t>
      </w:r>
      <w:r w:rsidRPr="00A32461">
        <w:rPr>
          <w:rFonts w:ascii="Palatino Linotype" w:hAnsi="Palatino Linotype"/>
          <w:sz w:val="18"/>
          <w:szCs w:val="20"/>
        </w:rPr>
        <w:t>against insecticide-</w:t>
      </w:r>
      <w:r>
        <w:rPr>
          <w:rFonts w:ascii="Palatino Linotype" w:hAnsi="Palatino Linotype"/>
          <w:sz w:val="18"/>
          <w:szCs w:val="20"/>
        </w:rPr>
        <w:t xml:space="preserve">resistant </w:t>
      </w:r>
      <w:r w:rsidRPr="00297BBC">
        <w:rPr>
          <w:rFonts w:ascii="Palatino Linotype" w:hAnsi="Palatino Linotype"/>
          <w:i/>
          <w:iCs/>
          <w:sz w:val="18"/>
          <w:szCs w:val="20"/>
        </w:rPr>
        <w:t>An. gambiae</w:t>
      </w:r>
      <w:r>
        <w:rPr>
          <w:rFonts w:ascii="Palatino Linotype" w:hAnsi="Palatino Linotype"/>
          <w:sz w:val="18"/>
          <w:szCs w:val="20"/>
        </w:rPr>
        <w:t xml:space="preserve"> VK7 2014</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p>
    <w:bookmarkEnd w:id="14"/>
    <w:p w14:paraId="26FAD357" w14:textId="11BEAFAF" w:rsidR="00297BBC" w:rsidRDefault="00297BBC" w:rsidP="00E375D6">
      <w:pPr>
        <w:spacing w:after="0"/>
        <w:rPr>
          <w:rFonts w:ascii="Palatino Linotype" w:hAnsi="Palatino Linotype"/>
          <w:lang w:val="en-US" w:eastAsia="de-DE" w:bidi="en-US"/>
        </w:rPr>
      </w:pPr>
    </w:p>
    <w:p w14:paraId="5B6698A0" w14:textId="407A219B" w:rsidR="00297BBC" w:rsidRDefault="00297BBC" w:rsidP="00297BBC">
      <w:pPr>
        <w:spacing w:after="0"/>
        <w:jc w:val="center"/>
        <w:rPr>
          <w:rFonts w:ascii="Palatino Linotype" w:hAnsi="Palatino Linotype"/>
          <w:lang w:val="en-US" w:eastAsia="de-DE" w:bidi="en-US"/>
        </w:rPr>
      </w:pPr>
      <w:r>
        <w:rPr>
          <w:noProof/>
        </w:rPr>
        <w:drawing>
          <wp:inline distT="0" distB="0" distL="0" distR="0" wp14:anchorId="0DB81338" wp14:editId="6429BA7F">
            <wp:extent cx="5731510" cy="3754755"/>
            <wp:effectExtent l="0" t="0" r="2540" b="0"/>
            <wp:docPr id="14" name="Picture 14"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alendar&#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13B5A65D" w14:textId="0BF873DE" w:rsidR="00297BBC" w:rsidRDefault="00297BBC" w:rsidP="00297BBC">
      <w:pPr>
        <w:spacing w:after="0"/>
        <w:rPr>
          <w:rFonts w:ascii="Palatino Linotype" w:hAnsi="Palatino Linotype"/>
          <w:sz w:val="18"/>
          <w:szCs w:val="20"/>
        </w:rPr>
      </w:pPr>
      <w:r w:rsidRPr="00314514">
        <w:rPr>
          <w:rFonts w:ascii="Palatino Linotype" w:hAnsi="Palatino Linotype"/>
          <w:b/>
          <w:bCs/>
          <w:sz w:val="18"/>
          <w:szCs w:val="20"/>
        </w:rPr>
        <w:t>Figure S</w:t>
      </w:r>
      <w:r>
        <w:rPr>
          <w:rFonts w:ascii="Palatino Linotype" w:hAnsi="Palatino Linotype"/>
          <w:b/>
          <w:bCs/>
          <w:sz w:val="18"/>
          <w:szCs w:val="20"/>
        </w:rPr>
        <w:t>15</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purified water control </w:t>
      </w:r>
      <w:r w:rsidRPr="00A32461">
        <w:rPr>
          <w:rFonts w:ascii="Palatino Linotype" w:hAnsi="Palatino Linotype"/>
          <w:sz w:val="18"/>
          <w:szCs w:val="20"/>
        </w:rPr>
        <w:t>against insecticide-</w:t>
      </w:r>
      <w:r>
        <w:rPr>
          <w:rFonts w:ascii="Palatino Linotype" w:hAnsi="Palatino Linotype"/>
          <w:sz w:val="18"/>
          <w:szCs w:val="20"/>
        </w:rPr>
        <w:t xml:space="preserve">susceptible </w:t>
      </w:r>
      <w:r w:rsidRPr="00297BBC">
        <w:rPr>
          <w:rFonts w:ascii="Palatino Linotype" w:hAnsi="Palatino Linotype"/>
          <w:i/>
          <w:iCs/>
          <w:sz w:val="18"/>
          <w:szCs w:val="20"/>
        </w:rPr>
        <w:t xml:space="preserve">An. </w:t>
      </w:r>
      <w:r>
        <w:rPr>
          <w:rFonts w:ascii="Palatino Linotype" w:hAnsi="Palatino Linotype"/>
          <w:i/>
          <w:iCs/>
          <w:sz w:val="18"/>
          <w:szCs w:val="20"/>
        </w:rPr>
        <w:t xml:space="preserve">funestus </w:t>
      </w:r>
      <w:r w:rsidRPr="00297BBC">
        <w:rPr>
          <w:rFonts w:ascii="Palatino Linotype" w:hAnsi="Palatino Linotype"/>
          <w:sz w:val="18"/>
          <w:szCs w:val="20"/>
        </w:rPr>
        <w:t>Fang</w:t>
      </w:r>
      <w:r w:rsidRPr="00A32461">
        <w:rPr>
          <w:rFonts w:ascii="Palatino Linotype" w:hAnsi="Palatino Linotype"/>
          <w:sz w:val="18"/>
          <w:szCs w:val="20"/>
        </w:rPr>
        <w:t xml:space="preserve">. Cumulative mortality is shown by hours post-exposure to treated cement, mud, and wood surfaces, for each </w:t>
      </w:r>
      <w:r w:rsidRPr="00A32461">
        <w:rPr>
          <w:rFonts w:ascii="Palatino Linotype" w:hAnsi="Palatino Linotype"/>
          <w:sz w:val="18"/>
          <w:szCs w:val="20"/>
        </w:rPr>
        <w:lastRenderedPageBreak/>
        <w:t>month of the experiment. Time to reach the WHO-recommended 80% mortality threshold for an IRS product is marked with a red line</w:t>
      </w:r>
      <w:r w:rsidR="0004590B">
        <w:rPr>
          <w:rFonts w:ascii="Palatino Linotype" w:hAnsi="Palatino Linotype"/>
          <w:sz w:val="18"/>
          <w:szCs w:val="20"/>
        </w:rPr>
        <w:t>.</w:t>
      </w:r>
    </w:p>
    <w:p w14:paraId="5AC35C38" w14:textId="1AC6B13C" w:rsidR="00297BBC" w:rsidRDefault="00297BBC" w:rsidP="00E375D6">
      <w:pPr>
        <w:spacing w:after="0"/>
        <w:rPr>
          <w:rFonts w:ascii="Palatino Linotype" w:hAnsi="Palatino Linotype"/>
          <w:lang w:val="en-US" w:eastAsia="de-DE" w:bidi="en-US"/>
        </w:rPr>
      </w:pPr>
    </w:p>
    <w:p w14:paraId="538A1ABF" w14:textId="1B70D2CF" w:rsidR="004111CD" w:rsidRDefault="004111CD" w:rsidP="004111CD">
      <w:pPr>
        <w:spacing w:after="0"/>
        <w:jc w:val="center"/>
        <w:rPr>
          <w:rFonts w:ascii="Palatino Linotype" w:hAnsi="Palatino Linotype"/>
          <w:lang w:val="en-US" w:eastAsia="de-DE" w:bidi="en-US"/>
        </w:rPr>
      </w:pPr>
      <w:r>
        <w:rPr>
          <w:noProof/>
        </w:rPr>
        <w:drawing>
          <wp:inline distT="0" distB="0" distL="0" distR="0" wp14:anchorId="2BCD9FF0" wp14:editId="0163A7DD">
            <wp:extent cx="5731510" cy="3754755"/>
            <wp:effectExtent l="0" t="0" r="2540" b="0"/>
            <wp:docPr id="16" name="Picture 16"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alenda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76374C2D" w14:textId="0046A7DA" w:rsidR="00297BBC" w:rsidRDefault="00297BBC" w:rsidP="00297BBC">
      <w:pPr>
        <w:spacing w:after="0"/>
        <w:rPr>
          <w:rFonts w:ascii="Palatino Linotype" w:hAnsi="Palatino Linotype"/>
          <w:sz w:val="18"/>
          <w:szCs w:val="20"/>
        </w:rPr>
      </w:pPr>
      <w:bookmarkStart w:id="15" w:name="_Hlk85723546"/>
      <w:r w:rsidRPr="00314514">
        <w:rPr>
          <w:rFonts w:ascii="Palatino Linotype" w:hAnsi="Palatino Linotype"/>
          <w:b/>
          <w:bCs/>
          <w:sz w:val="18"/>
          <w:szCs w:val="20"/>
        </w:rPr>
        <w:t>Figure S</w:t>
      </w:r>
      <w:r>
        <w:rPr>
          <w:rFonts w:ascii="Palatino Linotype" w:hAnsi="Palatino Linotype"/>
          <w:b/>
          <w:bCs/>
          <w:sz w:val="18"/>
          <w:szCs w:val="20"/>
        </w:rPr>
        <w:t>16</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purified water control </w:t>
      </w:r>
      <w:r w:rsidRPr="00A32461">
        <w:rPr>
          <w:rFonts w:ascii="Palatino Linotype" w:hAnsi="Palatino Linotype"/>
          <w:sz w:val="18"/>
          <w:szCs w:val="20"/>
        </w:rPr>
        <w:t>against insecticide-</w:t>
      </w:r>
      <w:r>
        <w:rPr>
          <w:rFonts w:ascii="Palatino Linotype" w:hAnsi="Palatino Linotype"/>
          <w:sz w:val="18"/>
          <w:szCs w:val="20"/>
        </w:rPr>
        <w:t xml:space="preserve">resistant </w:t>
      </w:r>
      <w:r w:rsidRPr="00297BBC">
        <w:rPr>
          <w:rFonts w:ascii="Palatino Linotype" w:hAnsi="Palatino Linotype"/>
          <w:i/>
          <w:iCs/>
          <w:sz w:val="18"/>
          <w:szCs w:val="20"/>
        </w:rPr>
        <w:t xml:space="preserve">An. </w:t>
      </w:r>
      <w:r>
        <w:rPr>
          <w:rFonts w:ascii="Palatino Linotype" w:hAnsi="Palatino Linotype"/>
          <w:i/>
          <w:iCs/>
          <w:sz w:val="18"/>
          <w:szCs w:val="20"/>
        </w:rPr>
        <w:t xml:space="preserve">funestus </w:t>
      </w:r>
      <w:r w:rsidRPr="00297BBC">
        <w:rPr>
          <w:rFonts w:ascii="Palatino Linotype" w:hAnsi="Palatino Linotype"/>
          <w:sz w:val="18"/>
          <w:szCs w:val="20"/>
        </w:rPr>
        <w:t>FUMOZ-R</w:t>
      </w:r>
      <w:r w:rsidRPr="00A32461">
        <w:rPr>
          <w:rFonts w:ascii="Palatino Linotype" w:hAnsi="Palatino Linotype"/>
          <w:sz w:val="18"/>
          <w:szCs w:val="20"/>
        </w:rPr>
        <w:t>. Cumulative mortality is shown by hours post-exposure to treated cement, mud, and wood surfaces, for each month of the experiment. Time to reach the WHO-recommended 80% mortality threshold for an IRS product is marked with a red line</w:t>
      </w:r>
    </w:p>
    <w:bookmarkEnd w:id="15"/>
    <w:p w14:paraId="31A1FDD5" w14:textId="672B8959" w:rsidR="00297BBC" w:rsidRDefault="00297BBC" w:rsidP="00297BBC">
      <w:pPr>
        <w:spacing w:after="0"/>
        <w:rPr>
          <w:rFonts w:ascii="Palatino Linotype" w:hAnsi="Palatino Linotype"/>
          <w:sz w:val="18"/>
          <w:szCs w:val="20"/>
        </w:rPr>
      </w:pPr>
    </w:p>
    <w:p w14:paraId="0C4100CA" w14:textId="3C94B693" w:rsidR="004111CD" w:rsidRDefault="004111CD" w:rsidP="004111CD">
      <w:pPr>
        <w:spacing w:after="0"/>
        <w:jc w:val="center"/>
        <w:rPr>
          <w:rFonts w:ascii="Palatino Linotype" w:hAnsi="Palatino Linotype"/>
          <w:sz w:val="18"/>
          <w:szCs w:val="20"/>
        </w:rPr>
      </w:pPr>
      <w:r>
        <w:rPr>
          <w:noProof/>
        </w:rPr>
        <w:lastRenderedPageBreak/>
        <w:drawing>
          <wp:inline distT="0" distB="0" distL="0" distR="0" wp14:anchorId="1B7F80D7" wp14:editId="26A03BC1">
            <wp:extent cx="5731510" cy="3754755"/>
            <wp:effectExtent l="0" t="0" r="2540" b="0"/>
            <wp:docPr id="17" name="Picture 17"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alendar&#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0F22C4FC" w14:textId="1E69312F" w:rsidR="00297BBC" w:rsidRDefault="00297BBC" w:rsidP="00297BBC">
      <w:pPr>
        <w:spacing w:after="0"/>
        <w:rPr>
          <w:rFonts w:ascii="Palatino Linotype" w:hAnsi="Palatino Linotype"/>
          <w:sz w:val="18"/>
          <w:szCs w:val="20"/>
        </w:rPr>
      </w:pPr>
      <w:r w:rsidRPr="00314514">
        <w:rPr>
          <w:rFonts w:ascii="Palatino Linotype" w:hAnsi="Palatino Linotype"/>
          <w:b/>
          <w:bCs/>
          <w:sz w:val="18"/>
          <w:szCs w:val="20"/>
        </w:rPr>
        <w:t>Figure S</w:t>
      </w:r>
      <w:r>
        <w:rPr>
          <w:rFonts w:ascii="Palatino Linotype" w:hAnsi="Palatino Linotype"/>
          <w:b/>
          <w:bCs/>
          <w:sz w:val="18"/>
          <w:szCs w:val="20"/>
        </w:rPr>
        <w:t>17</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purified water control </w:t>
      </w:r>
      <w:r w:rsidRPr="00A32461">
        <w:rPr>
          <w:rFonts w:ascii="Palatino Linotype" w:hAnsi="Palatino Linotype"/>
          <w:sz w:val="18"/>
          <w:szCs w:val="20"/>
        </w:rPr>
        <w:t>against insecticide-</w:t>
      </w:r>
      <w:r>
        <w:rPr>
          <w:rFonts w:ascii="Palatino Linotype" w:hAnsi="Palatino Linotype"/>
          <w:sz w:val="18"/>
          <w:szCs w:val="20"/>
        </w:rPr>
        <w:t xml:space="preserve">susceptible </w:t>
      </w:r>
      <w:r>
        <w:rPr>
          <w:rFonts w:ascii="Palatino Linotype" w:hAnsi="Palatino Linotype"/>
          <w:i/>
          <w:iCs/>
          <w:sz w:val="18"/>
          <w:szCs w:val="20"/>
        </w:rPr>
        <w:t>Ae</w:t>
      </w:r>
      <w:r w:rsidRPr="00A32461">
        <w:rPr>
          <w:rFonts w:ascii="Palatino Linotype" w:hAnsi="Palatino Linotype"/>
          <w:sz w:val="18"/>
          <w:szCs w:val="20"/>
        </w:rPr>
        <w:t>.</w:t>
      </w:r>
      <w:r>
        <w:rPr>
          <w:rFonts w:ascii="Palatino Linotype" w:hAnsi="Palatino Linotype"/>
          <w:sz w:val="18"/>
          <w:szCs w:val="20"/>
        </w:rPr>
        <w:t xml:space="preserve"> </w:t>
      </w:r>
      <w:r>
        <w:rPr>
          <w:rFonts w:ascii="Palatino Linotype" w:hAnsi="Palatino Linotype"/>
          <w:i/>
          <w:iCs/>
          <w:sz w:val="18"/>
          <w:szCs w:val="20"/>
        </w:rPr>
        <w:t xml:space="preserve">aegypti </w:t>
      </w:r>
      <w:r w:rsidRPr="00297BBC">
        <w:rPr>
          <w:rFonts w:ascii="Palatino Linotype" w:hAnsi="Palatino Linotype"/>
          <w:sz w:val="18"/>
          <w:szCs w:val="20"/>
        </w:rPr>
        <w:t>New</w:t>
      </w:r>
      <w:r>
        <w:rPr>
          <w:rFonts w:ascii="Palatino Linotype" w:hAnsi="Palatino Linotype"/>
          <w:sz w:val="18"/>
          <w:szCs w:val="20"/>
        </w:rPr>
        <w:t xml:space="preserve"> Orleans</w:t>
      </w:r>
      <w:r>
        <w:rPr>
          <w:rFonts w:ascii="Palatino Linotype" w:hAnsi="Palatino Linotype"/>
          <w:i/>
          <w:iCs/>
          <w:sz w:val="18"/>
          <w:szCs w:val="20"/>
        </w:rPr>
        <w:t xml:space="preserve"> </w:t>
      </w:r>
      <w:r w:rsidRPr="00A32461">
        <w:rPr>
          <w:rFonts w:ascii="Palatino Linotype" w:hAnsi="Palatino Linotype"/>
          <w:sz w:val="18"/>
          <w:szCs w:val="20"/>
        </w:rPr>
        <w:t>Cumulative mortality is shown by hours post-exposure to treated cement, mud, and wood surfaces, for each month of the experiment. Time to reach the WHO-recommended 80% mortality threshold for an IRS product is marked with a red line</w:t>
      </w:r>
      <w:r w:rsidR="0004590B">
        <w:rPr>
          <w:rFonts w:ascii="Palatino Linotype" w:hAnsi="Palatino Linotype"/>
          <w:sz w:val="18"/>
          <w:szCs w:val="20"/>
        </w:rPr>
        <w:t>.</w:t>
      </w:r>
    </w:p>
    <w:p w14:paraId="43EBA34E" w14:textId="6C211BA0" w:rsidR="00297BBC" w:rsidRDefault="00297BBC" w:rsidP="00297BBC">
      <w:pPr>
        <w:spacing w:after="0"/>
        <w:rPr>
          <w:rFonts w:ascii="Palatino Linotype" w:hAnsi="Palatino Linotype"/>
          <w:lang w:val="en-US" w:eastAsia="de-DE" w:bidi="en-US"/>
        </w:rPr>
      </w:pPr>
    </w:p>
    <w:p w14:paraId="4D2DB206" w14:textId="0636C2EF" w:rsidR="004111CD" w:rsidRDefault="004111CD" w:rsidP="004111CD">
      <w:pPr>
        <w:spacing w:after="0"/>
        <w:jc w:val="center"/>
        <w:rPr>
          <w:rFonts w:ascii="Palatino Linotype" w:hAnsi="Palatino Linotype"/>
          <w:lang w:val="en-US" w:eastAsia="de-DE" w:bidi="en-US"/>
        </w:rPr>
      </w:pPr>
      <w:r>
        <w:rPr>
          <w:noProof/>
        </w:rPr>
        <w:drawing>
          <wp:inline distT="0" distB="0" distL="0" distR="0" wp14:anchorId="35D69443" wp14:editId="577574D9">
            <wp:extent cx="5731510" cy="3754755"/>
            <wp:effectExtent l="0" t="0" r="2540" b="0"/>
            <wp:docPr id="18" name="Picture 18"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alendar&#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3754755"/>
                    </a:xfrm>
                    <a:prstGeom prst="rect">
                      <a:avLst/>
                    </a:prstGeom>
                    <a:noFill/>
                    <a:ln>
                      <a:noFill/>
                    </a:ln>
                  </pic:spPr>
                </pic:pic>
              </a:graphicData>
            </a:graphic>
          </wp:inline>
        </w:drawing>
      </w:r>
    </w:p>
    <w:p w14:paraId="1D8BCD79" w14:textId="1EEA82A6" w:rsidR="0079356D" w:rsidRDefault="00297BBC" w:rsidP="00E375D6">
      <w:pPr>
        <w:spacing w:after="0"/>
        <w:rPr>
          <w:rFonts w:ascii="Palatino Linotype" w:hAnsi="Palatino Linotype"/>
          <w:sz w:val="18"/>
          <w:szCs w:val="20"/>
        </w:rPr>
      </w:pPr>
      <w:bookmarkStart w:id="16" w:name="_Hlk85723572"/>
      <w:r w:rsidRPr="00314514">
        <w:rPr>
          <w:rFonts w:ascii="Palatino Linotype" w:hAnsi="Palatino Linotype"/>
          <w:b/>
          <w:bCs/>
          <w:sz w:val="18"/>
          <w:szCs w:val="20"/>
        </w:rPr>
        <w:t>Figure S</w:t>
      </w:r>
      <w:r>
        <w:rPr>
          <w:rFonts w:ascii="Palatino Linotype" w:hAnsi="Palatino Linotype"/>
          <w:b/>
          <w:bCs/>
          <w:sz w:val="18"/>
          <w:szCs w:val="20"/>
        </w:rPr>
        <w:t>18</w:t>
      </w:r>
      <w:r w:rsidRPr="00314514">
        <w:rPr>
          <w:rFonts w:ascii="Palatino Linotype" w:hAnsi="Palatino Linotype"/>
          <w:b/>
          <w:bCs/>
          <w:sz w:val="18"/>
          <w:szCs w:val="20"/>
        </w:rPr>
        <w:t>.</w:t>
      </w:r>
      <w:r>
        <w:rPr>
          <w:rFonts w:ascii="Palatino Linotype" w:hAnsi="Palatino Linotype"/>
          <w:sz w:val="18"/>
          <w:szCs w:val="20"/>
        </w:rPr>
        <w:t xml:space="preserve"> </w:t>
      </w:r>
      <w:r w:rsidRPr="00A32461">
        <w:rPr>
          <w:rFonts w:ascii="Palatino Linotype" w:hAnsi="Palatino Linotype"/>
          <w:sz w:val="18"/>
          <w:szCs w:val="20"/>
        </w:rPr>
        <w:t>Speed of action of</w:t>
      </w:r>
      <w:r>
        <w:rPr>
          <w:rFonts w:ascii="Palatino Linotype" w:hAnsi="Palatino Linotype"/>
          <w:sz w:val="18"/>
          <w:szCs w:val="20"/>
        </w:rPr>
        <w:t xml:space="preserve"> purified water control </w:t>
      </w:r>
      <w:r w:rsidRPr="00A32461">
        <w:rPr>
          <w:rFonts w:ascii="Palatino Linotype" w:hAnsi="Palatino Linotype"/>
          <w:sz w:val="18"/>
          <w:szCs w:val="20"/>
        </w:rPr>
        <w:t>against insecticide-</w:t>
      </w:r>
      <w:r>
        <w:rPr>
          <w:rFonts w:ascii="Palatino Linotype" w:hAnsi="Palatino Linotype"/>
          <w:sz w:val="18"/>
          <w:szCs w:val="20"/>
        </w:rPr>
        <w:t xml:space="preserve">resistant </w:t>
      </w:r>
      <w:r w:rsidRPr="00297BBC">
        <w:rPr>
          <w:rFonts w:ascii="Palatino Linotype" w:hAnsi="Palatino Linotype"/>
          <w:i/>
          <w:iCs/>
          <w:sz w:val="18"/>
          <w:szCs w:val="20"/>
        </w:rPr>
        <w:t>A</w:t>
      </w:r>
      <w:r>
        <w:rPr>
          <w:rFonts w:ascii="Palatino Linotype" w:hAnsi="Palatino Linotype"/>
          <w:i/>
          <w:iCs/>
          <w:sz w:val="18"/>
          <w:szCs w:val="20"/>
        </w:rPr>
        <w:t>e</w:t>
      </w:r>
      <w:r w:rsidRPr="00297BBC">
        <w:rPr>
          <w:rFonts w:ascii="Palatino Linotype" w:hAnsi="Palatino Linotype"/>
          <w:i/>
          <w:iCs/>
          <w:sz w:val="18"/>
          <w:szCs w:val="20"/>
        </w:rPr>
        <w:t xml:space="preserve">. </w:t>
      </w:r>
      <w:r>
        <w:rPr>
          <w:rFonts w:ascii="Palatino Linotype" w:hAnsi="Palatino Linotype"/>
          <w:i/>
          <w:iCs/>
          <w:sz w:val="18"/>
          <w:szCs w:val="20"/>
        </w:rPr>
        <w:t xml:space="preserve">aegypti </w:t>
      </w:r>
      <w:r>
        <w:rPr>
          <w:rFonts w:ascii="Palatino Linotype" w:hAnsi="Palatino Linotype"/>
          <w:sz w:val="18"/>
          <w:szCs w:val="20"/>
        </w:rPr>
        <w:t>Cayman</w:t>
      </w:r>
      <w:r w:rsidRPr="00A32461">
        <w:rPr>
          <w:rFonts w:ascii="Palatino Linotype" w:hAnsi="Palatino Linotype"/>
          <w:sz w:val="18"/>
          <w:szCs w:val="20"/>
        </w:rPr>
        <w:t xml:space="preserve">. Cumulative mortality is shown by hours post-exposure to treated cement, mud, and wood surfaces, for each </w:t>
      </w:r>
      <w:r w:rsidRPr="00A32461">
        <w:rPr>
          <w:rFonts w:ascii="Palatino Linotype" w:hAnsi="Palatino Linotype"/>
          <w:sz w:val="18"/>
          <w:szCs w:val="20"/>
        </w:rPr>
        <w:lastRenderedPageBreak/>
        <w:t>month of the experiment. Time to reach the WHO-recommended 80% mortality threshold for an IRS product is marked with a red line</w:t>
      </w:r>
      <w:r w:rsidR="0004590B">
        <w:rPr>
          <w:rFonts w:ascii="Palatino Linotype" w:hAnsi="Palatino Linotype"/>
          <w:sz w:val="18"/>
          <w:szCs w:val="20"/>
        </w:rPr>
        <w:t>.</w:t>
      </w:r>
    </w:p>
    <w:bookmarkEnd w:id="16"/>
    <w:p w14:paraId="6947793D" w14:textId="1BD18C56" w:rsidR="0079356D" w:rsidRDefault="0079356D" w:rsidP="00E375D6">
      <w:pPr>
        <w:spacing w:after="0"/>
        <w:rPr>
          <w:rFonts w:ascii="Palatino Linotype" w:hAnsi="Palatino Linotype"/>
          <w:sz w:val="18"/>
          <w:szCs w:val="20"/>
        </w:rPr>
      </w:pPr>
    </w:p>
    <w:p w14:paraId="51016EE5" w14:textId="24820724" w:rsidR="0079356D" w:rsidRDefault="00217E9E" w:rsidP="00217E9E">
      <w:pPr>
        <w:spacing w:after="0"/>
        <w:jc w:val="center"/>
        <w:rPr>
          <w:rFonts w:ascii="Palatino Linotype" w:hAnsi="Palatino Linotype"/>
          <w:sz w:val="18"/>
          <w:szCs w:val="20"/>
        </w:rPr>
      </w:pPr>
      <w:r>
        <w:rPr>
          <w:noProof/>
        </w:rPr>
        <w:drawing>
          <wp:inline distT="0" distB="0" distL="0" distR="0" wp14:anchorId="18C44ED8" wp14:editId="48DB6A18">
            <wp:extent cx="4114800" cy="6400800"/>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14800" cy="6400800"/>
                    </a:xfrm>
                    <a:prstGeom prst="rect">
                      <a:avLst/>
                    </a:prstGeom>
                    <a:noFill/>
                    <a:ln>
                      <a:noFill/>
                    </a:ln>
                  </pic:spPr>
                </pic:pic>
              </a:graphicData>
            </a:graphic>
          </wp:inline>
        </w:drawing>
      </w:r>
    </w:p>
    <w:p w14:paraId="5A25C65A" w14:textId="0F122FB3" w:rsidR="00297BBC" w:rsidRPr="0079356D" w:rsidRDefault="0004590B" w:rsidP="00E375D6">
      <w:pPr>
        <w:spacing w:after="0"/>
        <w:rPr>
          <w:rFonts w:ascii="Palatino Linotype" w:hAnsi="Palatino Linotype"/>
          <w:sz w:val="18"/>
          <w:szCs w:val="18"/>
        </w:rPr>
      </w:pPr>
      <w:r>
        <w:rPr>
          <w:rFonts w:ascii="Palatino Linotype" w:hAnsi="Palatino Linotype"/>
          <w:b/>
          <w:bCs/>
          <w:sz w:val="18"/>
          <w:szCs w:val="18"/>
        </w:rPr>
        <w:t>Figure</w:t>
      </w:r>
      <w:r w:rsidR="0079356D" w:rsidRPr="0079356D">
        <w:rPr>
          <w:rFonts w:ascii="Palatino Linotype" w:hAnsi="Palatino Linotype"/>
          <w:b/>
          <w:bCs/>
          <w:sz w:val="18"/>
          <w:szCs w:val="18"/>
          <w:lang w:val="en-US" w:eastAsia="de-DE" w:bidi="en-US"/>
        </w:rPr>
        <w:t xml:space="preserve"> S19.</w:t>
      </w:r>
      <w:r w:rsidR="0079356D" w:rsidRPr="0079356D">
        <w:rPr>
          <w:rFonts w:ascii="Palatino Linotype" w:hAnsi="Palatino Linotype"/>
          <w:sz w:val="18"/>
          <w:szCs w:val="18"/>
          <w:lang w:val="en-US" w:eastAsia="de-DE" w:bidi="en-US"/>
        </w:rPr>
        <w:t xml:space="preserve"> Effect of surface type on efficacy of SumiShield. Mortality of insecticide-susceptible and resistant </w:t>
      </w:r>
      <w:r w:rsidR="0079356D" w:rsidRPr="0079356D">
        <w:rPr>
          <w:rFonts w:ascii="Palatino Linotype" w:hAnsi="Palatino Linotype"/>
          <w:i/>
          <w:iCs/>
          <w:sz w:val="18"/>
          <w:szCs w:val="18"/>
          <w:lang w:val="en-US" w:eastAsia="de-DE" w:bidi="en-US"/>
        </w:rPr>
        <w:t>An. gambiae</w:t>
      </w:r>
      <w:r w:rsidR="0079356D" w:rsidRPr="0079356D">
        <w:rPr>
          <w:rFonts w:ascii="Palatino Linotype" w:hAnsi="Palatino Linotype"/>
          <w:sz w:val="18"/>
          <w:szCs w:val="18"/>
          <w:lang w:val="en-US" w:eastAsia="de-DE" w:bidi="en-US"/>
        </w:rPr>
        <w:t xml:space="preserve">, </w:t>
      </w:r>
      <w:r w:rsidR="0079356D" w:rsidRPr="0079356D">
        <w:rPr>
          <w:rFonts w:ascii="Palatino Linotype" w:hAnsi="Palatino Linotype"/>
          <w:i/>
          <w:iCs/>
          <w:sz w:val="18"/>
          <w:szCs w:val="18"/>
          <w:lang w:val="en-US" w:eastAsia="de-DE" w:bidi="en-US"/>
        </w:rPr>
        <w:t>An. funestus</w:t>
      </w:r>
      <w:r w:rsidR="0079356D" w:rsidRPr="0079356D">
        <w:rPr>
          <w:rFonts w:ascii="Palatino Linotype" w:hAnsi="Palatino Linotype"/>
          <w:sz w:val="18"/>
          <w:szCs w:val="18"/>
          <w:lang w:val="en-US" w:eastAsia="de-DE" w:bidi="en-US"/>
        </w:rPr>
        <w:t xml:space="preserve"> and </w:t>
      </w:r>
      <w:r w:rsidR="0079356D" w:rsidRPr="0079356D">
        <w:rPr>
          <w:rFonts w:ascii="Palatino Linotype" w:hAnsi="Palatino Linotype"/>
          <w:i/>
          <w:iCs/>
          <w:sz w:val="18"/>
          <w:szCs w:val="18"/>
          <w:lang w:val="en-US" w:eastAsia="de-DE" w:bidi="en-US"/>
        </w:rPr>
        <w:t>Ae. aegypti</w:t>
      </w:r>
      <w:r w:rsidR="0079356D" w:rsidRPr="0079356D">
        <w:rPr>
          <w:rFonts w:ascii="Palatino Linotype" w:hAnsi="Palatino Linotype"/>
          <w:sz w:val="18"/>
          <w:szCs w:val="18"/>
          <w:lang w:val="en-US" w:eastAsia="de-DE" w:bidi="en-US"/>
        </w:rPr>
        <w:t xml:space="preserve">, and resistant </w:t>
      </w:r>
      <w:proofErr w:type="spellStart"/>
      <w:r w:rsidR="0079356D" w:rsidRPr="0079356D">
        <w:rPr>
          <w:rFonts w:ascii="Palatino Linotype" w:hAnsi="Palatino Linotype"/>
          <w:i/>
          <w:iCs/>
          <w:sz w:val="18"/>
          <w:szCs w:val="18"/>
          <w:lang w:val="en-US" w:eastAsia="de-DE" w:bidi="en-US"/>
        </w:rPr>
        <w:t>Cx</w:t>
      </w:r>
      <w:proofErr w:type="spellEnd"/>
      <w:r w:rsidR="0079356D" w:rsidRPr="0079356D">
        <w:rPr>
          <w:rFonts w:ascii="Palatino Linotype" w:hAnsi="Palatino Linotype"/>
          <w:i/>
          <w:iCs/>
          <w:sz w:val="18"/>
          <w:szCs w:val="18"/>
          <w:lang w:val="en-US" w:eastAsia="de-DE" w:bidi="en-US"/>
        </w:rPr>
        <w:t>. quinquefasciatus</w:t>
      </w:r>
      <w:r w:rsidR="0079356D" w:rsidRPr="0079356D">
        <w:rPr>
          <w:rFonts w:ascii="Palatino Linotype" w:hAnsi="Palatino Linotype"/>
          <w:sz w:val="18"/>
          <w:szCs w:val="18"/>
          <w:lang w:val="en-US" w:eastAsia="de-DE" w:bidi="en-US"/>
        </w:rPr>
        <w:t>. Average 120-hour mortality calculated across all replicate bioassays at all time points (0, 1, 3, 5, 7, 9, 12 and 18 months) for each strain and surface type is shown; error bars represent standard error across 3 replicate assays.</w:t>
      </w:r>
    </w:p>
    <w:p w14:paraId="1E56C670" w14:textId="66E1D009" w:rsidR="0079356D" w:rsidRDefault="0079356D" w:rsidP="00E375D6">
      <w:pPr>
        <w:spacing w:after="0"/>
        <w:rPr>
          <w:rFonts w:ascii="Palatino Linotype" w:hAnsi="Palatino Linotype"/>
          <w:lang w:val="en-US" w:eastAsia="de-DE" w:bidi="en-US"/>
        </w:rPr>
      </w:pPr>
    </w:p>
    <w:p w14:paraId="7FF6C85A" w14:textId="2B58C38D" w:rsidR="00217E9E" w:rsidRDefault="00217E9E" w:rsidP="00217E9E">
      <w:pPr>
        <w:spacing w:after="0"/>
        <w:jc w:val="center"/>
        <w:rPr>
          <w:rFonts w:ascii="Palatino Linotype" w:hAnsi="Palatino Linotype"/>
          <w:lang w:val="en-US" w:eastAsia="de-DE" w:bidi="en-US"/>
        </w:rPr>
      </w:pPr>
      <w:r>
        <w:rPr>
          <w:noProof/>
        </w:rPr>
        <w:lastRenderedPageBreak/>
        <w:drawing>
          <wp:inline distT="0" distB="0" distL="0" distR="0" wp14:anchorId="255ED958" wp14:editId="7EFDEF07">
            <wp:extent cx="3657600" cy="4114800"/>
            <wp:effectExtent l="0" t="0" r="0" b="0"/>
            <wp:docPr id="19" name="Picture 1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4114800"/>
                    </a:xfrm>
                    <a:prstGeom prst="rect">
                      <a:avLst/>
                    </a:prstGeom>
                    <a:noFill/>
                    <a:ln>
                      <a:noFill/>
                    </a:ln>
                  </pic:spPr>
                </pic:pic>
              </a:graphicData>
            </a:graphic>
          </wp:inline>
        </w:drawing>
      </w:r>
    </w:p>
    <w:p w14:paraId="0752B90A" w14:textId="0324A6F0" w:rsidR="00217E9E" w:rsidRDefault="00217E9E" w:rsidP="00217E9E">
      <w:pPr>
        <w:spacing w:after="0"/>
        <w:rPr>
          <w:rFonts w:ascii="Palatino Linotype" w:hAnsi="Palatino Linotype"/>
          <w:sz w:val="18"/>
          <w:szCs w:val="18"/>
        </w:rPr>
      </w:pPr>
      <w:bookmarkStart w:id="17" w:name="_Hlk85723601"/>
      <w:r>
        <w:rPr>
          <w:rFonts w:ascii="Palatino Linotype" w:hAnsi="Palatino Linotype"/>
          <w:b/>
          <w:bCs/>
          <w:sz w:val="18"/>
          <w:szCs w:val="18"/>
        </w:rPr>
        <w:t>Figure 20.</w:t>
      </w:r>
      <w:bookmarkEnd w:id="17"/>
      <w:r w:rsidR="006E4410" w:rsidRPr="006E4410">
        <w:t xml:space="preserve"> </w:t>
      </w:r>
      <w:r w:rsidR="000D04B0">
        <w:t>C</w:t>
      </w:r>
      <w:r w:rsidR="001F41BB">
        <w:rPr>
          <w:rFonts w:ascii="Palatino Linotype" w:hAnsi="Palatino Linotype"/>
          <w:sz w:val="18"/>
          <w:szCs w:val="18"/>
        </w:rPr>
        <w:t xml:space="preserve">olony </w:t>
      </w:r>
      <w:r w:rsidR="006E4410" w:rsidRPr="001F41BB">
        <w:rPr>
          <w:rFonts w:ascii="Palatino Linotype" w:hAnsi="Palatino Linotype"/>
          <w:sz w:val="18"/>
          <w:szCs w:val="18"/>
        </w:rPr>
        <w:t>weigh</w:t>
      </w:r>
      <w:r w:rsidR="001F41BB">
        <w:rPr>
          <w:rFonts w:ascii="Palatino Linotype" w:hAnsi="Palatino Linotype"/>
          <w:sz w:val="18"/>
          <w:szCs w:val="18"/>
        </w:rPr>
        <w:t xml:space="preserve">t in susceptible and resistant </w:t>
      </w:r>
      <w:r w:rsidR="001F41BB" w:rsidRPr="001F41BB">
        <w:rPr>
          <w:rFonts w:ascii="Palatino Linotype" w:hAnsi="Palatino Linotype"/>
          <w:i/>
          <w:iCs/>
          <w:sz w:val="18"/>
          <w:szCs w:val="18"/>
        </w:rPr>
        <w:t>An. gambiae,</w:t>
      </w:r>
      <w:r w:rsidR="001F41BB">
        <w:rPr>
          <w:rFonts w:ascii="Palatino Linotype" w:hAnsi="Palatino Linotype"/>
          <w:sz w:val="18"/>
          <w:szCs w:val="18"/>
        </w:rPr>
        <w:t xml:space="preserve"> </w:t>
      </w:r>
      <w:r w:rsidR="001F41BB" w:rsidRPr="001F41BB">
        <w:rPr>
          <w:rFonts w:ascii="Palatino Linotype" w:hAnsi="Palatino Linotype"/>
          <w:i/>
          <w:iCs/>
          <w:sz w:val="18"/>
          <w:szCs w:val="18"/>
        </w:rPr>
        <w:t>An. funestus</w:t>
      </w:r>
      <w:r w:rsidR="001F41BB">
        <w:rPr>
          <w:rFonts w:ascii="Palatino Linotype" w:hAnsi="Palatino Linotype"/>
          <w:sz w:val="18"/>
          <w:szCs w:val="18"/>
        </w:rPr>
        <w:t xml:space="preserve"> and </w:t>
      </w:r>
      <w:r w:rsidR="001F41BB" w:rsidRPr="001F41BB">
        <w:rPr>
          <w:rFonts w:ascii="Palatino Linotype" w:hAnsi="Palatino Linotype"/>
          <w:i/>
          <w:iCs/>
          <w:sz w:val="18"/>
          <w:szCs w:val="18"/>
        </w:rPr>
        <w:t xml:space="preserve">Ae. </w:t>
      </w:r>
      <w:r w:rsidR="000D04B0">
        <w:rPr>
          <w:rFonts w:ascii="Palatino Linotype" w:hAnsi="Palatino Linotype"/>
          <w:i/>
          <w:iCs/>
          <w:sz w:val="18"/>
          <w:szCs w:val="18"/>
        </w:rPr>
        <w:t>a</w:t>
      </w:r>
      <w:r w:rsidR="001F41BB" w:rsidRPr="001F41BB">
        <w:rPr>
          <w:rFonts w:ascii="Palatino Linotype" w:hAnsi="Palatino Linotype"/>
          <w:i/>
          <w:iCs/>
          <w:sz w:val="18"/>
          <w:szCs w:val="18"/>
        </w:rPr>
        <w:t>egypti</w:t>
      </w:r>
      <w:r w:rsidR="000D04B0">
        <w:rPr>
          <w:rFonts w:ascii="Palatino Linotype" w:hAnsi="Palatino Linotype"/>
          <w:i/>
          <w:iCs/>
          <w:sz w:val="18"/>
          <w:szCs w:val="18"/>
        </w:rPr>
        <w:t xml:space="preserve"> </w:t>
      </w:r>
      <w:r w:rsidR="000D04B0">
        <w:rPr>
          <w:rFonts w:ascii="Palatino Linotype" w:hAnsi="Palatino Linotype"/>
          <w:iCs/>
          <w:sz w:val="18"/>
          <w:szCs w:val="18"/>
        </w:rPr>
        <w:t>at each time point</w:t>
      </w:r>
      <w:r w:rsidR="001F41BB">
        <w:rPr>
          <w:rFonts w:ascii="Palatino Linotype" w:hAnsi="Palatino Linotype"/>
          <w:sz w:val="18"/>
          <w:szCs w:val="18"/>
        </w:rPr>
        <w:t>.</w:t>
      </w:r>
      <w:r w:rsidR="000D04B0">
        <w:rPr>
          <w:rFonts w:ascii="Palatino Linotype" w:hAnsi="Palatino Linotype"/>
          <w:sz w:val="18"/>
          <w:szCs w:val="18"/>
        </w:rPr>
        <w:t xml:space="preserve"> A sample of twenty females of each colony was weighed (mosquito weight) by anaesthetising them with carbon dioxide; these mosquitoes were not included in the mosquitoes used for testing. </w:t>
      </w:r>
    </w:p>
    <w:p w14:paraId="3024FCC9" w14:textId="2D76DD40" w:rsidR="008F723F" w:rsidRDefault="008F723F" w:rsidP="00217E9E">
      <w:pPr>
        <w:spacing w:after="0"/>
        <w:rPr>
          <w:rFonts w:ascii="Palatino Linotype" w:hAnsi="Palatino Linotype"/>
          <w:lang w:val="en-US" w:eastAsia="de-DE" w:bidi="en-US"/>
        </w:rPr>
      </w:pPr>
    </w:p>
    <w:p w14:paraId="4412A82E" w14:textId="54464935" w:rsidR="00E55362" w:rsidRPr="00D5301E" w:rsidRDefault="00E55362" w:rsidP="00217E9E">
      <w:pPr>
        <w:spacing w:after="0"/>
        <w:rPr>
          <w:rFonts w:ascii="Palatino Linotype" w:hAnsi="Palatino Linotype"/>
          <w:b/>
          <w:sz w:val="20"/>
          <w:szCs w:val="20"/>
          <w:lang w:val="en-US" w:eastAsia="de-DE" w:bidi="en-US"/>
        </w:rPr>
      </w:pPr>
      <w:r w:rsidRPr="00D5301E">
        <w:rPr>
          <w:rFonts w:ascii="Palatino Linotype" w:hAnsi="Palatino Linotype"/>
          <w:b/>
          <w:sz w:val="20"/>
          <w:szCs w:val="20"/>
          <w:lang w:val="en-US" w:eastAsia="de-DE" w:bidi="en-US"/>
        </w:rPr>
        <w:t>References</w:t>
      </w:r>
    </w:p>
    <w:p w14:paraId="03411C90" w14:textId="47A5B0F6" w:rsidR="008F723F" w:rsidRPr="00D5301E" w:rsidRDefault="008F723F" w:rsidP="008F723F">
      <w:pPr>
        <w:widowControl w:val="0"/>
        <w:autoSpaceDE w:val="0"/>
        <w:autoSpaceDN w:val="0"/>
        <w:adjustRightInd w:val="0"/>
        <w:spacing w:after="0" w:line="240" w:lineRule="auto"/>
        <w:ind w:left="640" w:hanging="640"/>
        <w:rPr>
          <w:rFonts w:ascii="Palatino Linotype" w:hAnsi="Palatino Linotype" w:cs="Times New Roman"/>
          <w:noProof/>
          <w:sz w:val="18"/>
          <w:szCs w:val="18"/>
        </w:rPr>
      </w:pPr>
      <w:r w:rsidRPr="00E55362">
        <w:rPr>
          <w:rFonts w:ascii="Palatino Linotype" w:hAnsi="Palatino Linotype"/>
          <w:sz w:val="20"/>
          <w:szCs w:val="20"/>
          <w:lang w:val="en-US" w:eastAsia="de-DE" w:bidi="en-US"/>
        </w:rPr>
        <w:fldChar w:fldCharType="begin" w:fldLock="1"/>
      </w:r>
      <w:r w:rsidRPr="00E55362">
        <w:rPr>
          <w:rFonts w:ascii="Palatino Linotype" w:hAnsi="Palatino Linotype"/>
          <w:sz w:val="20"/>
          <w:szCs w:val="20"/>
          <w:lang w:val="en-US" w:eastAsia="de-DE" w:bidi="en-US"/>
        </w:rPr>
        <w:instrText xml:space="preserve">ADDIN Mendeley Bibliography CSL_BIBLIOGRAPHY </w:instrText>
      </w:r>
      <w:r w:rsidRPr="00E55362">
        <w:rPr>
          <w:rFonts w:ascii="Palatino Linotype" w:hAnsi="Palatino Linotype"/>
          <w:sz w:val="20"/>
          <w:szCs w:val="20"/>
          <w:lang w:val="en-US" w:eastAsia="de-DE" w:bidi="en-US"/>
        </w:rPr>
        <w:fldChar w:fldCharType="separate"/>
      </w:r>
      <w:r w:rsidRPr="00E55362">
        <w:rPr>
          <w:rFonts w:ascii="Palatino Linotype" w:hAnsi="Palatino Linotype" w:cs="Times New Roman"/>
          <w:noProof/>
          <w:sz w:val="20"/>
          <w:szCs w:val="20"/>
        </w:rPr>
        <w:t>[1]</w:t>
      </w:r>
      <w:r w:rsidRPr="00D5301E">
        <w:rPr>
          <w:rFonts w:ascii="Palatino Linotype" w:hAnsi="Palatino Linotype" w:cs="Times New Roman"/>
          <w:noProof/>
          <w:sz w:val="18"/>
          <w:szCs w:val="18"/>
        </w:rPr>
        <w:tab/>
        <w:t xml:space="preserve">R. Lees </w:t>
      </w:r>
      <w:r w:rsidRPr="00D5301E">
        <w:rPr>
          <w:rFonts w:ascii="Palatino Linotype" w:hAnsi="Palatino Linotype" w:cs="Times New Roman"/>
          <w:i/>
          <w:iCs/>
          <w:noProof/>
          <w:sz w:val="18"/>
          <w:szCs w:val="18"/>
        </w:rPr>
        <w:t>et al.</w:t>
      </w:r>
      <w:r w:rsidRPr="00D5301E">
        <w:rPr>
          <w:rFonts w:ascii="Palatino Linotype" w:hAnsi="Palatino Linotype" w:cs="Times New Roman"/>
          <w:noProof/>
          <w:sz w:val="18"/>
          <w:szCs w:val="18"/>
        </w:rPr>
        <w:t xml:space="preserve">, “A testing cascade to identify repurposed insecticides for next-generation vector control tools: Screening a panel of chemistries with novel modes of action against a malaria vector,” </w:t>
      </w:r>
      <w:r w:rsidRPr="00D5301E">
        <w:rPr>
          <w:rFonts w:ascii="Palatino Linotype" w:hAnsi="Palatino Linotype" w:cs="Times New Roman"/>
          <w:i/>
          <w:iCs/>
          <w:noProof/>
          <w:sz w:val="18"/>
          <w:szCs w:val="18"/>
        </w:rPr>
        <w:t>Gates Open Res.</w:t>
      </w:r>
      <w:r w:rsidRPr="00D5301E">
        <w:rPr>
          <w:rFonts w:ascii="Palatino Linotype" w:hAnsi="Palatino Linotype" w:cs="Times New Roman"/>
          <w:noProof/>
          <w:sz w:val="18"/>
          <w:szCs w:val="18"/>
        </w:rPr>
        <w:t>, vol. 3, p. 1464, 2019, doi: 10.12688/gatesopenres.12957.2.</w:t>
      </w:r>
    </w:p>
    <w:p w14:paraId="73F1719D" w14:textId="77777777" w:rsidR="008F723F" w:rsidRPr="00D5301E" w:rsidRDefault="008F723F" w:rsidP="008F723F">
      <w:pPr>
        <w:widowControl w:val="0"/>
        <w:autoSpaceDE w:val="0"/>
        <w:autoSpaceDN w:val="0"/>
        <w:adjustRightInd w:val="0"/>
        <w:spacing w:after="0" w:line="240" w:lineRule="auto"/>
        <w:ind w:left="640" w:hanging="640"/>
        <w:rPr>
          <w:rFonts w:ascii="Palatino Linotype" w:hAnsi="Palatino Linotype"/>
          <w:noProof/>
          <w:sz w:val="18"/>
          <w:szCs w:val="18"/>
        </w:rPr>
      </w:pPr>
      <w:r w:rsidRPr="00D5301E">
        <w:rPr>
          <w:rFonts w:ascii="Palatino Linotype" w:hAnsi="Palatino Linotype" w:cs="Times New Roman"/>
          <w:noProof/>
          <w:sz w:val="18"/>
          <w:szCs w:val="18"/>
        </w:rPr>
        <w:t>[2]</w:t>
      </w:r>
      <w:r w:rsidRPr="00D5301E">
        <w:rPr>
          <w:rFonts w:ascii="Palatino Linotype" w:hAnsi="Palatino Linotype" w:cs="Times New Roman"/>
          <w:noProof/>
          <w:sz w:val="18"/>
          <w:szCs w:val="18"/>
        </w:rPr>
        <w:tab/>
        <w:t xml:space="preserve">W. S. Abbott, “A method for computing the effectiveness of an insecticide,” </w:t>
      </w:r>
      <w:r w:rsidRPr="00D5301E">
        <w:rPr>
          <w:rFonts w:ascii="Palatino Linotype" w:hAnsi="Palatino Linotype" w:cs="Times New Roman"/>
          <w:i/>
          <w:iCs/>
          <w:noProof/>
          <w:sz w:val="18"/>
          <w:szCs w:val="18"/>
        </w:rPr>
        <w:t>J. Econ. Entomol.</w:t>
      </w:r>
      <w:r w:rsidRPr="00D5301E">
        <w:rPr>
          <w:rFonts w:ascii="Palatino Linotype" w:hAnsi="Palatino Linotype" w:cs="Times New Roman"/>
          <w:noProof/>
          <w:sz w:val="18"/>
          <w:szCs w:val="18"/>
        </w:rPr>
        <w:t>, 1925.</w:t>
      </w:r>
    </w:p>
    <w:p w14:paraId="78682356" w14:textId="78A0B0A5" w:rsidR="008F723F" w:rsidRPr="001F41BB" w:rsidRDefault="008F723F" w:rsidP="00217E9E">
      <w:pPr>
        <w:spacing w:after="0"/>
        <w:rPr>
          <w:rFonts w:ascii="Palatino Linotype" w:hAnsi="Palatino Linotype"/>
          <w:lang w:val="en-US" w:eastAsia="de-DE" w:bidi="en-US"/>
        </w:rPr>
      </w:pPr>
      <w:r w:rsidRPr="00E55362">
        <w:rPr>
          <w:rFonts w:ascii="Palatino Linotype" w:hAnsi="Palatino Linotype"/>
          <w:sz w:val="20"/>
          <w:szCs w:val="20"/>
          <w:lang w:val="en-US" w:eastAsia="de-DE" w:bidi="en-US"/>
        </w:rPr>
        <w:fldChar w:fldCharType="end"/>
      </w:r>
      <w:bookmarkStart w:id="18" w:name="_GoBack"/>
      <w:bookmarkEnd w:id="18"/>
    </w:p>
    <w:sectPr w:rsidR="008F723F" w:rsidRPr="001F41B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BC7"/>
    <w:rsid w:val="000056EB"/>
    <w:rsid w:val="0004590B"/>
    <w:rsid w:val="000D04B0"/>
    <w:rsid w:val="001F41BB"/>
    <w:rsid w:val="00217E9E"/>
    <w:rsid w:val="00297BBC"/>
    <w:rsid w:val="00314514"/>
    <w:rsid w:val="00324599"/>
    <w:rsid w:val="004111CD"/>
    <w:rsid w:val="004D27F8"/>
    <w:rsid w:val="00544BC7"/>
    <w:rsid w:val="0060687E"/>
    <w:rsid w:val="00621BE0"/>
    <w:rsid w:val="00675C9C"/>
    <w:rsid w:val="006E4410"/>
    <w:rsid w:val="007124E0"/>
    <w:rsid w:val="00792F71"/>
    <w:rsid w:val="0079356D"/>
    <w:rsid w:val="007C5541"/>
    <w:rsid w:val="008F723F"/>
    <w:rsid w:val="009149CD"/>
    <w:rsid w:val="009B0F97"/>
    <w:rsid w:val="00A32461"/>
    <w:rsid w:val="00B702DD"/>
    <w:rsid w:val="00CC259F"/>
    <w:rsid w:val="00D07984"/>
    <w:rsid w:val="00D242AC"/>
    <w:rsid w:val="00D5301E"/>
    <w:rsid w:val="00D8275D"/>
    <w:rsid w:val="00DA7601"/>
    <w:rsid w:val="00E375D6"/>
    <w:rsid w:val="00E4080C"/>
    <w:rsid w:val="00E55362"/>
    <w:rsid w:val="00F27BCE"/>
    <w:rsid w:val="00F518C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F59F87"/>
  <w15:chartTrackingRefBased/>
  <w15:docId w15:val="{6BD11053-5029-48CB-AD34-136AD65A4E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3246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2title">
    <w:name w:val="MDPI_1.2_title"/>
    <w:next w:val="Normal"/>
    <w:qFormat/>
    <w:rsid w:val="00544BC7"/>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544BC7"/>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character" w:styleId="CommentReference">
    <w:name w:val="annotation reference"/>
    <w:basedOn w:val="DefaultParagraphFont"/>
    <w:uiPriority w:val="99"/>
    <w:semiHidden/>
    <w:unhideWhenUsed/>
    <w:rsid w:val="000056EB"/>
    <w:rPr>
      <w:sz w:val="16"/>
      <w:szCs w:val="16"/>
    </w:rPr>
  </w:style>
  <w:style w:type="paragraph" w:styleId="CommentText">
    <w:name w:val="annotation text"/>
    <w:basedOn w:val="Normal"/>
    <w:link w:val="CommentTextChar"/>
    <w:uiPriority w:val="99"/>
    <w:semiHidden/>
    <w:unhideWhenUsed/>
    <w:rsid w:val="000056EB"/>
    <w:pPr>
      <w:spacing w:line="240" w:lineRule="auto"/>
    </w:pPr>
    <w:rPr>
      <w:sz w:val="20"/>
      <w:szCs w:val="20"/>
    </w:rPr>
  </w:style>
  <w:style w:type="character" w:customStyle="1" w:styleId="CommentTextChar">
    <w:name w:val="Comment Text Char"/>
    <w:basedOn w:val="DefaultParagraphFont"/>
    <w:link w:val="CommentText"/>
    <w:uiPriority w:val="99"/>
    <w:semiHidden/>
    <w:rsid w:val="000056EB"/>
    <w:rPr>
      <w:sz w:val="20"/>
      <w:szCs w:val="20"/>
    </w:rPr>
  </w:style>
  <w:style w:type="paragraph" w:styleId="CommentSubject">
    <w:name w:val="annotation subject"/>
    <w:basedOn w:val="CommentText"/>
    <w:next w:val="CommentText"/>
    <w:link w:val="CommentSubjectChar"/>
    <w:uiPriority w:val="99"/>
    <w:semiHidden/>
    <w:unhideWhenUsed/>
    <w:rsid w:val="000056EB"/>
    <w:rPr>
      <w:b/>
      <w:bCs/>
    </w:rPr>
  </w:style>
  <w:style w:type="character" w:customStyle="1" w:styleId="CommentSubjectChar">
    <w:name w:val="Comment Subject Char"/>
    <w:basedOn w:val="CommentTextChar"/>
    <w:link w:val="CommentSubject"/>
    <w:uiPriority w:val="99"/>
    <w:semiHidden/>
    <w:rsid w:val="000056EB"/>
    <w:rPr>
      <w:b/>
      <w:bCs/>
      <w:sz w:val="20"/>
      <w:szCs w:val="20"/>
    </w:rPr>
  </w:style>
  <w:style w:type="paragraph" w:styleId="BalloonText">
    <w:name w:val="Balloon Text"/>
    <w:basedOn w:val="Normal"/>
    <w:link w:val="BalloonTextChar"/>
    <w:uiPriority w:val="99"/>
    <w:semiHidden/>
    <w:unhideWhenUsed/>
    <w:rsid w:val="000056E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56E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7149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13" Type="http://schemas.openxmlformats.org/officeDocument/2006/relationships/image" Target="media/image9.tiff"/><Relationship Id="rId18" Type="http://schemas.openxmlformats.org/officeDocument/2006/relationships/image" Target="media/image14.tif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tiff"/><Relationship Id="rId7" Type="http://schemas.openxmlformats.org/officeDocument/2006/relationships/image" Target="media/image3.tiff"/><Relationship Id="rId12" Type="http://schemas.openxmlformats.org/officeDocument/2006/relationships/image" Target="media/image8.tiff"/><Relationship Id="rId17" Type="http://schemas.openxmlformats.org/officeDocument/2006/relationships/image" Target="media/image13.tif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tiff"/><Relationship Id="rId20" Type="http://schemas.openxmlformats.org/officeDocument/2006/relationships/image" Target="media/image16.tiff"/><Relationship Id="rId1" Type="http://schemas.openxmlformats.org/officeDocument/2006/relationships/customXml" Target="../customXml/item1.xml"/><Relationship Id="rId6" Type="http://schemas.openxmlformats.org/officeDocument/2006/relationships/image" Target="media/image2.tiff"/><Relationship Id="rId11" Type="http://schemas.openxmlformats.org/officeDocument/2006/relationships/image" Target="media/image7.tiff"/><Relationship Id="rId24" Type="http://schemas.openxmlformats.org/officeDocument/2006/relationships/image" Target="media/image20.tiff"/><Relationship Id="rId5" Type="http://schemas.openxmlformats.org/officeDocument/2006/relationships/image" Target="media/image1.tiff"/><Relationship Id="rId15" Type="http://schemas.openxmlformats.org/officeDocument/2006/relationships/image" Target="media/image11.tiff"/><Relationship Id="rId23" Type="http://schemas.openxmlformats.org/officeDocument/2006/relationships/image" Target="media/image19.tiff"/><Relationship Id="rId10" Type="http://schemas.openxmlformats.org/officeDocument/2006/relationships/image" Target="media/image6.tiff"/><Relationship Id="rId19" Type="http://schemas.openxmlformats.org/officeDocument/2006/relationships/image" Target="media/image15.tiff"/><Relationship Id="rId4" Type="http://schemas.openxmlformats.org/officeDocument/2006/relationships/webSettings" Target="webSettings.xml"/><Relationship Id="rId9" Type="http://schemas.openxmlformats.org/officeDocument/2006/relationships/image" Target="media/image5.tiff"/><Relationship Id="rId14" Type="http://schemas.openxmlformats.org/officeDocument/2006/relationships/image" Target="media/image10.tiff"/><Relationship Id="rId22" Type="http://schemas.openxmlformats.org/officeDocument/2006/relationships/image" Target="media/image18.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06D757-840E-47F4-89C7-A79A4A8E7B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598</TotalTime>
  <Pages>15</Pages>
  <Words>2328</Words>
  <Characters>13271</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Natalie Lissenden</dc:creator>
  <cp:keywords/>
  <dc:description/>
  <cp:lastModifiedBy>Rosemary Lees</cp:lastModifiedBy>
  <cp:revision>16</cp:revision>
  <dcterms:created xsi:type="dcterms:W3CDTF">2021-10-13T10:04:00Z</dcterms:created>
  <dcterms:modified xsi:type="dcterms:W3CDTF">2021-10-25T09:28:00Z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a12312e2-0e8c-33a8-a3c4-79d80251778d</vt:lpwstr>
  </property>
  <property fmtid="{D5CDD505-2E9C-101B-9397-08002B2CF9AE}" pid="4" name="Mendeley Citation Style_1">
    <vt:lpwstr>http://www.zotero.org/styles/ieee</vt:lpwstr>
  </property>
  <property fmtid="{D5CDD505-2E9C-101B-9397-08002B2CF9AE}" pid="5" name="Mendeley Recent Style Id 0_1">
    <vt:lpwstr>http://www.zotero.org/styles/american-political-science-association</vt:lpwstr>
  </property>
  <property fmtid="{D5CDD505-2E9C-101B-9397-08002B2CF9AE}" pid="6" name="Mendeley Recent Style Name 0_1">
    <vt:lpwstr>American Political Science Association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(deprecated)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