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27EEE6" w14:textId="0AD9617B" w:rsidR="001A47CB" w:rsidRPr="00C94846" w:rsidRDefault="00654E8F" w:rsidP="00DF5E64">
      <w:pPr>
        <w:pStyle w:val="SupplementaryMaterial"/>
        <w:spacing w:line="360" w:lineRule="auto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</w:rPr>
        <w:t>Supplementary Material</w:t>
      </w:r>
    </w:p>
    <w:p w14:paraId="6E3D0E1C" w14:textId="764B8D6C" w:rsidR="00CD7E60" w:rsidRPr="0037034B" w:rsidRDefault="001A47CB" w:rsidP="00DF5E64">
      <w:pPr>
        <w:spacing w:before="0" w:after="200" w:line="360" w:lineRule="auto"/>
        <w:rPr>
          <w:rFonts w:asciiTheme="minorHAnsi" w:hAnsiTheme="minorHAnsi" w:cstheme="minorHAnsi"/>
          <w:b/>
          <w:bCs/>
        </w:rPr>
      </w:pPr>
      <w:r w:rsidRPr="0037034B">
        <w:rPr>
          <w:rFonts w:asciiTheme="minorHAnsi" w:hAnsiTheme="minorHAnsi" w:cstheme="minorHAnsi"/>
        </w:rPr>
        <w:br w:type="page"/>
      </w:r>
      <w:r w:rsidR="00CD7E60" w:rsidRPr="00C94846">
        <w:rPr>
          <w:rFonts w:ascii="Palatino Linotype" w:hAnsi="Palatino Linotype" w:cstheme="minorHAnsi"/>
          <w:b/>
          <w:bCs/>
          <w:sz w:val="28"/>
          <w:szCs w:val="24"/>
        </w:rPr>
        <w:lastRenderedPageBreak/>
        <w:t xml:space="preserve">Supplemental Tables </w:t>
      </w:r>
    </w:p>
    <w:p w14:paraId="4BEC0D75" w14:textId="77777777" w:rsidR="00CD7E60" w:rsidRPr="00C94846" w:rsidRDefault="00CD7E60" w:rsidP="00DF5E64">
      <w:pPr>
        <w:spacing w:line="360" w:lineRule="auto"/>
        <w:rPr>
          <w:rFonts w:ascii="Palatino Linotype" w:hAnsi="Palatino Linotype" w:cstheme="minorHAnsi"/>
          <w:b/>
          <w:bCs/>
        </w:rPr>
      </w:pPr>
      <w:r w:rsidRPr="00C94846">
        <w:rPr>
          <w:rFonts w:ascii="Palatino Linotype" w:hAnsi="Palatino Linotype" w:cstheme="minorHAnsi"/>
          <w:b/>
          <w:bCs/>
        </w:rPr>
        <w:t xml:space="preserve">Supplemental Table 1. Composition of the </w:t>
      </w:r>
      <w:proofErr w:type="spellStart"/>
      <w:r w:rsidRPr="00C94846">
        <w:rPr>
          <w:rFonts w:ascii="Palatino Linotype" w:hAnsi="Palatino Linotype" w:cstheme="minorHAnsi"/>
          <w:b/>
          <w:bCs/>
        </w:rPr>
        <w:t>EuroFlow</w:t>
      </w:r>
      <w:proofErr w:type="spellEnd"/>
      <w:r w:rsidRPr="00C94846">
        <w:rPr>
          <w:rFonts w:ascii="Palatino Linotype" w:hAnsi="Palatino Linotype" w:cstheme="minorHAnsi"/>
          <w:b/>
          <w:bCs/>
        </w:rPr>
        <w:t xml:space="preserve"> B-cell panel and technical information on the reagents for the IMI2 PERISCOPE BERT study.</w:t>
      </w:r>
    </w:p>
    <w:p w14:paraId="70ADFE93" w14:textId="5B7F1EE2" w:rsidR="00CD7E60" w:rsidRPr="00C94846" w:rsidRDefault="00CD7E60" w:rsidP="00DF5E64">
      <w:pPr>
        <w:spacing w:line="360" w:lineRule="auto"/>
        <w:jc w:val="both"/>
        <w:rPr>
          <w:rFonts w:ascii="Palatino Linotype" w:hAnsi="Palatino Linotype" w:cstheme="minorHAnsi"/>
          <w:b/>
          <w:bCs/>
        </w:rPr>
      </w:pPr>
      <w:r w:rsidRPr="00C94846">
        <w:rPr>
          <w:rFonts w:ascii="Palatino Linotype" w:hAnsi="Palatino Linotype" w:cstheme="minorHAnsi"/>
          <w:b/>
          <w:bCs/>
        </w:rPr>
        <w:t xml:space="preserve">Supplemental Table 2. Phenotypic descriptions used to define B-cell subsets stained with the </w:t>
      </w:r>
      <w:proofErr w:type="spellStart"/>
      <w:r w:rsidRPr="00C94846">
        <w:rPr>
          <w:rFonts w:ascii="Palatino Linotype" w:hAnsi="Palatino Linotype" w:cstheme="minorHAnsi"/>
          <w:b/>
          <w:bCs/>
        </w:rPr>
        <w:t>EuroFlow</w:t>
      </w:r>
      <w:proofErr w:type="spellEnd"/>
      <w:r w:rsidRPr="00C94846">
        <w:rPr>
          <w:rFonts w:ascii="Palatino Linotype" w:hAnsi="Palatino Linotype" w:cstheme="minorHAnsi"/>
          <w:b/>
          <w:bCs/>
        </w:rPr>
        <w:t xml:space="preserve"> B-cell panel by manual analysis. </w:t>
      </w:r>
    </w:p>
    <w:p w14:paraId="3F7E34D8" w14:textId="037072F4" w:rsidR="00CD7E60" w:rsidRPr="00C94846" w:rsidRDefault="00CD7E60" w:rsidP="00DF5E64">
      <w:pPr>
        <w:spacing w:line="360" w:lineRule="auto"/>
        <w:rPr>
          <w:rFonts w:ascii="Palatino Linotype" w:hAnsi="Palatino Linotype" w:cstheme="minorHAnsi"/>
          <w:b/>
          <w:bCs/>
        </w:rPr>
      </w:pPr>
      <w:r w:rsidRPr="00C94846">
        <w:rPr>
          <w:rFonts w:ascii="Palatino Linotype" w:hAnsi="Palatino Linotype" w:cstheme="minorHAnsi"/>
          <w:b/>
          <w:bCs/>
        </w:rPr>
        <w:t>Supplemental Table 3. Baseline distribution of leukocytes, lymphocytes, T cells and NK cells in donor groups.</w:t>
      </w:r>
    </w:p>
    <w:p w14:paraId="6A888A6E" w14:textId="170BC389" w:rsidR="00CD7E60" w:rsidRPr="00C94846" w:rsidRDefault="00CD7E60" w:rsidP="00DF5E64">
      <w:pPr>
        <w:spacing w:before="0" w:after="200" w:line="360" w:lineRule="auto"/>
        <w:rPr>
          <w:rFonts w:ascii="Palatino Linotype" w:hAnsi="Palatino Linotype" w:cstheme="minorHAnsi"/>
          <w:b/>
          <w:bCs/>
        </w:rPr>
      </w:pPr>
      <w:r w:rsidRPr="00C94846">
        <w:rPr>
          <w:rFonts w:ascii="Palatino Linotype" w:hAnsi="Palatino Linotype" w:cstheme="minorHAnsi"/>
          <w:b/>
          <w:bCs/>
        </w:rPr>
        <w:t>Supplemental Table 4. Spearman Ranking Correlation between IgG1+ plasma cell and memory B-cell kinetics and vaccine component-specific serum IgG.</w:t>
      </w:r>
    </w:p>
    <w:p w14:paraId="507D5C63" w14:textId="59365530" w:rsidR="00CD7E60" w:rsidRPr="0037034B" w:rsidRDefault="00CD7E60" w:rsidP="00DF5E64">
      <w:pPr>
        <w:spacing w:before="0" w:after="200" w:line="360" w:lineRule="auto"/>
        <w:rPr>
          <w:rFonts w:asciiTheme="minorHAnsi" w:hAnsiTheme="minorHAnsi" w:cstheme="minorHAnsi"/>
        </w:rPr>
      </w:pPr>
      <w:r w:rsidRPr="00C94846">
        <w:rPr>
          <w:rFonts w:ascii="Palatino Linotype" w:hAnsi="Palatino Linotype" w:cstheme="minorHAnsi"/>
          <w:b/>
          <w:bCs/>
        </w:rPr>
        <w:t>Supplemental Table 5. Spearman Ranking Correlation between IgA1+ plasma cell and IgA memory B-cell kinetics and vaccine component-specific serum IgA</w:t>
      </w:r>
      <w:r w:rsidRPr="0037034B">
        <w:rPr>
          <w:rFonts w:asciiTheme="minorHAnsi" w:hAnsiTheme="minorHAnsi" w:cstheme="minorHAnsi"/>
          <w:b/>
          <w:bCs/>
        </w:rPr>
        <w:t xml:space="preserve">. </w:t>
      </w:r>
      <w:r w:rsidRPr="0037034B">
        <w:rPr>
          <w:rFonts w:asciiTheme="minorHAnsi" w:hAnsiTheme="minorHAnsi" w:cstheme="minorHAnsi"/>
        </w:rPr>
        <w:br w:type="page"/>
      </w:r>
    </w:p>
    <w:p w14:paraId="4EF4DBFF" w14:textId="62E03C80" w:rsidR="00611BCA" w:rsidRPr="0037034B" w:rsidRDefault="009F4405" w:rsidP="00DF5E64">
      <w:pPr>
        <w:spacing w:before="0" w:after="200" w:line="360" w:lineRule="auto"/>
        <w:rPr>
          <w:rFonts w:asciiTheme="minorHAnsi" w:hAnsiTheme="minorHAnsi" w:cstheme="minorHAnsi"/>
        </w:rPr>
      </w:pPr>
      <w:r w:rsidRPr="0037034B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3438CC7B" wp14:editId="4303FEF4">
            <wp:extent cx="4989848" cy="5866072"/>
            <wp:effectExtent l="0" t="0" r="127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573" cy="5882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0E9002" w14:textId="002FC590" w:rsidR="00611BCA" w:rsidRPr="00C94846" w:rsidRDefault="00611BCA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</w:rPr>
        <w:t xml:space="preserve">Supplemental </w:t>
      </w:r>
      <w:r w:rsidR="00917CEB" w:rsidRPr="00C94846">
        <w:rPr>
          <w:rFonts w:ascii="Palatino Linotype" w:hAnsi="Palatino Linotype" w:cstheme="minorHAnsi"/>
          <w:b/>
        </w:rPr>
        <w:t>F</w:t>
      </w:r>
      <w:r w:rsidRPr="00C94846">
        <w:rPr>
          <w:rFonts w:ascii="Palatino Linotype" w:hAnsi="Palatino Linotype" w:cstheme="minorHAnsi"/>
          <w:b/>
        </w:rPr>
        <w:t xml:space="preserve">igure 1. </w:t>
      </w:r>
      <w:r w:rsidRPr="00C94846">
        <w:rPr>
          <w:rFonts w:ascii="Palatino Linotype" w:hAnsi="Palatino Linotype" w:cstheme="minorHAnsi"/>
          <w:b/>
          <w:bCs/>
        </w:rPr>
        <w:t>No clear over-time post-vaccination changes in</w:t>
      </w:r>
      <w:r w:rsidR="00197681" w:rsidRPr="00C94846">
        <w:rPr>
          <w:rFonts w:ascii="Palatino Linotype" w:hAnsi="Palatino Linotype" w:cstheme="minorHAnsi"/>
          <w:b/>
          <w:bCs/>
        </w:rPr>
        <w:t xml:space="preserve"> major populations in any of the donor groups.</w:t>
      </w:r>
      <w:r w:rsidRPr="00C94846">
        <w:rPr>
          <w:rFonts w:ascii="Palatino Linotype" w:hAnsi="Palatino Linotype" w:cstheme="minorHAnsi"/>
          <w:bCs/>
        </w:rPr>
        <w:t xml:space="preserve"> </w:t>
      </w:r>
      <w:r w:rsidR="00C2088C" w:rsidRPr="00C94846">
        <w:rPr>
          <w:rFonts w:ascii="Palatino Linotype" w:hAnsi="Palatino Linotype" w:cstheme="minorHAnsi"/>
          <w:bCs/>
        </w:rPr>
        <w:t xml:space="preserve"> The post-vaccination fluctuations of (</w:t>
      </w:r>
      <w:r w:rsidR="00C2088C" w:rsidRPr="00C94846">
        <w:rPr>
          <w:rFonts w:ascii="Palatino Linotype" w:hAnsi="Palatino Linotype" w:cstheme="minorHAnsi"/>
          <w:b/>
        </w:rPr>
        <w:t>A</w:t>
      </w:r>
      <w:r w:rsidR="00C2088C" w:rsidRPr="00C94846">
        <w:rPr>
          <w:rFonts w:ascii="Palatino Linotype" w:hAnsi="Palatino Linotype" w:cstheme="minorHAnsi"/>
          <w:bCs/>
        </w:rPr>
        <w:t>) leukocytes, (</w:t>
      </w:r>
      <w:r w:rsidR="00C2088C" w:rsidRPr="00C94846">
        <w:rPr>
          <w:rFonts w:ascii="Palatino Linotype" w:hAnsi="Palatino Linotype" w:cstheme="minorHAnsi"/>
          <w:b/>
        </w:rPr>
        <w:t>B</w:t>
      </w:r>
      <w:r w:rsidR="00C2088C" w:rsidRPr="00C94846">
        <w:rPr>
          <w:rFonts w:ascii="Palatino Linotype" w:hAnsi="Palatino Linotype" w:cstheme="minorHAnsi"/>
          <w:bCs/>
        </w:rPr>
        <w:t>) lymphocytes, (</w:t>
      </w:r>
      <w:r w:rsidR="00C2088C" w:rsidRPr="00C94846">
        <w:rPr>
          <w:rFonts w:ascii="Palatino Linotype" w:hAnsi="Palatino Linotype" w:cstheme="minorHAnsi"/>
          <w:b/>
        </w:rPr>
        <w:t>C</w:t>
      </w:r>
      <w:r w:rsidR="00C2088C" w:rsidRPr="00C94846">
        <w:rPr>
          <w:rFonts w:ascii="Palatino Linotype" w:hAnsi="Palatino Linotype" w:cstheme="minorHAnsi"/>
          <w:bCs/>
        </w:rPr>
        <w:t>) T cells, and (</w:t>
      </w:r>
      <w:r w:rsidR="00C2088C" w:rsidRPr="00C94846">
        <w:rPr>
          <w:rFonts w:ascii="Palatino Linotype" w:hAnsi="Palatino Linotype" w:cstheme="minorHAnsi"/>
          <w:b/>
        </w:rPr>
        <w:t>D</w:t>
      </w:r>
      <w:r w:rsidR="00C2088C" w:rsidRPr="00C94846">
        <w:rPr>
          <w:rFonts w:ascii="Palatino Linotype" w:hAnsi="Palatino Linotype" w:cstheme="minorHAnsi"/>
          <w:bCs/>
        </w:rPr>
        <w:t>) NK cells, presented as ratio over baseline</w:t>
      </w:r>
      <w:r w:rsidR="00917CEB" w:rsidRPr="00C94846">
        <w:rPr>
          <w:rFonts w:ascii="Palatino Linotype" w:hAnsi="Palatino Linotype" w:cstheme="minorHAnsi"/>
          <w:bCs/>
        </w:rPr>
        <w:t xml:space="preserve"> (median, min-max)</w:t>
      </w:r>
      <w:r w:rsidR="00C2088C" w:rsidRPr="00C94846">
        <w:rPr>
          <w:rFonts w:ascii="Palatino Linotype" w:hAnsi="Palatino Linotype" w:cstheme="minorHAnsi"/>
          <w:bCs/>
        </w:rPr>
        <w:t>.</w:t>
      </w:r>
      <w:r w:rsidR="00C2088C" w:rsidRPr="00C94846">
        <w:rPr>
          <w:rFonts w:ascii="Palatino Linotype" w:hAnsi="Palatino Linotype" w:cstheme="minorHAnsi"/>
        </w:rPr>
        <w:t xml:space="preserve"> Dashed lines indicate a ratio of 0.67 and 1.5 compared to baseline. </w:t>
      </w:r>
      <w:r w:rsidR="00C2088C" w:rsidRPr="00C94846">
        <w:rPr>
          <w:rFonts w:ascii="Palatino Linotype" w:eastAsia="Cambria" w:hAnsi="Palatino Linotype" w:cstheme="minorHAnsi"/>
          <w:szCs w:val="24"/>
        </w:rPr>
        <w:t xml:space="preserve">Underneath each graph, the baseline cell counts per cohort are presented </w:t>
      </w:r>
      <w:r w:rsidR="00C2088C" w:rsidRPr="00C94846">
        <w:rPr>
          <w:rFonts w:ascii="Palatino Linotype" w:hAnsi="Palatino Linotype" w:cstheme="minorHAnsi"/>
        </w:rPr>
        <w:t>in cells/µL</w:t>
      </w:r>
      <w:r w:rsidR="00917CEB" w:rsidRPr="00C94846">
        <w:rPr>
          <w:rFonts w:ascii="Palatino Linotype" w:hAnsi="Palatino Linotype" w:cstheme="minorHAnsi"/>
        </w:rPr>
        <w:t xml:space="preserve"> (median, min-max)</w:t>
      </w:r>
      <w:r w:rsidR="00C2088C" w:rsidRPr="00C94846">
        <w:rPr>
          <w:rFonts w:ascii="Palatino Linotype" w:hAnsi="Palatino Linotype" w:cstheme="minorHAnsi"/>
        </w:rPr>
        <w:t xml:space="preserve">. To </w:t>
      </w:r>
      <w:r w:rsidR="00911CB8" w:rsidRPr="00C94846">
        <w:rPr>
          <w:rFonts w:ascii="Palatino Linotype" w:hAnsi="Palatino Linotype" w:cstheme="minorHAnsi"/>
        </w:rPr>
        <w:t>assess</w:t>
      </w:r>
      <w:r w:rsidR="00C2088C" w:rsidRPr="00C94846">
        <w:rPr>
          <w:rFonts w:ascii="Palatino Linotype" w:hAnsi="Palatino Linotype" w:cstheme="minorHAnsi"/>
        </w:rPr>
        <w:t xml:space="preserve"> longitudinal changes within each cohort, Wilcoxon matched pair signed-rank test followe</w:t>
      </w:r>
      <w:r w:rsidR="00917CEB" w:rsidRPr="00C94846">
        <w:rPr>
          <w:rFonts w:ascii="Palatino Linotype" w:hAnsi="Palatino Linotype" w:cstheme="minorHAnsi"/>
        </w:rPr>
        <w:t>d</w:t>
      </w:r>
      <w:r w:rsidR="00C2088C" w:rsidRPr="00C94846">
        <w:rPr>
          <w:rFonts w:ascii="Palatino Linotype" w:hAnsi="Palatino Linotype" w:cstheme="minorHAnsi"/>
        </w:rPr>
        <w:t xml:space="preserve"> by Bonferroni correction was used. To test differences between cohorts at one </w:t>
      </w:r>
      <w:r w:rsidR="00C2088C" w:rsidRPr="00C94846">
        <w:rPr>
          <w:rFonts w:ascii="Palatino Linotype" w:hAnsi="Palatino Linotype" w:cstheme="minorHAnsi"/>
        </w:rPr>
        <w:lastRenderedPageBreak/>
        <w:t xml:space="preserve">timepoint, Kruskal-Wallis followed by Dunn’s test was used, with exception of the comparison at day 14. At day 14, only blood samples from the adult cohorts were collected. Here, the Mann-Whitney test followed by Bonferroni correction was used. </w:t>
      </w:r>
      <w:bookmarkStart w:id="0" w:name="_Hlk73971365"/>
      <w:r w:rsidR="00C2088C" w:rsidRPr="00C94846">
        <w:rPr>
          <w:rFonts w:ascii="Palatino Linotype" w:hAnsi="Palatino Linotype" w:cstheme="minorHAnsi"/>
        </w:rPr>
        <w:t xml:space="preserve">For longitudinal changes, only significant differences compared to baseline are shown. </w:t>
      </w:r>
      <w:bookmarkEnd w:id="0"/>
      <w:r w:rsidR="00C2088C" w:rsidRPr="00C94846">
        <w:rPr>
          <w:rFonts w:ascii="Palatino Linotype" w:hAnsi="Palatino Linotype" w:cstheme="minorHAnsi"/>
        </w:rPr>
        <w:t>*, p&lt;0.05; **, p≤0.01.</w:t>
      </w:r>
    </w:p>
    <w:p w14:paraId="19E9B809" w14:textId="2727A7FF" w:rsidR="009F4405" w:rsidRPr="0037034B" w:rsidRDefault="00611BCA" w:rsidP="00DF5E64">
      <w:pPr>
        <w:spacing w:before="0" w:after="200" w:line="360" w:lineRule="auto"/>
        <w:rPr>
          <w:rFonts w:asciiTheme="minorHAnsi" w:hAnsiTheme="minorHAnsi" w:cstheme="minorHAnsi"/>
          <w:b/>
        </w:rPr>
      </w:pPr>
      <w:r w:rsidRPr="00C94846">
        <w:rPr>
          <w:rFonts w:ascii="Palatino Linotype" w:hAnsi="Palatino Linotype" w:cstheme="minorHAnsi"/>
        </w:rPr>
        <w:br w:type="page"/>
      </w:r>
      <w:r w:rsidR="002F1882" w:rsidRPr="0037034B">
        <w:rPr>
          <w:rFonts w:asciiTheme="minorHAnsi" w:hAnsiTheme="minorHAnsi" w:cstheme="minorHAnsi"/>
          <w:b/>
          <w:noProof/>
        </w:rPr>
        <w:lastRenderedPageBreak/>
        <w:drawing>
          <wp:inline distT="0" distB="0" distL="0" distR="0" wp14:anchorId="182D4A15" wp14:editId="5030B69D">
            <wp:extent cx="6384670" cy="4511666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45" cy="45221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3AAEC0" w14:textId="18B39D41" w:rsidR="00DF5E64" w:rsidRPr="00C94846" w:rsidRDefault="00C2088C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</w:rPr>
        <w:t xml:space="preserve">Supplemental </w:t>
      </w:r>
      <w:r w:rsidR="00917CEB" w:rsidRPr="00C94846">
        <w:rPr>
          <w:rFonts w:ascii="Palatino Linotype" w:hAnsi="Palatino Linotype" w:cstheme="minorHAnsi"/>
          <w:b/>
        </w:rPr>
        <w:t>F</w:t>
      </w:r>
      <w:r w:rsidRPr="00C94846">
        <w:rPr>
          <w:rFonts w:ascii="Palatino Linotype" w:hAnsi="Palatino Linotype" w:cstheme="minorHAnsi"/>
          <w:b/>
        </w:rPr>
        <w:t xml:space="preserve">igure 2. </w:t>
      </w:r>
      <w:r w:rsidRPr="00C94846">
        <w:rPr>
          <w:rFonts w:ascii="Palatino Linotype" w:hAnsi="Palatino Linotype" w:cstheme="minorHAnsi"/>
          <w:b/>
          <w:bCs/>
        </w:rPr>
        <w:t xml:space="preserve">Over time maturation of total plasma cells. (A) </w:t>
      </w:r>
      <w:r w:rsidRPr="00C94846">
        <w:rPr>
          <w:rFonts w:ascii="Palatino Linotype" w:eastAsia="Cambria" w:hAnsi="Palatino Linotype" w:cstheme="minorHAnsi"/>
          <w:szCs w:val="24"/>
        </w:rPr>
        <w:t>Representative plots showing the p</w:t>
      </w:r>
      <w:r w:rsidRPr="00C94846">
        <w:rPr>
          <w:rFonts w:ascii="Palatino Linotype" w:hAnsi="Palatino Linotype" w:cstheme="minorHAnsi"/>
        </w:rPr>
        <w:t>henotypical changes during plasma cell maturation. Each dot represents an individual cell. The arrow indicates the direction of changes during maturation</w:t>
      </w:r>
      <w:r w:rsidR="005467CB" w:rsidRPr="00C94846">
        <w:rPr>
          <w:rFonts w:ascii="Palatino Linotype" w:hAnsi="Palatino Linotype" w:cstheme="minorHAnsi"/>
        </w:rPr>
        <w:t>.</w:t>
      </w:r>
      <w:r w:rsidRPr="00C94846">
        <w:rPr>
          <w:rFonts w:ascii="Palatino Linotype" w:hAnsi="Palatino Linotype" w:cstheme="minorHAnsi"/>
        </w:rPr>
        <w:t xml:space="preserve"> </w:t>
      </w:r>
      <w:r w:rsidRPr="00C94846">
        <w:rPr>
          <w:rFonts w:ascii="Palatino Linotype" w:hAnsi="Palatino Linotype" w:cstheme="minorHAnsi"/>
          <w:b/>
          <w:bCs/>
        </w:rPr>
        <w:t>(B)</w:t>
      </w:r>
      <w:r w:rsidRPr="00C94846">
        <w:rPr>
          <w:rFonts w:ascii="Palatino Linotype" w:hAnsi="Palatino Linotype" w:cstheme="minorHAnsi"/>
          <w:bCs/>
        </w:rPr>
        <w:t xml:space="preserve"> </w:t>
      </w:r>
      <w:r w:rsidRPr="00C94846">
        <w:rPr>
          <w:rFonts w:ascii="Palatino Linotype" w:hAnsi="Palatino Linotype" w:cstheme="minorHAnsi"/>
        </w:rPr>
        <w:t xml:space="preserve">Over-time quantitative changes in plasma cells belonging to different maturation stages, presented as ratio over baseline (median, min-max). Dashed lines indicate a ratio of 0.5 and 2.0 compared to baseline. Underneath each graph, the baseline cell counts per cohort are indicated in cells/µL (median, min-max). </w:t>
      </w:r>
      <w:r w:rsidRPr="00C94846">
        <w:rPr>
          <w:rFonts w:ascii="Palatino Linotype" w:hAnsi="Palatino Linotype" w:cstheme="minorHAnsi"/>
          <w:b/>
          <w:bCs/>
        </w:rPr>
        <w:t>(C)</w:t>
      </w:r>
      <w:r w:rsidRPr="00C94846">
        <w:rPr>
          <w:rFonts w:ascii="Palatino Linotype" w:hAnsi="Palatino Linotype" w:cstheme="minorHAnsi"/>
          <w:bCs/>
        </w:rPr>
        <w:t xml:space="preserve"> </w:t>
      </w:r>
      <w:r w:rsidRPr="00C94846">
        <w:rPr>
          <w:rFonts w:ascii="Palatino Linotype" w:hAnsi="Palatino Linotype" w:cstheme="minorHAnsi"/>
        </w:rPr>
        <w:t>Over-time distribution of plasma cells representing different maturation stages with</w:t>
      </w:r>
      <w:r w:rsidR="00917CEB" w:rsidRPr="00C94846">
        <w:rPr>
          <w:rFonts w:ascii="Palatino Linotype" w:hAnsi="Palatino Linotype" w:cstheme="minorHAnsi"/>
        </w:rPr>
        <w:t>in</w:t>
      </w:r>
      <w:r w:rsidRPr="00C94846">
        <w:rPr>
          <w:rFonts w:ascii="Palatino Linotype" w:hAnsi="Palatino Linotype" w:cstheme="minorHAnsi"/>
        </w:rPr>
        <w:t xml:space="preserve"> total plasma cells. Median values for each population were used to construct the plots. Wilcoxon matched pair signed-ranked test followed by Bonferroni correction was used to </w:t>
      </w:r>
      <w:r w:rsidR="00911CB8" w:rsidRPr="00C94846">
        <w:rPr>
          <w:rFonts w:ascii="Palatino Linotype" w:hAnsi="Palatino Linotype" w:cstheme="minorHAnsi"/>
        </w:rPr>
        <w:t xml:space="preserve">assess </w:t>
      </w:r>
      <w:r w:rsidRPr="00C94846">
        <w:rPr>
          <w:rFonts w:ascii="Palatino Linotype" w:hAnsi="Palatino Linotype" w:cstheme="minorHAnsi"/>
        </w:rPr>
        <w:t xml:space="preserve">longitudinal differences in percentage of CD20-CD138+ cells in total plasma cells within each cohort. Differences in the percentage </w:t>
      </w:r>
      <w:r w:rsidRPr="00C94846">
        <w:rPr>
          <w:rFonts w:ascii="Palatino Linotype" w:hAnsi="Palatino Linotype" w:cstheme="minorHAnsi"/>
        </w:rPr>
        <w:lastRenderedPageBreak/>
        <w:t xml:space="preserve">CD20-CD138+ cells in total plasma cells between cohorts were </w:t>
      </w:r>
      <w:r w:rsidR="00911CB8" w:rsidRPr="00C94846">
        <w:rPr>
          <w:rFonts w:ascii="Palatino Linotype" w:hAnsi="Palatino Linotype" w:cstheme="minorHAnsi"/>
        </w:rPr>
        <w:t>assessed</w:t>
      </w:r>
      <w:r w:rsidRPr="00C94846">
        <w:rPr>
          <w:rFonts w:ascii="Palatino Linotype" w:hAnsi="Palatino Linotype" w:cstheme="minorHAnsi"/>
        </w:rPr>
        <w:t xml:space="preserve"> using Kruskal-Wallis followed by Dunn’s test, but did not yield significant differences. </w:t>
      </w:r>
      <w:r w:rsidR="00E77A4E" w:rsidRPr="00C94846">
        <w:rPr>
          <w:rFonts w:ascii="Palatino Linotype" w:hAnsi="Palatino Linotype" w:cstheme="minorHAnsi"/>
        </w:rPr>
        <w:t xml:space="preserve">At day 14, only blood samples from the adult cohorts were collected. Here, the Mann-Whitney test followed by Bonferroni correction was used. </w:t>
      </w:r>
      <w:r w:rsidRPr="00C94846">
        <w:rPr>
          <w:rFonts w:ascii="Palatino Linotype" w:hAnsi="Palatino Linotype" w:cstheme="minorHAnsi"/>
        </w:rPr>
        <w:t>For longitudinal changes, only significant differences compared to baseline are shown. Significant longitudinal differences within a cohort as indicated with *, p&lt;0.05; **, p≤0.01; ***, p≤0.001. Significant differences between cohorts at the same time point are indicated with #, p&lt;0.05; ##, p≤0.01; ###, p≤0.001.</w:t>
      </w:r>
    </w:p>
    <w:p w14:paraId="3DA485B4" w14:textId="77777777" w:rsidR="00DF5E64" w:rsidRDefault="00DF5E64">
      <w:pPr>
        <w:spacing w:before="0" w:after="200" w:line="276" w:lineRule="auto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br w:type="page"/>
      </w:r>
    </w:p>
    <w:p w14:paraId="7BE5D7DD" w14:textId="0275F8B0" w:rsidR="001A47CB" w:rsidRPr="0037034B" w:rsidRDefault="009F4405" w:rsidP="00DF5E64">
      <w:pPr>
        <w:spacing w:before="0" w:after="200" w:line="360" w:lineRule="auto"/>
        <w:rPr>
          <w:rFonts w:asciiTheme="minorHAnsi" w:hAnsiTheme="minorHAnsi" w:cstheme="minorHAnsi"/>
        </w:rPr>
      </w:pPr>
      <w:r w:rsidRPr="0037034B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17D46514" wp14:editId="302D668E">
            <wp:extent cx="6425203" cy="4194148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022" cy="41972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EB84D5" w14:textId="4D8D43B1" w:rsidR="004D0170" w:rsidRPr="00C94846" w:rsidRDefault="001A47CB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</w:rPr>
        <w:t xml:space="preserve">Supplemental </w:t>
      </w:r>
      <w:r w:rsidR="00917CEB" w:rsidRPr="00C94846">
        <w:rPr>
          <w:rFonts w:ascii="Palatino Linotype" w:hAnsi="Palatino Linotype" w:cstheme="minorHAnsi"/>
          <w:b/>
        </w:rPr>
        <w:t>F</w:t>
      </w:r>
      <w:r w:rsidRPr="00C94846">
        <w:rPr>
          <w:rFonts w:ascii="Palatino Linotype" w:hAnsi="Palatino Linotype" w:cstheme="minorHAnsi"/>
          <w:b/>
        </w:rPr>
        <w:t xml:space="preserve">igure </w:t>
      </w:r>
      <w:r w:rsidR="00FE33BB" w:rsidRPr="00C94846">
        <w:rPr>
          <w:rFonts w:ascii="Palatino Linotype" w:hAnsi="Palatino Linotype" w:cstheme="minorHAnsi"/>
          <w:b/>
        </w:rPr>
        <w:t>3</w:t>
      </w:r>
      <w:r w:rsidRPr="00C94846">
        <w:rPr>
          <w:rFonts w:ascii="Palatino Linotype" w:hAnsi="Palatino Linotype" w:cstheme="minorHAnsi"/>
          <w:b/>
        </w:rPr>
        <w:t>.</w:t>
      </w:r>
      <w:r w:rsidRPr="00C94846">
        <w:rPr>
          <w:rFonts w:ascii="Palatino Linotype" w:hAnsi="Palatino Linotype" w:cstheme="minorHAnsi"/>
          <w:b/>
          <w:bCs/>
        </w:rPr>
        <w:t xml:space="preserve"> No significant changes in IgG1+ memory B-cell subsets upon vaccination. </w:t>
      </w:r>
      <w:r w:rsidR="00503BE9" w:rsidRPr="00C94846">
        <w:rPr>
          <w:rFonts w:ascii="Palatino Linotype" w:hAnsi="Palatino Linotype" w:cstheme="minorHAnsi"/>
        </w:rPr>
        <w:t>Over-time quantitative changes in IgG1+ memory B-cell subsets, presented as ratio over baseline (median, min-max).</w:t>
      </w:r>
      <w:r w:rsidRPr="00C94846">
        <w:rPr>
          <w:rFonts w:ascii="Palatino Linotype" w:hAnsi="Palatino Linotype" w:cstheme="minorHAnsi"/>
        </w:rPr>
        <w:t xml:space="preserve"> Dashed lines indicate a ratio</w:t>
      </w:r>
      <w:r w:rsidR="00503BE9" w:rsidRPr="00C94846">
        <w:rPr>
          <w:rFonts w:ascii="Palatino Linotype" w:hAnsi="Palatino Linotype" w:cstheme="minorHAnsi"/>
        </w:rPr>
        <w:t xml:space="preserve"> over baseline</w:t>
      </w:r>
      <w:r w:rsidRPr="00C94846">
        <w:rPr>
          <w:rFonts w:ascii="Palatino Linotype" w:hAnsi="Palatino Linotype" w:cstheme="minorHAnsi"/>
        </w:rPr>
        <w:t xml:space="preserve"> of 0.67 and 1.5. </w:t>
      </w:r>
      <w:r w:rsidR="00197681" w:rsidRPr="00C94846">
        <w:rPr>
          <w:rFonts w:ascii="Palatino Linotype" w:eastAsia="Cambria" w:hAnsi="Palatino Linotype" w:cstheme="minorHAnsi"/>
          <w:szCs w:val="24"/>
        </w:rPr>
        <w:t xml:space="preserve">Underneath each graph, the baseline cell counts per cohort are presented </w:t>
      </w:r>
      <w:r w:rsidR="00197681" w:rsidRPr="00C94846">
        <w:rPr>
          <w:rFonts w:ascii="Palatino Linotype" w:hAnsi="Palatino Linotype" w:cstheme="minorHAnsi"/>
        </w:rPr>
        <w:t>in cells/µL</w:t>
      </w:r>
      <w:r w:rsidR="00503BE9" w:rsidRPr="00C94846">
        <w:rPr>
          <w:rFonts w:ascii="Palatino Linotype" w:hAnsi="Palatino Linotype" w:cstheme="minorHAnsi"/>
        </w:rPr>
        <w:t xml:space="preserve"> (median, min-max)</w:t>
      </w:r>
      <w:r w:rsidR="00197681" w:rsidRPr="00C94846">
        <w:rPr>
          <w:rFonts w:ascii="Palatino Linotype" w:hAnsi="Palatino Linotype" w:cstheme="minorHAnsi"/>
        </w:rPr>
        <w:t xml:space="preserve">. </w:t>
      </w:r>
      <w:r w:rsidRPr="00C94846">
        <w:rPr>
          <w:rFonts w:ascii="Palatino Linotype" w:hAnsi="Palatino Linotype" w:cstheme="minorHAnsi"/>
        </w:rPr>
        <w:t xml:space="preserve">Wilcoxon matched pair signed-ranked test followed by Bonferroni correction was used to </w:t>
      </w:r>
      <w:r w:rsidR="00911CB8" w:rsidRPr="00C94846">
        <w:rPr>
          <w:rFonts w:ascii="Palatino Linotype" w:hAnsi="Palatino Linotype" w:cstheme="minorHAnsi"/>
        </w:rPr>
        <w:t xml:space="preserve">assess </w:t>
      </w:r>
      <w:r w:rsidRPr="00C94846">
        <w:rPr>
          <w:rFonts w:ascii="Palatino Linotype" w:hAnsi="Palatino Linotype" w:cstheme="minorHAnsi"/>
        </w:rPr>
        <w:t xml:space="preserve">differences in ratio compared to baseline over time. </w:t>
      </w:r>
      <w:r w:rsidR="00503BE9" w:rsidRPr="00C94846">
        <w:rPr>
          <w:rFonts w:ascii="Palatino Linotype" w:hAnsi="Palatino Linotype" w:cstheme="minorHAnsi"/>
        </w:rPr>
        <w:t xml:space="preserve">For longitudinal changes, only significant differences compared to baseline are shown. </w:t>
      </w:r>
      <w:r w:rsidRPr="00C94846">
        <w:rPr>
          <w:rFonts w:ascii="Palatino Linotype" w:hAnsi="Palatino Linotype" w:cstheme="minorHAnsi"/>
        </w:rPr>
        <w:t>*, p&lt;0.05; **, p≤0.01; ***, p≤0.001.</w:t>
      </w:r>
    </w:p>
    <w:p w14:paraId="1DA4BD71" w14:textId="77777777" w:rsidR="004D0170" w:rsidRPr="0037034B" w:rsidRDefault="004D0170" w:rsidP="00DF5E64">
      <w:pPr>
        <w:spacing w:before="0" w:after="200" w:line="360" w:lineRule="auto"/>
        <w:rPr>
          <w:rFonts w:asciiTheme="minorHAnsi" w:hAnsiTheme="minorHAnsi" w:cstheme="minorHAnsi"/>
        </w:rPr>
      </w:pPr>
      <w:r w:rsidRPr="0037034B">
        <w:rPr>
          <w:rFonts w:asciiTheme="minorHAnsi" w:hAnsiTheme="minorHAnsi" w:cstheme="minorHAnsi"/>
        </w:rPr>
        <w:br w:type="page"/>
      </w:r>
    </w:p>
    <w:p w14:paraId="118EAE81" w14:textId="17AD2547" w:rsidR="004D0170" w:rsidRPr="0037034B" w:rsidRDefault="00911CB8" w:rsidP="00DF5E64">
      <w:pPr>
        <w:spacing w:before="0" w:after="200" w:line="360" w:lineRule="auto"/>
        <w:rPr>
          <w:rFonts w:asciiTheme="minorHAnsi" w:hAnsiTheme="minorHAnsi" w:cstheme="minorHAnsi"/>
          <w:b/>
          <w:bCs/>
        </w:rPr>
      </w:pPr>
      <w:r w:rsidRPr="0037034B">
        <w:rPr>
          <w:rFonts w:asciiTheme="minorHAnsi" w:hAnsiTheme="minorHAnsi" w:cstheme="minorHAnsi"/>
          <w:b/>
          <w:bCs/>
          <w:noProof/>
        </w:rPr>
        <w:lastRenderedPageBreak/>
        <w:drawing>
          <wp:inline distT="0" distB="0" distL="0" distR="0" wp14:anchorId="544F050F" wp14:editId="60836EAA">
            <wp:extent cx="5210051" cy="45192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079" cy="45219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9210024" w14:textId="16DEA8DE" w:rsidR="00C2088C" w:rsidRPr="00C94846" w:rsidRDefault="00C2088C" w:rsidP="00DF5E64">
      <w:pPr>
        <w:spacing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  <w:bCs/>
        </w:rPr>
        <w:t xml:space="preserve">Supplemental Figure 4. Correlation between cellular changes as measured by flow cytometry and ELISpot. </w:t>
      </w:r>
      <w:r w:rsidRPr="00C94846">
        <w:rPr>
          <w:rFonts w:ascii="Palatino Linotype" w:hAnsi="Palatino Linotype" w:cstheme="minorHAnsi"/>
        </w:rPr>
        <w:t xml:space="preserve"> </w:t>
      </w:r>
      <w:r w:rsidRPr="00C94846">
        <w:rPr>
          <w:rFonts w:ascii="Palatino Linotype" w:hAnsi="Palatino Linotype" w:cstheme="minorHAnsi"/>
          <w:b/>
          <w:bCs/>
        </w:rPr>
        <w:t>(A)</w:t>
      </w:r>
      <w:r w:rsidRPr="00C94846">
        <w:rPr>
          <w:rFonts w:ascii="Palatino Linotype" w:hAnsi="Palatino Linotype" w:cstheme="minorHAnsi"/>
        </w:rPr>
        <w:t xml:space="preserve"> Left panel: expansion of IgG+ Memory B cells (day 28) per individual, expressed as absolute increase in cells/ul. Right panel: correlation between the ELISpot readings and the flow cytometry readout for IgG</w:t>
      </w:r>
      <w:r w:rsidR="00911CB8" w:rsidRPr="00C94846">
        <w:rPr>
          <w:rFonts w:ascii="Palatino Linotype" w:hAnsi="Palatino Linotype" w:cstheme="minorHAnsi"/>
        </w:rPr>
        <w:t>+</w:t>
      </w:r>
      <w:r w:rsidRPr="00C94846">
        <w:rPr>
          <w:rFonts w:ascii="Palatino Linotype" w:hAnsi="Palatino Linotype" w:cstheme="minorHAnsi"/>
        </w:rPr>
        <w:t xml:space="preserve"> Memory B cells. </w:t>
      </w:r>
      <w:r w:rsidRPr="00C94846">
        <w:rPr>
          <w:rFonts w:ascii="Palatino Linotype" w:hAnsi="Palatino Linotype" w:cstheme="minorHAnsi"/>
          <w:b/>
          <w:bCs/>
        </w:rPr>
        <w:t>(B)</w:t>
      </w:r>
      <w:r w:rsidRPr="00C94846">
        <w:rPr>
          <w:rFonts w:ascii="Palatino Linotype" w:hAnsi="Palatino Linotype" w:cstheme="minorHAnsi"/>
        </w:rPr>
        <w:t xml:space="preserve"> Left panel: expansion of IgA+ Memory B cells (day 28) per individual, expressed as absolute increase in cells/ul. Right panel: correlation between the ELISpot readings and the flow cytometry readout for IgA</w:t>
      </w:r>
      <w:r w:rsidR="00911CB8" w:rsidRPr="00C94846">
        <w:rPr>
          <w:rFonts w:ascii="Palatino Linotype" w:hAnsi="Palatino Linotype" w:cstheme="minorHAnsi"/>
        </w:rPr>
        <w:t>+</w:t>
      </w:r>
      <w:r w:rsidRPr="00C94846">
        <w:rPr>
          <w:rFonts w:ascii="Palatino Linotype" w:hAnsi="Palatino Linotype" w:cstheme="minorHAnsi"/>
        </w:rPr>
        <w:t xml:space="preserve"> Memory B cells. Of note; for visualization purposes, all absolute increases lower than 0.01 were set to 0.01. </w:t>
      </w:r>
      <w:r w:rsidR="00503BE9" w:rsidRPr="00C94846">
        <w:rPr>
          <w:rFonts w:ascii="Palatino Linotype" w:hAnsi="Palatino Linotype" w:cstheme="minorHAnsi"/>
        </w:rPr>
        <w:t>The o</w:t>
      </w:r>
      <w:r w:rsidRPr="00C94846">
        <w:rPr>
          <w:rFonts w:ascii="Palatino Linotype" w:hAnsi="Palatino Linotype" w:cstheme="minorHAnsi"/>
        </w:rPr>
        <w:t xml:space="preserve">riginal values were used to calculate the Spearman Correlations. Flow </w:t>
      </w:r>
      <w:proofErr w:type="spellStart"/>
      <w:r w:rsidRPr="00C94846">
        <w:rPr>
          <w:rFonts w:ascii="Palatino Linotype" w:hAnsi="Palatino Linotype" w:cstheme="minorHAnsi"/>
        </w:rPr>
        <w:t>Cyt</w:t>
      </w:r>
      <w:proofErr w:type="spellEnd"/>
      <w:r w:rsidRPr="00C94846">
        <w:rPr>
          <w:rFonts w:ascii="Palatino Linotype" w:hAnsi="Palatino Linotype" w:cstheme="minorHAnsi"/>
        </w:rPr>
        <w:t>. = flow cytometry; spec</w:t>
      </w:r>
      <w:r w:rsidR="00BE1CAA" w:rsidRPr="00C94846">
        <w:rPr>
          <w:rFonts w:ascii="Palatino Linotype" w:hAnsi="Palatino Linotype" w:cstheme="minorHAnsi"/>
        </w:rPr>
        <w:t>.</w:t>
      </w:r>
      <w:r w:rsidRPr="00C94846">
        <w:rPr>
          <w:rFonts w:ascii="Palatino Linotype" w:hAnsi="Palatino Linotype" w:cstheme="minorHAnsi"/>
        </w:rPr>
        <w:t>= specific (in this case, specific for the tested vaccine antigens); MBC = Memory B cells; PBMC= peripheral blood mononuclear cells; d= days after vaccination</w:t>
      </w:r>
      <w:r w:rsidR="00503BE9" w:rsidRPr="00C94846">
        <w:rPr>
          <w:rFonts w:ascii="Palatino Linotype" w:hAnsi="Palatino Linotype" w:cstheme="minorHAnsi"/>
        </w:rPr>
        <w:t>; r= Spearman’s Correlation coefficient</w:t>
      </w:r>
      <w:r w:rsidR="00911CB8" w:rsidRPr="00C94846">
        <w:rPr>
          <w:rFonts w:ascii="Palatino Linotype" w:hAnsi="Palatino Linotype" w:cstheme="minorHAnsi"/>
        </w:rPr>
        <w:t>; abs.= absolute</w:t>
      </w:r>
      <w:r w:rsidR="00BE1CAA" w:rsidRPr="00C94846">
        <w:rPr>
          <w:rFonts w:ascii="Palatino Linotype" w:hAnsi="Palatino Linotype" w:cstheme="minorHAnsi"/>
        </w:rPr>
        <w:t>.</w:t>
      </w:r>
    </w:p>
    <w:p w14:paraId="075128D9" w14:textId="4F98C687" w:rsidR="001A47CB" w:rsidRPr="0037034B" w:rsidRDefault="001A47CB" w:rsidP="00DF5E64">
      <w:pPr>
        <w:spacing w:before="0" w:after="200" w:line="360" w:lineRule="auto"/>
        <w:rPr>
          <w:rFonts w:asciiTheme="minorHAnsi" w:hAnsiTheme="minorHAnsi" w:cstheme="minorHAnsi"/>
        </w:rPr>
      </w:pPr>
    </w:p>
    <w:p w14:paraId="2B1D31CB" w14:textId="4DCBC430" w:rsidR="001A47CB" w:rsidRPr="00C94846" w:rsidRDefault="0010160C" w:rsidP="00DF5E64">
      <w:pPr>
        <w:spacing w:before="0" w:after="200" w:line="360" w:lineRule="auto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noProof/>
        </w:rPr>
        <w:lastRenderedPageBreak/>
        <w:drawing>
          <wp:inline distT="0" distB="0" distL="0" distR="0" wp14:anchorId="7A753912" wp14:editId="4486C677">
            <wp:extent cx="6652486" cy="3105117"/>
            <wp:effectExtent l="0" t="0" r="0" b="63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7528" cy="31214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65D27D" w14:textId="57758497" w:rsidR="001A47CB" w:rsidRPr="00C94846" w:rsidRDefault="001A47CB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  <w:bCs/>
        </w:rPr>
        <w:t xml:space="preserve">Supplemental </w:t>
      </w:r>
      <w:r w:rsidR="00917CEB" w:rsidRPr="00C94846">
        <w:rPr>
          <w:rFonts w:ascii="Palatino Linotype" w:hAnsi="Palatino Linotype" w:cstheme="minorHAnsi"/>
          <w:b/>
          <w:bCs/>
        </w:rPr>
        <w:t>F</w:t>
      </w:r>
      <w:r w:rsidRPr="00C94846">
        <w:rPr>
          <w:rFonts w:ascii="Palatino Linotype" w:hAnsi="Palatino Linotype" w:cstheme="minorHAnsi"/>
          <w:b/>
          <w:bCs/>
        </w:rPr>
        <w:t xml:space="preserve">igure </w:t>
      </w:r>
      <w:r w:rsidR="004D0170" w:rsidRPr="00C94846">
        <w:rPr>
          <w:rFonts w:ascii="Palatino Linotype" w:hAnsi="Palatino Linotype" w:cstheme="minorHAnsi"/>
          <w:b/>
          <w:bCs/>
        </w:rPr>
        <w:t>5</w:t>
      </w:r>
      <w:r w:rsidRPr="00C94846">
        <w:rPr>
          <w:rFonts w:ascii="Palatino Linotype" w:hAnsi="Palatino Linotype" w:cstheme="minorHAnsi"/>
          <w:b/>
          <w:bCs/>
        </w:rPr>
        <w:t>.</w:t>
      </w:r>
      <w:r w:rsidRPr="00C94846">
        <w:rPr>
          <w:rFonts w:ascii="Palatino Linotype" w:hAnsi="Palatino Linotype" w:cstheme="minorHAnsi"/>
        </w:rPr>
        <w:t xml:space="preserve"> </w:t>
      </w:r>
      <w:r w:rsidRPr="00C94846">
        <w:rPr>
          <w:rFonts w:ascii="Palatino Linotype" w:hAnsi="Palatino Linotype" w:cstheme="minorHAnsi"/>
          <w:b/>
          <w:bCs/>
        </w:rPr>
        <w:t xml:space="preserve">Correlation between cellular changes and the </w:t>
      </w:r>
      <w:r w:rsidR="00503BE9" w:rsidRPr="00C94846">
        <w:rPr>
          <w:rFonts w:ascii="Palatino Linotype" w:hAnsi="Palatino Linotype" w:cstheme="minorHAnsi"/>
          <w:b/>
          <w:bCs/>
        </w:rPr>
        <w:t>vaccine</w:t>
      </w:r>
      <w:r w:rsidRPr="00C94846">
        <w:rPr>
          <w:rFonts w:ascii="Palatino Linotype" w:hAnsi="Palatino Linotype" w:cstheme="minorHAnsi"/>
          <w:b/>
          <w:bCs/>
        </w:rPr>
        <w:t xml:space="preserve">-specific serum IgG level post-vaccination as determined by Spearman’s Ranking Correlation per age cohort. </w:t>
      </w:r>
      <w:r w:rsidRPr="00C94846">
        <w:rPr>
          <w:rFonts w:ascii="Palatino Linotype" w:hAnsi="Palatino Linotype" w:cstheme="minorHAnsi"/>
        </w:rPr>
        <w:t>Per cohort the left plot shows the correlation between the maximum expansion of IgG1 plasma cells (d</w:t>
      </w:r>
      <w:r w:rsidR="002F0E9E" w:rsidRPr="00C94846">
        <w:rPr>
          <w:rFonts w:ascii="Palatino Linotype" w:hAnsi="Palatino Linotype" w:cstheme="minorHAnsi"/>
        </w:rPr>
        <w:t xml:space="preserve">ay </w:t>
      </w:r>
      <w:r w:rsidRPr="00C94846">
        <w:rPr>
          <w:rFonts w:ascii="Palatino Linotype" w:hAnsi="Palatino Linotype" w:cstheme="minorHAnsi"/>
        </w:rPr>
        <w:t xml:space="preserve">7) and </w:t>
      </w:r>
      <w:r w:rsidR="00503BE9" w:rsidRPr="00C94846">
        <w:rPr>
          <w:rFonts w:ascii="Palatino Linotype" w:hAnsi="Palatino Linotype" w:cstheme="minorHAnsi"/>
        </w:rPr>
        <w:t>vaccine</w:t>
      </w:r>
      <w:r w:rsidRPr="00C94846">
        <w:rPr>
          <w:rFonts w:ascii="Palatino Linotype" w:hAnsi="Palatino Linotype" w:cstheme="minorHAnsi"/>
        </w:rPr>
        <w:t>-specific serum IgG</w:t>
      </w:r>
      <w:r w:rsidR="0010160C" w:rsidRPr="00C94846">
        <w:rPr>
          <w:rFonts w:ascii="Palatino Linotype" w:hAnsi="Palatino Linotype" w:cstheme="minorHAnsi"/>
        </w:rPr>
        <w:t xml:space="preserve"> </w:t>
      </w:r>
      <w:r w:rsidR="00503BE9" w:rsidRPr="00C94846">
        <w:rPr>
          <w:rFonts w:ascii="Palatino Linotype" w:hAnsi="Palatino Linotype" w:cstheme="minorHAnsi"/>
        </w:rPr>
        <w:t xml:space="preserve">(directed against FHA, Prn, PT and Tet) </w:t>
      </w:r>
      <w:r w:rsidRPr="00C94846">
        <w:rPr>
          <w:rFonts w:ascii="Palatino Linotype" w:hAnsi="Palatino Linotype" w:cstheme="minorHAnsi"/>
        </w:rPr>
        <w:t>(d</w:t>
      </w:r>
      <w:r w:rsidR="002F0E9E" w:rsidRPr="00C94846">
        <w:rPr>
          <w:rFonts w:ascii="Palatino Linotype" w:hAnsi="Palatino Linotype" w:cstheme="minorHAnsi"/>
        </w:rPr>
        <w:t xml:space="preserve">ay </w:t>
      </w:r>
      <w:r w:rsidRPr="00C94846">
        <w:rPr>
          <w:rFonts w:ascii="Palatino Linotype" w:hAnsi="Palatino Linotype" w:cstheme="minorHAnsi"/>
        </w:rPr>
        <w:t>28). The right plots show the correlation between the maximum expansion of IgG1 memory B cells (d</w:t>
      </w:r>
      <w:r w:rsidR="002F0E9E" w:rsidRPr="00C94846">
        <w:rPr>
          <w:rFonts w:ascii="Palatino Linotype" w:hAnsi="Palatino Linotype" w:cstheme="minorHAnsi"/>
        </w:rPr>
        <w:t xml:space="preserve">ay </w:t>
      </w:r>
      <w:r w:rsidRPr="00C94846">
        <w:rPr>
          <w:rFonts w:ascii="Palatino Linotype" w:hAnsi="Palatino Linotype" w:cstheme="minorHAnsi"/>
        </w:rPr>
        <w:t>14 or d</w:t>
      </w:r>
      <w:r w:rsidR="002F0E9E" w:rsidRPr="00C94846">
        <w:rPr>
          <w:rFonts w:ascii="Palatino Linotype" w:hAnsi="Palatino Linotype" w:cstheme="minorHAnsi"/>
        </w:rPr>
        <w:t xml:space="preserve">ay </w:t>
      </w:r>
      <w:r w:rsidRPr="00C94846">
        <w:rPr>
          <w:rFonts w:ascii="Palatino Linotype" w:hAnsi="Palatino Linotype" w:cstheme="minorHAnsi"/>
        </w:rPr>
        <w:t xml:space="preserve">28) and </w:t>
      </w:r>
      <w:r w:rsidR="00503BE9" w:rsidRPr="00C94846">
        <w:rPr>
          <w:rFonts w:ascii="Palatino Linotype" w:hAnsi="Palatino Linotype" w:cstheme="minorHAnsi"/>
        </w:rPr>
        <w:t>vaccine</w:t>
      </w:r>
      <w:r w:rsidRPr="00C94846">
        <w:rPr>
          <w:rFonts w:ascii="Palatino Linotype" w:hAnsi="Palatino Linotype" w:cstheme="minorHAnsi"/>
        </w:rPr>
        <w:t>-specific serum IgG</w:t>
      </w:r>
      <w:r w:rsidR="00686F6F" w:rsidRPr="00C94846">
        <w:rPr>
          <w:rFonts w:ascii="Palatino Linotype" w:hAnsi="Palatino Linotype" w:cstheme="minorHAnsi"/>
        </w:rPr>
        <w:t xml:space="preserve"> </w:t>
      </w:r>
      <w:r w:rsidR="00503BE9" w:rsidRPr="00C94846">
        <w:rPr>
          <w:rFonts w:ascii="Palatino Linotype" w:hAnsi="Palatino Linotype" w:cstheme="minorHAnsi"/>
        </w:rPr>
        <w:t xml:space="preserve">(directed against FHA, Prn, PT and Tet) </w:t>
      </w:r>
      <w:r w:rsidRPr="00C94846">
        <w:rPr>
          <w:rFonts w:ascii="Palatino Linotype" w:hAnsi="Palatino Linotype" w:cstheme="minorHAnsi"/>
        </w:rPr>
        <w:t>(d</w:t>
      </w:r>
      <w:r w:rsidR="002F0E9E" w:rsidRPr="00C94846">
        <w:rPr>
          <w:rFonts w:ascii="Palatino Linotype" w:hAnsi="Palatino Linotype" w:cstheme="minorHAnsi"/>
        </w:rPr>
        <w:t xml:space="preserve">ay </w:t>
      </w:r>
      <w:r w:rsidRPr="00C94846">
        <w:rPr>
          <w:rFonts w:ascii="Palatino Linotype" w:hAnsi="Palatino Linotype" w:cstheme="minorHAnsi"/>
        </w:rPr>
        <w:t>28).</w:t>
      </w:r>
      <w:r w:rsidR="00C2088C" w:rsidRPr="00C94846">
        <w:rPr>
          <w:rFonts w:ascii="Palatino Linotype" w:hAnsi="Palatino Linotype" w:cstheme="minorHAnsi"/>
        </w:rPr>
        <w:t xml:space="preserve"> MBC = memory B cell</w:t>
      </w:r>
      <w:r w:rsidR="00503BE9" w:rsidRPr="00C94846">
        <w:rPr>
          <w:rFonts w:ascii="Palatino Linotype" w:hAnsi="Palatino Linotype" w:cstheme="minorHAnsi"/>
        </w:rPr>
        <w:t>;</w:t>
      </w:r>
      <w:r w:rsidR="00C2088C" w:rsidRPr="00C94846">
        <w:rPr>
          <w:rFonts w:ascii="Palatino Linotype" w:hAnsi="Palatino Linotype" w:cstheme="minorHAnsi"/>
        </w:rPr>
        <w:t xml:space="preserve"> r= Spearman’s correlation coefficient</w:t>
      </w:r>
      <w:r w:rsidR="00503BE9" w:rsidRPr="00C94846">
        <w:rPr>
          <w:rFonts w:ascii="Palatino Linotype" w:hAnsi="Palatino Linotype" w:cstheme="minorHAnsi"/>
        </w:rPr>
        <w:t>;</w:t>
      </w:r>
      <w:r w:rsidR="00C2088C" w:rsidRPr="00C94846">
        <w:rPr>
          <w:rFonts w:ascii="Palatino Linotype" w:hAnsi="Palatino Linotype" w:cstheme="minorHAnsi"/>
        </w:rPr>
        <w:t xml:space="preserve"> d= days after vaccination. </w:t>
      </w:r>
    </w:p>
    <w:p w14:paraId="2816129B" w14:textId="77777777" w:rsidR="003A20FA" w:rsidRPr="00C94846" w:rsidRDefault="003A20FA" w:rsidP="00DF5E64">
      <w:pPr>
        <w:spacing w:before="0" w:after="200" w:line="360" w:lineRule="auto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</w:rPr>
        <w:br w:type="page"/>
      </w:r>
    </w:p>
    <w:p w14:paraId="43ABB461" w14:textId="161CDA18" w:rsidR="00A8616F" w:rsidRPr="0037034B" w:rsidRDefault="00AA60E8" w:rsidP="00DF5E64">
      <w:pPr>
        <w:spacing w:before="0" w:after="200" w:line="360" w:lineRule="auto"/>
        <w:rPr>
          <w:rFonts w:asciiTheme="minorHAnsi" w:hAnsiTheme="minorHAnsi" w:cstheme="minorHAnsi"/>
          <w:b/>
          <w:bCs/>
        </w:rPr>
      </w:pPr>
      <w:r w:rsidRPr="0037034B">
        <w:rPr>
          <w:rFonts w:asciiTheme="minorHAnsi" w:hAnsiTheme="minorHAnsi" w:cstheme="minorHAnsi"/>
          <w:b/>
          <w:bCs/>
          <w:noProof/>
        </w:rPr>
        <w:lastRenderedPageBreak/>
        <w:drawing>
          <wp:inline distT="0" distB="0" distL="0" distR="0" wp14:anchorId="023FC32A" wp14:editId="54982D68">
            <wp:extent cx="6482341" cy="393954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055" cy="3950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2D11121" w14:textId="70A83A57" w:rsidR="001A47CB" w:rsidRPr="00C94846" w:rsidRDefault="00503BE9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  <w:bCs/>
        </w:rPr>
        <w:t>Supplemental Figure 6</w:t>
      </w:r>
      <w:r w:rsidRPr="00C94846">
        <w:rPr>
          <w:rFonts w:ascii="Palatino Linotype" w:hAnsi="Palatino Linotype" w:cstheme="minorHAnsi"/>
        </w:rPr>
        <w:t xml:space="preserve">. </w:t>
      </w:r>
      <w:r w:rsidRPr="00C94846">
        <w:rPr>
          <w:rFonts w:ascii="Palatino Linotype" w:hAnsi="Palatino Linotype" w:cstheme="minorHAnsi"/>
          <w:b/>
          <w:bCs/>
        </w:rPr>
        <w:t xml:space="preserve">Impact of sex on cellular responses after vaccination in the young adult cohort (all </w:t>
      </w:r>
      <w:proofErr w:type="spellStart"/>
      <w:r w:rsidRPr="00C94846">
        <w:rPr>
          <w:rFonts w:ascii="Palatino Linotype" w:hAnsi="Palatino Linotype" w:cstheme="minorHAnsi"/>
          <w:b/>
          <w:bCs/>
        </w:rPr>
        <w:t>wP</w:t>
      </w:r>
      <w:proofErr w:type="spellEnd"/>
      <w:r w:rsidRPr="00C94846">
        <w:rPr>
          <w:rFonts w:ascii="Palatino Linotype" w:hAnsi="Palatino Linotype" w:cstheme="minorHAnsi"/>
          <w:b/>
          <w:bCs/>
        </w:rPr>
        <w:t xml:space="preserve">-primed). </w:t>
      </w:r>
      <w:r w:rsidRPr="00C94846">
        <w:rPr>
          <w:rFonts w:ascii="Palatino Linotype" w:hAnsi="Palatino Linotype" w:cstheme="minorHAnsi"/>
        </w:rPr>
        <w:t>Flow cytometry-derived cell numbers (absolute count in cells/ul</w:t>
      </w:r>
      <w:r w:rsidR="00AA60E8" w:rsidRPr="00C94846">
        <w:rPr>
          <w:rFonts w:ascii="Palatino Linotype" w:hAnsi="Palatino Linotype" w:cstheme="minorHAnsi"/>
        </w:rPr>
        <w:t xml:space="preserve"> (</w:t>
      </w:r>
      <w:r w:rsidR="00AA60E8" w:rsidRPr="00C94846">
        <w:rPr>
          <w:rFonts w:ascii="Palatino Linotype" w:hAnsi="Palatino Linotype" w:cstheme="minorHAnsi"/>
          <w:b/>
          <w:bCs/>
        </w:rPr>
        <w:t>A</w:t>
      </w:r>
      <w:r w:rsidR="00AA60E8" w:rsidRPr="00C94846">
        <w:rPr>
          <w:rFonts w:ascii="Palatino Linotype" w:hAnsi="Palatino Linotype" w:cstheme="minorHAnsi"/>
        </w:rPr>
        <w:t>)</w:t>
      </w:r>
      <w:r w:rsidRPr="00C94846">
        <w:rPr>
          <w:rFonts w:ascii="Palatino Linotype" w:hAnsi="Palatino Linotype" w:cstheme="minorHAnsi"/>
        </w:rPr>
        <w:t xml:space="preserve"> and ratio over baseline</w:t>
      </w:r>
      <w:r w:rsidR="00AA60E8" w:rsidRPr="00C94846">
        <w:rPr>
          <w:rFonts w:ascii="Palatino Linotype" w:hAnsi="Palatino Linotype" w:cstheme="minorHAnsi"/>
        </w:rPr>
        <w:t xml:space="preserve"> (</w:t>
      </w:r>
      <w:r w:rsidR="00AA60E8" w:rsidRPr="00C94846">
        <w:rPr>
          <w:rFonts w:ascii="Palatino Linotype" w:hAnsi="Palatino Linotype" w:cstheme="minorHAnsi"/>
          <w:b/>
          <w:bCs/>
        </w:rPr>
        <w:t>B</w:t>
      </w:r>
      <w:r w:rsidR="00AA60E8" w:rsidRPr="00C94846">
        <w:rPr>
          <w:rFonts w:ascii="Palatino Linotype" w:hAnsi="Palatino Linotype" w:cstheme="minorHAnsi"/>
        </w:rPr>
        <w:t>)</w:t>
      </w:r>
      <w:r w:rsidRPr="00C94846">
        <w:rPr>
          <w:rFonts w:ascii="Palatino Linotype" w:hAnsi="Palatino Linotype" w:cstheme="minorHAnsi"/>
        </w:rPr>
        <w:t xml:space="preserve">) and their changes over time in an age-matched, </w:t>
      </w:r>
      <w:proofErr w:type="spellStart"/>
      <w:r w:rsidRPr="00C94846">
        <w:rPr>
          <w:rFonts w:ascii="Palatino Linotype" w:hAnsi="Palatino Linotype" w:cstheme="minorHAnsi"/>
        </w:rPr>
        <w:t>wP</w:t>
      </w:r>
      <w:proofErr w:type="spellEnd"/>
      <w:r w:rsidRPr="00C94846">
        <w:rPr>
          <w:rFonts w:ascii="Palatino Linotype" w:hAnsi="Palatino Linotype" w:cstheme="minorHAnsi"/>
        </w:rPr>
        <w:t>-primed male (n= 7) and female (n= 5) cohort. Of note, for one male participant, no baseline B-cell data was available. Therefore, in the graphs showing the ratio over baseline, data of 6 males are shown, whereas absolute counts include the data of 7 males. Graphs indicate median + range. Dashed line indicates ratio of 1.0 (baseline value).</w:t>
      </w:r>
      <w:r w:rsidR="001A47CB" w:rsidRPr="00C94846">
        <w:rPr>
          <w:rFonts w:ascii="Palatino Linotype" w:hAnsi="Palatino Linotype" w:cstheme="minorHAnsi"/>
        </w:rPr>
        <w:br w:type="page"/>
      </w:r>
    </w:p>
    <w:p w14:paraId="70A16F67" w14:textId="535063A1" w:rsidR="001A47CB" w:rsidRPr="0037034B" w:rsidRDefault="00C07CE9" w:rsidP="00DF5E64">
      <w:pPr>
        <w:spacing w:before="0" w:after="200" w:line="360" w:lineRule="auto"/>
        <w:rPr>
          <w:rFonts w:asciiTheme="minorHAnsi" w:hAnsiTheme="minorHAnsi" w:cstheme="minorHAnsi"/>
        </w:rPr>
      </w:pPr>
      <w:r w:rsidRPr="0037034B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0B553408" wp14:editId="74334E8E">
            <wp:extent cx="5927090" cy="3776793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24"/>
                    <a:stretch/>
                  </pic:blipFill>
                  <pic:spPr bwMode="auto">
                    <a:xfrm>
                      <a:off x="0" y="0"/>
                      <a:ext cx="5986685" cy="3814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30E225" w14:textId="1265EBD2" w:rsidR="005E4109" w:rsidRPr="0037034B" w:rsidRDefault="005E4109" w:rsidP="00DF5E64">
      <w:pPr>
        <w:spacing w:before="0" w:after="200" w:line="360" w:lineRule="auto"/>
        <w:jc w:val="both"/>
        <w:rPr>
          <w:rFonts w:asciiTheme="minorHAnsi" w:hAnsiTheme="minorHAnsi" w:cstheme="minorHAnsi"/>
          <w:b/>
        </w:rPr>
      </w:pPr>
      <w:r w:rsidRPr="0037034B">
        <w:rPr>
          <w:rFonts w:asciiTheme="minorHAnsi" w:hAnsiTheme="minorHAnsi" w:cstheme="minorHAnsi"/>
          <w:b/>
          <w:noProof/>
        </w:rPr>
        <w:drawing>
          <wp:inline distT="0" distB="0" distL="0" distR="0" wp14:anchorId="1CDE953F" wp14:editId="5C25E716">
            <wp:extent cx="7173421" cy="1943100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833"/>
                    <a:stretch/>
                  </pic:blipFill>
                  <pic:spPr bwMode="auto">
                    <a:xfrm>
                      <a:off x="0" y="0"/>
                      <a:ext cx="7338571" cy="198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AC4C92" w14:textId="716095E8" w:rsidR="00503BE9" w:rsidRPr="00C94846" w:rsidRDefault="00503BE9" w:rsidP="00DF5E64">
      <w:pPr>
        <w:spacing w:before="0" w:after="200" w:line="360" w:lineRule="auto"/>
        <w:jc w:val="both"/>
        <w:rPr>
          <w:rFonts w:ascii="Palatino Linotype" w:hAnsi="Palatino Linotype" w:cstheme="minorHAnsi"/>
        </w:rPr>
      </w:pPr>
      <w:r w:rsidRPr="00C94846">
        <w:rPr>
          <w:rFonts w:ascii="Palatino Linotype" w:hAnsi="Palatino Linotype" w:cstheme="minorHAnsi"/>
          <w:b/>
        </w:rPr>
        <w:t xml:space="preserve">Supplemental </w:t>
      </w:r>
      <w:r w:rsidR="00917CEB" w:rsidRPr="00C94846">
        <w:rPr>
          <w:rFonts w:ascii="Palatino Linotype" w:hAnsi="Palatino Linotype" w:cstheme="minorHAnsi"/>
          <w:b/>
        </w:rPr>
        <w:t>F</w:t>
      </w:r>
      <w:r w:rsidRPr="00C94846">
        <w:rPr>
          <w:rFonts w:ascii="Palatino Linotype" w:hAnsi="Palatino Linotype" w:cstheme="minorHAnsi"/>
          <w:b/>
        </w:rPr>
        <w:t xml:space="preserve">igure 7. </w:t>
      </w:r>
      <w:r w:rsidRPr="00C94846">
        <w:rPr>
          <w:rFonts w:ascii="Palatino Linotype" w:hAnsi="Palatino Linotype" w:cstheme="minorHAnsi"/>
          <w:b/>
          <w:bCs/>
        </w:rPr>
        <w:t xml:space="preserve">IgG1+ and total plasma cell expansion is more prominent in non-age-matched donors after </w:t>
      </w:r>
      <w:proofErr w:type="spellStart"/>
      <w:r w:rsidRPr="00C94846">
        <w:rPr>
          <w:rFonts w:ascii="Palatino Linotype" w:hAnsi="Palatino Linotype" w:cstheme="minorHAnsi"/>
          <w:b/>
          <w:bCs/>
        </w:rPr>
        <w:t>wP</w:t>
      </w:r>
      <w:proofErr w:type="spellEnd"/>
      <w:r w:rsidRPr="00C94846">
        <w:rPr>
          <w:rFonts w:ascii="Palatino Linotype" w:hAnsi="Palatino Linotype" w:cstheme="minorHAnsi"/>
          <w:b/>
          <w:bCs/>
        </w:rPr>
        <w:t xml:space="preserve"> priming. (A) </w:t>
      </w:r>
      <w:r w:rsidRPr="00C94846">
        <w:rPr>
          <w:rFonts w:ascii="Palatino Linotype" w:hAnsi="Palatino Linotype" w:cstheme="minorHAnsi"/>
        </w:rPr>
        <w:t xml:space="preserve">Heatmap showing over-time changes in memory B-cell and plasma cell subsets in aP-primed (12 children + 5 adolescents) and </w:t>
      </w:r>
      <w:proofErr w:type="spellStart"/>
      <w:r w:rsidRPr="00C94846">
        <w:rPr>
          <w:rFonts w:ascii="Palatino Linotype" w:hAnsi="Palatino Linotype" w:cstheme="minorHAnsi"/>
        </w:rPr>
        <w:t>wP</w:t>
      </w:r>
      <w:proofErr w:type="spellEnd"/>
      <w:r w:rsidRPr="00C94846">
        <w:rPr>
          <w:rFonts w:ascii="Palatino Linotype" w:hAnsi="Palatino Linotype" w:cstheme="minorHAnsi"/>
        </w:rPr>
        <w:t xml:space="preserve">-primed (7 adolescents, 12 young adults and 12 older adults) donors. </w:t>
      </w:r>
      <w:r w:rsidRPr="00C94846">
        <w:rPr>
          <w:rFonts w:ascii="Palatino Linotype" w:hAnsi="Palatino Linotype" w:cstheme="minorHAnsi"/>
          <w:b/>
          <w:bCs/>
        </w:rPr>
        <w:t>(B)</w:t>
      </w:r>
      <w:r w:rsidRPr="00C94846">
        <w:rPr>
          <w:rFonts w:ascii="Palatino Linotype" w:hAnsi="Palatino Linotype" w:cstheme="minorHAnsi"/>
          <w:bCs/>
        </w:rPr>
        <w:t xml:space="preserve"> </w:t>
      </w:r>
      <w:r w:rsidRPr="00C94846">
        <w:rPr>
          <w:rFonts w:ascii="Palatino Linotype" w:hAnsi="Palatino Linotype" w:cstheme="minorHAnsi"/>
        </w:rPr>
        <w:t>Over-time distribution of IgG1+ plasma cells representing different maturation stages with total IgG1+ plasma cells. Median values for each population were used to construct the plots. Wilcoxon matched pair signed-</w:t>
      </w:r>
      <w:r w:rsidRPr="00C94846">
        <w:rPr>
          <w:rFonts w:ascii="Palatino Linotype" w:hAnsi="Palatino Linotype" w:cstheme="minorHAnsi"/>
        </w:rPr>
        <w:lastRenderedPageBreak/>
        <w:t xml:space="preserve">ranked test followed by Bonferroni correction was used to </w:t>
      </w:r>
      <w:r w:rsidR="00911CB8" w:rsidRPr="00C94846">
        <w:rPr>
          <w:rFonts w:ascii="Palatino Linotype" w:hAnsi="Palatino Linotype" w:cstheme="minorHAnsi"/>
        </w:rPr>
        <w:t>assess</w:t>
      </w:r>
      <w:r w:rsidR="00C07CE9" w:rsidRPr="00C94846">
        <w:rPr>
          <w:rFonts w:ascii="Palatino Linotype" w:hAnsi="Palatino Linotype" w:cstheme="minorHAnsi"/>
        </w:rPr>
        <w:t xml:space="preserve"> longitudinal</w:t>
      </w:r>
      <w:r w:rsidRPr="00C94846">
        <w:rPr>
          <w:rFonts w:ascii="Palatino Linotype" w:hAnsi="Palatino Linotype" w:cstheme="minorHAnsi"/>
        </w:rPr>
        <w:t xml:space="preserve"> differences in percentage of CD20-CD138+ cells in total IgG1+ plasma cells within each cohort. Differences in the percentage CD20-CD138+ cells in total IgG1+ plasma cells between cohorts were </w:t>
      </w:r>
      <w:r w:rsidR="00911CB8" w:rsidRPr="00C94846">
        <w:rPr>
          <w:rFonts w:ascii="Palatino Linotype" w:hAnsi="Palatino Linotype" w:cstheme="minorHAnsi"/>
        </w:rPr>
        <w:t>assessed</w:t>
      </w:r>
      <w:r w:rsidRPr="00C94846">
        <w:rPr>
          <w:rFonts w:ascii="Palatino Linotype" w:hAnsi="Palatino Linotype" w:cstheme="minorHAnsi"/>
        </w:rPr>
        <w:t xml:space="preserve"> using Kruskal</w:t>
      </w:r>
      <w:r w:rsidR="00C07CE9" w:rsidRPr="00C94846">
        <w:rPr>
          <w:rFonts w:ascii="Palatino Linotype" w:hAnsi="Palatino Linotype" w:cstheme="minorHAnsi"/>
        </w:rPr>
        <w:t>-</w:t>
      </w:r>
      <w:r w:rsidRPr="00C94846">
        <w:rPr>
          <w:rFonts w:ascii="Palatino Linotype" w:hAnsi="Palatino Linotype" w:cstheme="minorHAnsi"/>
        </w:rPr>
        <w:t xml:space="preserve">Wallis followed by Dunn’s test, but did not yield significant differences. </w:t>
      </w:r>
      <w:r w:rsidR="00C07CE9" w:rsidRPr="00C94846">
        <w:rPr>
          <w:rFonts w:ascii="Palatino Linotype" w:hAnsi="Palatino Linotype" w:cstheme="minorHAnsi"/>
        </w:rPr>
        <w:t xml:space="preserve">For longitudinal changes, only significant differences compared to baseline are shown. </w:t>
      </w:r>
      <w:r w:rsidRPr="00C94846">
        <w:rPr>
          <w:rFonts w:ascii="Palatino Linotype" w:hAnsi="Palatino Linotype" w:cstheme="minorHAnsi"/>
        </w:rPr>
        <w:t>Significant longitudinal differences within a cohort as indicated with *, p&lt;0.05; **, p≤0.01; ***, p≤0.001. Significant differences between cohorts at the same time point are indicated with #, p&lt;0.05; ##, p≤0.01; ###, p≤0.001.</w:t>
      </w:r>
      <w:r w:rsidR="00917CEB" w:rsidRPr="00C94846">
        <w:rPr>
          <w:rFonts w:ascii="Palatino Linotype" w:hAnsi="Palatino Linotype" w:cstheme="minorHAnsi"/>
        </w:rPr>
        <w:t xml:space="preserve"> D= days after vaccination; aP = acellular pertussis vaccine; </w:t>
      </w:r>
      <w:proofErr w:type="spellStart"/>
      <w:r w:rsidR="00917CEB" w:rsidRPr="00C94846">
        <w:rPr>
          <w:rFonts w:ascii="Palatino Linotype" w:hAnsi="Palatino Linotype" w:cstheme="minorHAnsi"/>
        </w:rPr>
        <w:t>wP</w:t>
      </w:r>
      <w:proofErr w:type="spellEnd"/>
      <w:r w:rsidR="00917CEB" w:rsidRPr="00C94846">
        <w:rPr>
          <w:rFonts w:ascii="Palatino Linotype" w:hAnsi="Palatino Linotype" w:cstheme="minorHAnsi"/>
        </w:rPr>
        <w:t xml:space="preserve"> = whole cell pertussis vaccine.</w:t>
      </w:r>
    </w:p>
    <w:p w14:paraId="6EC9FC88" w14:textId="77777777" w:rsidR="001A47CB" w:rsidRPr="0037034B" w:rsidRDefault="001A47CB" w:rsidP="00DF5E64">
      <w:pPr>
        <w:spacing w:before="0" w:after="200" w:line="360" w:lineRule="auto"/>
        <w:rPr>
          <w:rFonts w:asciiTheme="minorHAnsi" w:hAnsiTheme="minorHAnsi" w:cstheme="minorHAnsi"/>
        </w:rPr>
      </w:pPr>
    </w:p>
    <w:sectPr w:rsidR="001A47CB" w:rsidRPr="0037034B" w:rsidSect="00DF5E64">
      <w:headerReference w:type="default" r:id="rId16"/>
      <w:headerReference w:type="first" r:id="rId17"/>
      <w:pgSz w:w="12240" w:h="15840"/>
      <w:pgMar w:top="1138" w:right="1181" w:bottom="1138" w:left="1282" w:header="720" w:footer="720" w:gutter="0"/>
      <w:lnNumType w:countBy="1" w:restart="continuous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94FDB2" w14:textId="77777777" w:rsidR="005467CB" w:rsidRDefault="005467CB" w:rsidP="00117666">
      <w:pPr>
        <w:spacing w:after="0"/>
      </w:pPr>
      <w:r>
        <w:separator/>
      </w:r>
    </w:p>
  </w:endnote>
  <w:endnote w:type="continuationSeparator" w:id="0">
    <w:p w14:paraId="14E0830A" w14:textId="77777777" w:rsidR="005467CB" w:rsidRDefault="005467CB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709C91" w14:textId="77777777" w:rsidR="005467CB" w:rsidRDefault="005467CB" w:rsidP="00117666">
      <w:pPr>
        <w:spacing w:after="0"/>
      </w:pPr>
      <w:r>
        <w:separator/>
      </w:r>
    </w:p>
  </w:footnote>
  <w:footnote w:type="continuationSeparator" w:id="0">
    <w:p w14:paraId="5BACC2C0" w14:textId="77777777" w:rsidR="005467CB" w:rsidRDefault="005467CB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978499487"/>
      <w:docPartObj>
        <w:docPartGallery w:val="Page Numbers (Top of Page)"/>
        <w:docPartUnique/>
      </w:docPartObj>
    </w:sdtPr>
    <w:sdtEndPr/>
    <w:sdtContent>
      <w:p w14:paraId="5FD83D43" w14:textId="24FEFE8A" w:rsidR="005467CB" w:rsidRDefault="00C94846">
        <w:pPr>
          <w:pStyle w:val="Header"/>
          <w:jc w:val="right"/>
        </w:pPr>
      </w:p>
    </w:sdtContent>
  </w:sdt>
  <w:p w14:paraId="7A97AFB1" w14:textId="77777777" w:rsidR="005467CB" w:rsidRDefault="005467C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1D68C6" w14:textId="2CCD2C0E" w:rsidR="005467CB" w:rsidRDefault="005467CB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20"/>
  <w:hyphenationZone w:val="425"/>
  <w:evenAndOddHeaders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160C"/>
    <w:rsid w:val="00105FD9"/>
    <w:rsid w:val="00117666"/>
    <w:rsid w:val="001549D3"/>
    <w:rsid w:val="00160065"/>
    <w:rsid w:val="00177D84"/>
    <w:rsid w:val="00197681"/>
    <w:rsid w:val="001A47CB"/>
    <w:rsid w:val="002053D3"/>
    <w:rsid w:val="00267D18"/>
    <w:rsid w:val="00274347"/>
    <w:rsid w:val="002868E2"/>
    <w:rsid w:val="002869C3"/>
    <w:rsid w:val="002936E4"/>
    <w:rsid w:val="0029477D"/>
    <w:rsid w:val="002B4A57"/>
    <w:rsid w:val="002C74CA"/>
    <w:rsid w:val="002E1236"/>
    <w:rsid w:val="002F0E9E"/>
    <w:rsid w:val="002F1882"/>
    <w:rsid w:val="003123F4"/>
    <w:rsid w:val="003544FB"/>
    <w:rsid w:val="0037034B"/>
    <w:rsid w:val="003913EF"/>
    <w:rsid w:val="003A20FA"/>
    <w:rsid w:val="003C2001"/>
    <w:rsid w:val="003D2F2D"/>
    <w:rsid w:val="00401590"/>
    <w:rsid w:val="00447801"/>
    <w:rsid w:val="00452E9C"/>
    <w:rsid w:val="004735C8"/>
    <w:rsid w:val="0049414F"/>
    <w:rsid w:val="004947A6"/>
    <w:rsid w:val="004961FF"/>
    <w:rsid w:val="004D0170"/>
    <w:rsid w:val="00503BE9"/>
    <w:rsid w:val="00517A89"/>
    <w:rsid w:val="005250F2"/>
    <w:rsid w:val="00540190"/>
    <w:rsid w:val="005467CB"/>
    <w:rsid w:val="00593EEA"/>
    <w:rsid w:val="005A5EEE"/>
    <w:rsid w:val="005E4109"/>
    <w:rsid w:val="005E514A"/>
    <w:rsid w:val="00611BCA"/>
    <w:rsid w:val="00627AAC"/>
    <w:rsid w:val="00636793"/>
    <w:rsid w:val="006375C7"/>
    <w:rsid w:val="00654E8F"/>
    <w:rsid w:val="00660D05"/>
    <w:rsid w:val="006820B1"/>
    <w:rsid w:val="00686F6F"/>
    <w:rsid w:val="006B7D14"/>
    <w:rsid w:val="00701727"/>
    <w:rsid w:val="0070566C"/>
    <w:rsid w:val="00714C50"/>
    <w:rsid w:val="00725A7D"/>
    <w:rsid w:val="007501BE"/>
    <w:rsid w:val="00790BB3"/>
    <w:rsid w:val="007C206C"/>
    <w:rsid w:val="00817DD6"/>
    <w:rsid w:val="0083759F"/>
    <w:rsid w:val="00885156"/>
    <w:rsid w:val="00911CB8"/>
    <w:rsid w:val="009151AA"/>
    <w:rsid w:val="00917CEB"/>
    <w:rsid w:val="0093429D"/>
    <w:rsid w:val="00943573"/>
    <w:rsid w:val="00964134"/>
    <w:rsid w:val="00970F7D"/>
    <w:rsid w:val="00994A3D"/>
    <w:rsid w:val="009C2B12"/>
    <w:rsid w:val="009F4405"/>
    <w:rsid w:val="00A174D9"/>
    <w:rsid w:val="00A8616F"/>
    <w:rsid w:val="00AA4D24"/>
    <w:rsid w:val="00AA60E8"/>
    <w:rsid w:val="00AB4EBC"/>
    <w:rsid w:val="00AB6715"/>
    <w:rsid w:val="00B1671E"/>
    <w:rsid w:val="00B25EB8"/>
    <w:rsid w:val="00B37F4D"/>
    <w:rsid w:val="00BE1CAA"/>
    <w:rsid w:val="00C07CE9"/>
    <w:rsid w:val="00C2088C"/>
    <w:rsid w:val="00C52A7B"/>
    <w:rsid w:val="00C56BAF"/>
    <w:rsid w:val="00C679AA"/>
    <w:rsid w:val="00C75972"/>
    <w:rsid w:val="00C94846"/>
    <w:rsid w:val="00CD066B"/>
    <w:rsid w:val="00CD7E60"/>
    <w:rsid w:val="00CE4FEE"/>
    <w:rsid w:val="00D060CF"/>
    <w:rsid w:val="00D16526"/>
    <w:rsid w:val="00D62C60"/>
    <w:rsid w:val="00DB59C3"/>
    <w:rsid w:val="00DC259A"/>
    <w:rsid w:val="00DE23E8"/>
    <w:rsid w:val="00DF5E64"/>
    <w:rsid w:val="00E269AE"/>
    <w:rsid w:val="00E52377"/>
    <w:rsid w:val="00E537AD"/>
    <w:rsid w:val="00E64072"/>
    <w:rsid w:val="00E64E17"/>
    <w:rsid w:val="00E77A4E"/>
    <w:rsid w:val="00E866C9"/>
    <w:rsid w:val="00EA3D3C"/>
    <w:rsid w:val="00EC090A"/>
    <w:rsid w:val="00ED20B5"/>
    <w:rsid w:val="00F46900"/>
    <w:rsid w:val="00F61D89"/>
    <w:rsid w:val="00FE3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5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0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14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0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5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ECD3145D-71CB-4267-AF25-42DF0209F4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4</TotalTime>
  <Pages>12</Pages>
  <Words>1156</Words>
  <Characters>6358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Diks, A.M. (IMMU)</cp:lastModifiedBy>
  <cp:revision>3</cp:revision>
  <cp:lastPrinted>2013-10-03T12:51:00Z</cp:lastPrinted>
  <dcterms:created xsi:type="dcterms:W3CDTF">2021-11-16T14:25:00Z</dcterms:created>
  <dcterms:modified xsi:type="dcterms:W3CDTF">2021-11-18T10:53:00Z</dcterms:modified>
</cp:coreProperties>
</file>