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CB" w:rsidRDefault="005D2FCB" w:rsidP="005D2FCB">
      <w:pPr>
        <w:pStyle w:val="MDPI71References"/>
        <w:numPr>
          <w:ilvl w:val="0"/>
          <w:numId w:val="0"/>
        </w:numPr>
        <w:jc w:val="center"/>
        <w:rPr>
          <w:szCs w:val="18"/>
        </w:rPr>
      </w:pPr>
      <w:r w:rsidRPr="005D2FCB">
        <w:rPr>
          <w:b/>
          <w:bCs/>
          <w:sz w:val="24"/>
          <w:szCs w:val="24"/>
          <w:u w:val="single"/>
        </w:rPr>
        <w:t>Supplementary File</w:t>
      </w:r>
    </w:p>
    <w:p w:rsidR="005D2FCB" w:rsidRDefault="005D2FCB" w:rsidP="005D2FCB">
      <w:pPr>
        <w:pStyle w:val="MDPI71References"/>
        <w:numPr>
          <w:ilvl w:val="0"/>
          <w:numId w:val="0"/>
        </w:numPr>
        <w:jc w:val="center"/>
        <w:rPr>
          <w:szCs w:val="18"/>
        </w:rPr>
      </w:pPr>
    </w:p>
    <w:p w:rsidR="005D2FCB" w:rsidRDefault="005D2FCB" w:rsidP="005D2FCB">
      <w:pPr>
        <w:pStyle w:val="MDPI71References"/>
        <w:numPr>
          <w:ilvl w:val="0"/>
          <w:numId w:val="0"/>
        </w:numPr>
        <w:jc w:val="center"/>
        <w:rPr>
          <w:szCs w:val="18"/>
        </w:rPr>
      </w:pPr>
    </w:p>
    <w:p w:rsidR="005D2FCB" w:rsidRPr="005D2FCB" w:rsidRDefault="005D2FCB" w:rsidP="005D2FCB">
      <w:pPr>
        <w:pStyle w:val="MDPI71References"/>
        <w:numPr>
          <w:ilvl w:val="0"/>
          <w:numId w:val="0"/>
        </w:numPr>
        <w:rPr>
          <w:b/>
          <w:bCs/>
          <w:szCs w:val="18"/>
          <w:u w:val="single"/>
        </w:rPr>
      </w:pPr>
      <w:r w:rsidRPr="005D2FCB">
        <w:rPr>
          <w:b/>
          <w:bCs/>
          <w:szCs w:val="18"/>
          <w:u w:val="single"/>
        </w:rPr>
        <w:t>Supplementary Figure S1:</w:t>
      </w:r>
    </w:p>
    <w:p w:rsidR="005D2FCB" w:rsidRPr="004F386E" w:rsidRDefault="005D2FCB" w:rsidP="005D2FCB">
      <w:pPr>
        <w:pStyle w:val="MDPI71References"/>
        <w:numPr>
          <w:ilvl w:val="0"/>
          <w:numId w:val="0"/>
        </w:numPr>
        <w:rPr>
          <w:szCs w:val="18"/>
        </w:rPr>
      </w:pPr>
      <w:r w:rsidRPr="004F386E">
        <w:rPr>
          <w:rFonts w:ascii="Times New Roman" w:hAnsi="Times New Roman"/>
          <w:szCs w:val="18"/>
        </w:rPr>
        <w:t xml:space="preserve">Fatty acids and methyl esters identified in GC-MS of bioactive compounds of </w:t>
      </w:r>
      <w:proofErr w:type="spellStart"/>
      <w:r w:rsidRPr="004F386E">
        <w:rPr>
          <w:rFonts w:ascii="Times New Roman" w:hAnsi="Times New Roman"/>
          <w:i/>
          <w:iCs/>
          <w:szCs w:val="18"/>
        </w:rPr>
        <w:t>Aspergillus</w:t>
      </w:r>
      <w:proofErr w:type="spellEnd"/>
      <w:r w:rsidRPr="004F386E">
        <w:rPr>
          <w:rFonts w:ascii="Times New Roman" w:hAnsi="Times New Roman"/>
          <w:i/>
          <w:iCs/>
          <w:szCs w:val="18"/>
        </w:rPr>
        <w:t xml:space="preserve"> </w:t>
      </w:r>
      <w:proofErr w:type="spellStart"/>
      <w:r w:rsidRPr="004F386E">
        <w:rPr>
          <w:rFonts w:ascii="Times New Roman" w:hAnsi="Times New Roman"/>
          <w:i/>
          <w:iCs/>
          <w:szCs w:val="18"/>
        </w:rPr>
        <w:t>giganteus</w:t>
      </w:r>
      <w:proofErr w:type="spellEnd"/>
    </w:p>
    <w:p w:rsidR="005D2FCB" w:rsidRDefault="005D2FCB" w:rsidP="005D2FCB">
      <w:pPr>
        <w:pStyle w:val="MDPI71References"/>
        <w:numPr>
          <w:ilvl w:val="0"/>
          <w:numId w:val="0"/>
        </w:numPr>
        <w:rPr>
          <w:szCs w:val="18"/>
        </w:rPr>
      </w:pPr>
      <w:r>
        <w:rPr>
          <w:noProof/>
          <w:szCs w:val="18"/>
          <w:lang w:eastAsia="en-US" w:bidi="ta-IN"/>
        </w:rPr>
        <w:drawing>
          <wp:inline distT="0" distB="0" distL="0" distR="0">
            <wp:extent cx="3876675" cy="2584450"/>
            <wp:effectExtent l="19050" t="0" r="9525" b="0"/>
            <wp:docPr id="19" name="Picture 12" descr="C:\Users\ELCOT\Desktop\Ramya\Environmental Research\Final Images\Fig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COT\Desktop\Ramya\Environmental Research\Final Images\Fig.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CB" w:rsidRDefault="005D2FCB" w:rsidP="005D2FCB">
      <w:pPr>
        <w:pStyle w:val="MDPI71References"/>
        <w:numPr>
          <w:ilvl w:val="0"/>
          <w:numId w:val="0"/>
        </w:numPr>
        <w:rPr>
          <w:b/>
          <w:bCs/>
          <w:szCs w:val="18"/>
          <w:u w:val="single"/>
        </w:rPr>
      </w:pPr>
    </w:p>
    <w:p w:rsidR="005D2FCB" w:rsidRDefault="005D2FCB" w:rsidP="005D2FCB">
      <w:pPr>
        <w:pStyle w:val="MDPI71References"/>
        <w:numPr>
          <w:ilvl w:val="0"/>
          <w:numId w:val="0"/>
        </w:numPr>
        <w:rPr>
          <w:b/>
          <w:bCs/>
          <w:szCs w:val="18"/>
          <w:u w:val="single"/>
        </w:rPr>
      </w:pPr>
    </w:p>
    <w:p w:rsidR="005D2FCB" w:rsidRPr="005D2FCB" w:rsidRDefault="005D2FCB" w:rsidP="005D2FCB">
      <w:pPr>
        <w:pStyle w:val="MDPI71References"/>
        <w:numPr>
          <w:ilvl w:val="0"/>
          <w:numId w:val="0"/>
        </w:numPr>
        <w:rPr>
          <w:b/>
          <w:bCs/>
          <w:szCs w:val="18"/>
          <w:u w:val="single"/>
        </w:rPr>
      </w:pPr>
      <w:r w:rsidRPr="005D2FCB">
        <w:rPr>
          <w:b/>
          <w:bCs/>
          <w:szCs w:val="18"/>
          <w:u w:val="single"/>
        </w:rPr>
        <w:t>Supplementary Table S1:</w:t>
      </w:r>
    </w:p>
    <w:p w:rsidR="005D2FCB" w:rsidRPr="00C05114" w:rsidRDefault="005D2FCB" w:rsidP="005D2FCB">
      <w:pPr>
        <w:rPr>
          <w:i/>
          <w:iCs/>
          <w:sz w:val="18"/>
          <w:szCs w:val="18"/>
        </w:rPr>
      </w:pPr>
      <w:r w:rsidRPr="00C05114">
        <w:rPr>
          <w:sz w:val="18"/>
          <w:szCs w:val="18"/>
        </w:rPr>
        <w:t xml:space="preserve">Profile description of sarcin, thionin, chitinase and its derivatives of </w:t>
      </w:r>
      <w:r w:rsidRPr="00C05114">
        <w:rPr>
          <w:i/>
          <w:iCs/>
          <w:sz w:val="18"/>
          <w:szCs w:val="18"/>
        </w:rPr>
        <w:t>Aspergillus giganteus</w:t>
      </w:r>
    </w:p>
    <w:tbl>
      <w:tblPr>
        <w:tblStyle w:val="LightShading"/>
        <w:tblW w:w="0" w:type="auto"/>
        <w:tblLook w:val="04A0"/>
      </w:tblPr>
      <w:tblGrid>
        <w:gridCol w:w="1268"/>
        <w:gridCol w:w="2269"/>
        <w:gridCol w:w="1230"/>
        <w:gridCol w:w="1205"/>
        <w:gridCol w:w="949"/>
        <w:gridCol w:w="1155"/>
        <w:gridCol w:w="1181"/>
        <w:gridCol w:w="918"/>
        <w:gridCol w:w="955"/>
      </w:tblGrid>
      <w:tr w:rsidR="005D2FCB" w:rsidRPr="00C05114" w:rsidTr="00150952">
        <w:trPr>
          <w:cnfStyle w:val="100000000000"/>
        </w:trPr>
        <w:tc>
          <w:tcPr>
            <w:cnfStyle w:val="001000000000"/>
            <w:tcW w:w="126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Selected derivatives</w:t>
            </w: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Compound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PubChem ID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Molecular Weight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Log P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Rotatable bonds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Acceptors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Donors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1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Surface area</w:t>
            </w:r>
          </w:p>
        </w:tc>
      </w:tr>
      <w:tr w:rsidR="005D2FCB" w:rsidRPr="00C05114" w:rsidTr="00150952">
        <w:trPr>
          <w:cnfStyle w:val="000000100000"/>
        </w:trPr>
        <w:tc>
          <w:tcPr>
            <w:cnfStyle w:val="001000000000"/>
            <w:tcW w:w="126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C05114">
              <w:rPr>
                <w:b w:val="0"/>
                <w:bCs w:val="0"/>
                <w:sz w:val="18"/>
                <w:szCs w:val="18"/>
              </w:rPr>
              <w:t>Standard Drug</w:t>
            </w: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Fluconazole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3365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306.276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0.7358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123.419</w:t>
            </w:r>
          </w:p>
        </w:tc>
      </w:tr>
      <w:tr w:rsidR="005D2FCB" w:rsidRPr="00C05114" w:rsidTr="00150952">
        <w:tc>
          <w:tcPr>
            <w:cnfStyle w:val="001000000000"/>
            <w:tcW w:w="1268" w:type="dxa"/>
            <w:vMerge w:val="restart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C05114">
              <w:rPr>
                <w:b w:val="0"/>
                <w:bCs w:val="0"/>
                <w:sz w:val="18"/>
                <w:szCs w:val="18"/>
              </w:rPr>
              <w:t>Sarcin</w:t>
            </w: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1-Methylthioguianine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3032391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181.224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0.60809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73.255</w:t>
            </w:r>
          </w:p>
        </w:tc>
      </w:tr>
      <w:tr w:rsidR="005D2FCB" w:rsidRPr="00C05114" w:rsidTr="00150952">
        <w:trPr>
          <w:cnfStyle w:val="000000100000"/>
        </w:trPr>
        <w:tc>
          <w:tcPr>
            <w:cnfStyle w:val="001000000000"/>
            <w:tcW w:w="1268" w:type="dxa"/>
            <w:vMerge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rFonts w:eastAsia="Times New Roman"/>
                <w:b w:val="0"/>
                <w:bCs w:val="0"/>
                <w:kern w:val="36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rFonts w:eastAsia="Times New Roman"/>
                <w:kern w:val="36"/>
                <w:sz w:val="18"/>
                <w:szCs w:val="18"/>
              </w:rPr>
              <w:t>3-Imino-3H-phenothiazin-7-amine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65044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227.292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2.46277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96.045</w:t>
            </w:r>
          </w:p>
        </w:tc>
      </w:tr>
      <w:tr w:rsidR="005D2FCB" w:rsidRPr="00C05114" w:rsidTr="00150952">
        <w:tc>
          <w:tcPr>
            <w:cnfStyle w:val="001000000000"/>
            <w:tcW w:w="1268" w:type="dxa"/>
            <w:vMerge w:val="restart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C05114">
              <w:rPr>
                <w:b w:val="0"/>
                <w:bCs w:val="0"/>
                <w:sz w:val="18"/>
                <w:szCs w:val="18"/>
                <w:shd w:val="clear" w:color="auto" w:fill="FFFFFF"/>
              </w:rPr>
              <w:t xml:space="preserve">Thionin </w:t>
            </w: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  <w:shd w:val="clear" w:color="auto" w:fill="FFFFFF"/>
              </w:rPr>
              <w:t>Thionine cation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462371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228.3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0.6431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96.045</w:t>
            </w:r>
          </w:p>
        </w:tc>
      </w:tr>
      <w:tr w:rsidR="005D2FCB" w:rsidRPr="00C05114" w:rsidTr="00150952">
        <w:trPr>
          <w:cnfStyle w:val="000000100000"/>
        </w:trPr>
        <w:tc>
          <w:tcPr>
            <w:cnfStyle w:val="001000000000"/>
            <w:tcW w:w="1268" w:type="dxa"/>
            <w:vMerge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3-Methyl-2-[[(8E)-7-methylidene-5-(trifluoromethyl)-3,4,5,6-tetrahydro-2H-thionin-8-yl]methyl]-7-(4-methylimidazol-1-yl)-3,4-dihydropyrido[1,2-a]pyrazine-1,6-dione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122678533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492.567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4.72242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199.708</w:t>
            </w:r>
          </w:p>
        </w:tc>
      </w:tr>
      <w:tr w:rsidR="005D2FCB" w:rsidRPr="00C05114" w:rsidTr="00150952">
        <w:tc>
          <w:tcPr>
            <w:cnfStyle w:val="001000000000"/>
            <w:tcW w:w="1268" w:type="dxa"/>
            <w:vMerge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N,N-Dimethyl-4-[(Z)-[(3Z,6Z,8Z)-2H-thionin-5-ylidene]methyl]aniline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88094842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269.413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4.5089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119.564</w:t>
            </w:r>
          </w:p>
        </w:tc>
      </w:tr>
      <w:tr w:rsidR="005D2FCB" w:rsidRPr="00C05114" w:rsidTr="00150952">
        <w:trPr>
          <w:cnfStyle w:val="000000100000"/>
        </w:trPr>
        <w:tc>
          <w:tcPr>
            <w:cnfStyle w:val="001000000000"/>
            <w:tcW w:w="1268" w:type="dxa"/>
            <w:vMerge w:val="restart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C05114">
              <w:rPr>
                <w:b w:val="0"/>
                <w:bCs w:val="0"/>
                <w:sz w:val="18"/>
                <w:szCs w:val="18"/>
              </w:rPr>
              <w:t xml:space="preserve">Chitinase </w:t>
            </w: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Chitinase-IN-2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86223064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395.488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2.45152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166.525</w:t>
            </w:r>
          </w:p>
        </w:tc>
      </w:tr>
      <w:tr w:rsidR="005D2FCB" w:rsidRPr="00C05114" w:rsidTr="00150952">
        <w:tc>
          <w:tcPr>
            <w:cnfStyle w:val="001000000000"/>
            <w:tcW w:w="1268" w:type="dxa"/>
            <w:vMerge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Chitinase-IN-1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86223063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352.419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2.38552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0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148.035</w:t>
            </w:r>
          </w:p>
        </w:tc>
      </w:tr>
      <w:tr w:rsidR="005D2FCB" w:rsidRPr="00C05114" w:rsidTr="00150952">
        <w:trPr>
          <w:cnfStyle w:val="000000100000"/>
        </w:trPr>
        <w:tc>
          <w:tcPr>
            <w:cnfStyle w:val="001000000000"/>
            <w:tcW w:w="1268" w:type="dxa"/>
            <w:vMerge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Chitin from Shrimp cells</w:t>
            </w:r>
          </w:p>
        </w:tc>
        <w:tc>
          <w:tcPr>
            <w:tcW w:w="1230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6857375</w:t>
            </w:r>
          </w:p>
        </w:tc>
        <w:tc>
          <w:tcPr>
            <w:tcW w:w="120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221.209</w:t>
            </w:r>
          </w:p>
        </w:tc>
        <w:tc>
          <w:tcPr>
            <w:tcW w:w="949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-3.0776</w:t>
            </w:r>
          </w:p>
        </w:tc>
        <w:tc>
          <w:tcPr>
            <w:tcW w:w="11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5D2FCB" w:rsidRPr="00C05114" w:rsidRDefault="005D2FCB" w:rsidP="00150952">
            <w:pPr>
              <w:spacing w:line="276" w:lineRule="auto"/>
              <w:cnfStyle w:val="000000100000"/>
              <w:rPr>
                <w:sz w:val="18"/>
                <w:szCs w:val="18"/>
              </w:rPr>
            </w:pPr>
            <w:r w:rsidRPr="00C05114">
              <w:rPr>
                <w:sz w:val="18"/>
                <w:szCs w:val="18"/>
              </w:rPr>
              <w:t>86.290</w:t>
            </w:r>
          </w:p>
        </w:tc>
      </w:tr>
    </w:tbl>
    <w:p w:rsidR="005D2FCB" w:rsidRDefault="005D2FCB" w:rsidP="005D2FCB">
      <w:pPr>
        <w:pStyle w:val="MDPI71References"/>
        <w:numPr>
          <w:ilvl w:val="0"/>
          <w:numId w:val="0"/>
        </w:numPr>
        <w:rPr>
          <w:szCs w:val="18"/>
        </w:rPr>
      </w:pPr>
    </w:p>
    <w:p w:rsidR="005D2FCB" w:rsidRPr="00190347" w:rsidRDefault="005D2FCB" w:rsidP="005D2FCB">
      <w:pPr>
        <w:pStyle w:val="MDPI71References"/>
        <w:numPr>
          <w:ilvl w:val="0"/>
          <w:numId w:val="0"/>
        </w:numPr>
        <w:rPr>
          <w:szCs w:val="18"/>
        </w:rPr>
      </w:pPr>
    </w:p>
    <w:p w:rsidR="00995D99" w:rsidRDefault="00995D99"/>
    <w:sectPr w:rsidR="00995D99" w:rsidSect="00190347">
      <w:pgSz w:w="11906" w:h="16838" w:code="9"/>
      <w:pgMar w:top="1417" w:right="566" w:bottom="1077" w:left="426" w:header="1020" w:footer="340" w:gutter="0"/>
      <w:lnNumType w:countBy="1" w:distance="255" w:restart="continuous"/>
      <w:pgNumType w:start="15"/>
      <w:cols w:space="425"/>
      <w:titlePg/>
      <w:bidi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FCB"/>
    <w:rsid w:val="005C2B95"/>
    <w:rsid w:val="005D2FCB"/>
    <w:rsid w:val="00995D99"/>
    <w:rsid w:val="00A57465"/>
    <w:rsid w:val="00AB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C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71References">
    <w:name w:val="MDPI_7.1_References"/>
    <w:qFormat/>
    <w:rsid w:val="005D2FCB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table" w:styleId="LightShading">
    <w:name w:val="Light Shading"/>
    <w:basedOn w:val="TableNormal"/>
    <w:uiPriority w:val="60"/>
    <w:rsid w:val="005D2F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2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CB"/>
    <w:rPr>
      <w:rFonts w:ascii="Tahoma" w:eastAsia="SimSun" w:hAnsi="Tahoma" w:cs="Tahoma"/>
      <w:noProof/>
      <w:color w:val="000000"/>
      <w:sz w:val="16"/>
      <w:szCs w:val="16"/>
      <w:lang w:val="en-US" w:eastAsia="zh-CN" w:bidi="ar-SA"/>
    </w:rPr>
  </w:style>
  <w:style w:type="character" w:styleId="LineNumber">
    <w:name w:val="line number"/>
    <w:basedOn w:val="DefaultParagraphFont"/>
    <w:uiPriority w:val="99"/>
    <w:semiHidden/>
    <w:unhideWhenUsed/>
    <w:rsid w:val="005D2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1</cp:revision>
  <dcterms:created xsi:type="dcterms:W3CDTF">2021-11-17T15:25:00Z</dcterms:created>
  <dcterms:modified xsi:type="dcterms:W3CDTF">2021-11-17T15:26:00Z</dcterms:modified>
</cp:coreProperties>
</file>