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5E0" w:rsidRDefault="007215E0" w:rsidP="007215E0">
      <w:pPr>
        <w:pStyle w:val="MDPI41tablecaption"/>
        <w:ind w:left="0"/>
      </w:pPr>
      <w:bookmarkStart w:id="0" w:name="_GoBack"/>
      <w:bookmarkEnd w:id="0"/>
      <w:r>
        <w:rPr>
          <w:b/>
        </w:rPr>
        <w:t xml:space="preserve">Table </w:t>
      </w:r>
      <w:r w:rsidR="00FC5B34">
        <w:rPr>
          <w:b/>
        </w:rPr>
        <w:t>S</w:t>
      </w:r>
      <w:r>
        <w:rPr>
          <w:b/>
        </w:rPr>
        <w:t>1</w:t>
      </w:r>
      <w:r w:rsidRPr="00325902">
        <w:rPr>
          <w:b/>
        </w:rPr>
        <w:t>.</w:t>
      </w:r>
      <w:r w:rsidRPr="00325902">
        <w:t xml:space="preserve"> </w:t>
      </w:r>
      <w:r w:rsidR="00FC5B34">
        <w:t xml:space="preserve">Profile of </w:t>
      </w:r>
      <w:r w:rsidRPr="0021172B">
        <w:t>CD28 and CTLA-4 expression on T-lymphocytes</w:t>
      </w:r>
    </w:p>
    <w:tbl>
      <w:tblPr>
        <w:tblW w:w="5000" w:type="pct"/>
        <w:tblBorders>
          <w:top w:val="single" w:sz="8" w:space="0" w:color="auto"/>
          <w:bottom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  <w:gridCol w:w="1944"/>
        <w:gridCol w:w="1944"/>
        <w:gridCol w:w="1944"/>
        <w:gridCol w:w="1942"/>
      </w:tblGrid>
      <w:tr w:rsidR="007215E0" w:rsidRPr="00A75881" w:rsidTr="00FC5B34">
        <w:tc>
          <w:tcPr>
            <w:tcW w:w="8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15E0" w:rsidRPr="00480641" w:rsidRDefault="007215E0" w:rsidP="005D4E27">
            <w:pPr>
              <w:contextualSpacing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Group</w:t>
            </w:r>
          </w:p>
        </w:tc>
        <w:tc>
          <w:tcPr>
            <w:tcW w:w="10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15E0" w:rsidRPr="0022384C" w:rsidRDefault="007215E0" w:rsidP="005D4E27">
            <w:pPr>
              <w:contextualSpacing/>
              <w:jc w:val="center"/>
              <w:rPr>
                <w:b/>
                <w:szCs w:val="24"/>
              </w:rPr>
            </w:pPr>
            <w:r w:rsidRPr="0022384C">
              <w:rPr>
                <w:b/>
                <w:szCs w:val="24"/>
              </w:rPr>
              <w:t>CD4</w:t>
            </w:r>
            <w:r w:rsidRPr="00A00924">
              <w:rPr>
                <w:b/>
                <w:szCs w:val="24"/>
                <w:vertAlign w:val="superscript"/>
              </w:rPr>
              <w:t>+</w:t>
            </w:r>
            <w:r w:rsidRPr="0022384C">
              <w:rPr>
                <w:b/>
                <w:szCs w:val="24"/>
              </w:rPr>
              <w:t>/CD28</w:t>
            </w:r>
            <w:r w:rsidRPr="00A00924">
              <w:rPr>
                <w:b/>
                <w:szCs w:val="24"/>
                <w:vertAlign w:val="superscript"/>
              </w:rPr>
              <w:t>+</w:t>
            </w:r>
          </w:p>
        </w:tc>
        <w:tc>
          <w:tcPr>
            <w:tcW w:w="10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15E0" w:rsidRPr="00A00924" w:rsidRDefault="007215E0" w:rsidP="005D4E27">
            <w:pPr>
              <w:contextualSpacing/>
              <w:jc w:val="center"/>
              <w:rPr>
                <w:b/>
                <w:szCs w:val="24"/>
              </w:rPr>
            </w:pPr>
            <w:r w:rsidRPr="0022384C">
              <w:rPr>
                <w:b/>
                <w:szCs w:val="24"/>
              </w:rPr>
              <w:t>CD4</w:t>
            </w:r>
            <w:r w:rsidRPr="00A00924">
              <w:rPr>
                <w:b/>
                <w:szCs w:val="24"/>
                <w:vertAlign w:val="superscript"/>
              </w:rPr>
              <w:t>+</w:t>
            </w:r>
            <w:r w:rsidRPr="0022384C">
              <w:rPr>
                <w:b/>
                <w:szCs w:val="24"/>
              </w:rPr>
              <w:t>/CD152</w:t>
            </w:r>
            <w:r w:rsidRPr="00A00924">
              <w:rPr>
                <w:b/>
                <w:szCs w:val="24"/>
                <w:vertAlign w:val="superscript"/>
              </w:rPr>
              <w:t>+</w:t>
            </w:r>
          </w:p>
        </w:tc>
        <w:tc>
          <w:tcPr>
            <w:tcW w:w="1039" w:type="pct"/>
            <w:tcBorders>
              <w:bottom w:val="single" w:sz="4" w:space="0" w:color="auto"/>
            </w:tcBorders>
            <w:vAlign w:val="center"/>
          </w:tcPr>
          <w:p w:rsidR="007215E0" w:rsidRPr="0022384C" w:rsidRDefault="007215E0" w:rsidP="005D4E27">
            <w:pPr>
              <w:contextualSpacing/>
              <w:jc w:val="center"/>
              <w:rPr>
                <w:b/>
                <w:szCs w:val="24"/>
              </w:rPr>
            </w:pPr>
            <w:r w:rsidRPr="0022384C">
              <w:rPr>
                <w:b/>
                <w:szCs w:val="24"/>
              </w:rPr>
              <w:t>CD8</w:t>
            </w:r>
            <w:r w:rsidRPr="00A00924">
              <w:rPr>
                <w:b/>
                <w:szCs w:val="24"/>
                <w:vertAlign w:val="superscript"/>
              </w:rPr>
              <w:t>+</w:t>
            </w:r>
            <w:r w:rsidRPr="0022384C">
              <w:rPr>
                <w:b/>
                <w:szCs w:val="24"/>
              </w:rPr>
              <w:t>/CD28</w:t>
            </w:r>
            <w:r w:rsidRPr="00A00924">
              <w:rPr>
                <w:b/>
                <w:szCs w:val="24"/>
                <w:vertAlign w:val="superscript"/>
              </w:rPr>
              <w:t>+</w:t>
            </w:r>
          </w:p>
        </w:tc>
        <w:tc>
          <w:tcPr>
            <w:tcW w:w="1039" w:type="pct"/>
            <w:tcBorders>
              <w:bottom w:val="single" w:sz="4" w:space="0" w:color="auto"/>
            </w:tcBorders>
            <w:vAlign w:val="center"/>
          </w:tcPr>
          <w:p w:rsidR="007215E0" w:rsidRPr="0022384C" w:rsidRDefault="007215E0" w:rsidP="005D4E27">
            <w:pPr>
              <w:contextualSpacing/>
              <w:jc w:val="center"/>
              <w:rPr>
                <w:b/>
                <w:szCs w:val="24"/>
              </w:rPr>
            </w:pPr>
            <w:r w:rsidRPr="0022384C">
              <w:rPr>
                <w:b/>
                <w:szCs w:val="24"/>
              </w:rPr>
              <w:t>CD8</w:t>
            </w:r>
            <w:r w:rsidRPr="00A00924">
              <w:rPr>
                <w:b/>
                <w:szCs w:val="24"/>
                <w:vertAlign w:val="superscript"/>
              </w:rPr>
              <w:t>+</w:t>
            </w:r>
            <w:r w:rsidRPr="0022384C">
              <w:rPr>
                <w:b/>
                <w:szCs w:val="24"/>
              </w:rPr>
              <w:t>/CD152</w:t>
            </w:r>
            <w:r w:rsidRPr="00A00924">
              <w:rPr>
                <w:b/>
                <w:szCs w:val="24"/>
                <w:vertAlign w:val="superscript"/>
              </w:rPr>
              <w:t>+</w:t>
            </w:r>
          </w:p>
        </w:tc>
      </w:tr>
      <w:tr w:rsidR="007215E0" w:rsidRPr="00A75881" w:rsidTr="00FC5B34">
        <w:tc>
          <w:tcPr>
            <w:tcW w:w="845" w:type="pct"/>
            <w:shd w:val="clear" w:color="auto" w:fill="auto"/>
          </w:tcPr>
          <w:p w:rsidR="007215E0" w:rsidRPr="00C67053" w:rsidRDefault="007215E0" w:rsidP="005D4E27">
            <w:pPr>
              <w:jc w:val="center"/>
            </w:pPr>
            <w:r w:rsidRPr="00C67053">
              <w:t>CM</w:t>
            </w:r>
          </w:p>
        </w:tc>
        <w:tc>
          <w:tcPr>
            <w:tcW w:w="1039" w:type="pct"/>
            <w:shd w:val="clear" w:color="auto" w:fill="auto"/>
            <w:vAlign w:val="center"/>
          </w:tcPr>
          <w:p w:rsidR="007215E0" w:rsidRPr="0022384C" w:rsidRDefault="00FC5B34" w:rsidP="005D4E27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58,72 ± 4,54</w:t>
            </w:r>
          </w:p>
        </w:tc>
        <w:tc>
          <w:tcPr>
            <w:tcW w:w="1039" w:type="pct"/>
            <w:shd w:val="clear" w:color="auto" w:fill="auto"/>
            <w:vAlign w:val="center"/>
          </w:tcPr>
          <w:p w:rsidR="007215E0" w:rsidRPr="0022384C" w:rsidRDefault="00FC5B34" w:rsidP="00FC5B34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0,04 ± 0,03</w:t>
            </w:r>
          </w:p>
        </w:tc>
        <w:tc>
          <w:tcPr>
            <w:tcW w:w="1039" w:type="pct"/>
            <w:vAlign w:val="center"/>
          </w:tcPr>
          <w:p w:rsidR="007215E0" w:rsidRPr="0022384C" w:rsidRDefault="007215E0" w:rsidP="00FC5B34">
            <w:pPr>
              <w:contextualSpacing/>
              <w:jc w:val="center"/>
              <w:rPr>
                <w:szCs w:val="24"/>
              </w:rPr>
            </w:pPr>
            <w:r w:rsidRPr="0022384C">
              <w:rPr>
                <w:szCs w:val="24"/>
              </w:rPr>
              <w:t>17,21</w:t>
            </w:r>
            <w:r w:rsidR="00FC5B34">
              <w:rPr>
                <w:szCs w:val="24"/>
              </w:rPr>
              <w:t xml:space="preserve"> </w:t>
            </w:r>
            <w:r w:rsidRPr="0022384C">
              <w:rPr>
                <w:szCs w:val="24"/>
              </w:rPr>
              <w:t>±</w:t>
            </w:r>
            <w:r w:rsidR="00FC5B34">
              <w:rPr>
                <w:szCs w:val="24"/>
              </w:rPr>
              <w:t xml:space="preserve"> </w:t>
            </w:r>
            <w:r w:rsidRPr="0022384C">
              <w:rPr>
                <w:szCs w:val="24"/>
              </w:rPr>
              <w:t>3,92</w:t>
            </w:r>
          </w:p>
        </w:tc>
        <w:tc>
          <w:tcPr>
            <w:tcW w:w="1039" w:type="pct"/>
            <w:vAlign w:val="center"/>
          </w:tcPr>
          <w:p w:rsidR="007215E0" w:rsidRPr="0022384C" w:rsidRDefault="007215E0" w:rsidP="005D4E27">
            <w:pPr>
              <w:contextualSpacing/>
              <w:jc w:val="center"/>
              <w:rPr>
                <w:szCs w:val="24"/>
              </w:rPr>
            </w:pPr>
            <w:r w:rsidRPr="0022384C">
              <w:rPr>
                <w:szCs w:val="24"/>
              </w:rPr>
              <w:t>0</w:t>
            </w:r>
            <w:r w:rsidR="00FC5B34">
              <w:rPr>
                <w:szCs w:val="24"/>
              </w:rPr>
              <w:t xml:space="preserve">,02 </w:t>
            </w:r>
            <w:r w:rsidRPr="0022384C">
              <w:rPr>
                <w:szCs w:val="24"/>
              </w:rPr>
              <w:t>±</w:t>
            </w:r>
            <w:r w:rsidR="00FC5B34">
              <w:rPr>
                <w:szCs w:val="24"/>
              </w:rPr>
              <w:t xml:space="preserve"> </w:t>
            </w:r>
            <w:r w:rsidRPr="0022384C">
              <w:rPr>
                <w:szCs w:val="24"/>
              </w:rPr>
              <w:t>0,02</w:t>
            </w:r>
          </w:p>
        </w:tc>
      </w:tr>
      <w:tr w:rsidR="007215E0" w:rsidRPr="00A75881" w:rsidTr="00FC5B34">
        <w:trPr>
          <w:trHeight w:val="256"/>
        </w:trPr>
        <w:tc>
          <w:tcPr>
            <w:tcW w:w="845" w:type="pct"/>
            <w:shd w:val="clear" w:color="auto" w:fill="auto"/>
          </w:tcPr>
          <w:p w:rsidR="007215E0" w:rsidRPr="00C67053" w:rsidRDefault="007215E0" w:rsidP="00FC5B34">
            <w:pPr>
              <w:jc w:val="center"/>
            </w:pPr>
            <w:r w:rsidRPr="00C67053">
              <w:t>PLA scaffold</w:t>
            </w:r>
          </w:p>
        </w:tc>
        <w:tc>
          <w:tcPr>
            <w:tcW w:w="1039" w:type="pct"/>
            <w:shd w:val="clear" w:color="auto" w:fill="auto"/>
            <w:vAlign w:val="center"/>
          </w:tcPr>
          <w:p w:rsidR="007215E0" w:rsidRPr="0022384C" w:rsidRDefault="007215E0" w:rsidP="005D4E27">
            <w:pPr>
              <w:contextualSpacing/>
              <w:jc w:val="center"/>
              <w:rPr>
                <w:szCs w:val="24"/>
              </w:rPr>
            </w:pPr>
            <w:r w:rsidRPr="0022384C">
              <w:rPr>
                <w:szCs w:val="24"/>
              </w:rPr>
              <w:t>61,35</w:t>
            </w:r>
            <w:r w:rsidR="00FC5B34">
              <w:rPr>
                <w:szCs w:val="24"/>
              </w:rPr>
              <w:t xml:space="preserve"> </w:t>
            </w:r>
            <w:r w:rsidRPr="0022384C">
              <w:rPr>
                <w:szCs w:val="24"/>
              </w:rPr>
              <w:t>±</w:t>
            </w:r>
            <w:r w:rsidR="00FC5B34">
              <w:rPr>
                <w:szCs w:val="24"/>
              </w:rPr>
              <w:t xml:space="preserve"> </w:t>
            </w:r>
            <w:r w:rsidRPr="0022384C">
              <w:rPr>
                <w:szCs w:val="24"/>
              </w:rPr>
              <w:t>1,8</w:t>
            </w:r>
            <w:r w:rsidR="00FC5B34">
              <w:rPr>
                <w:szCs w:val="24"/>
              </w:rPr>
              <w:t>0</w:t>
            </w:r>
          </w:p>
        </w:tc>
        <w:tc>
          <w:tcPr>
            <w:tcW w:w="1039" w:type="pct"/>
            <w:shd w:val="clear" w:color="auto" w:fill="auto"/>
            <w:vAlign w:val="center"/>
          </w:tcPr>
          <w:p w:rsidR="007215E0" w:rsidRPr="0022384C" w:rsidRDefault="007215E0" w:rsidP="005D4E27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0,</w:t>
            </w:r>
            <w:r w:rsidRPr="0022384C">
              <w:rPr>
                <w:szCs w:val="24"/>
              </w:rPr>
              <w:t>27</w:t>
            </w:r>
            <w:r w:rsidR="00FC5B34">
              <w:rPr>
                <w:szCs w:val="24"/>
              </w:rPr>
              <w:t xml:space="preserve"> </w:t>
            </w:r>
            <w:r w:rsidRPr="0022384C">
              <w:rPr>
                <w:szCs w:val="24"/>
              </w:rPr>
              <w:t>±</w:t>
            </w:r>
            <w:r w:rsidR="00FC5B34">
              <w:rPr>
                <w:szCs w:val="24"/>
              </w:rPr>
              <w:t xml:space="preserve"> </w:t>
            </w:r>
            <w:r w:rsidRPr="0022384C">
              <w:rPr>
                <w:szCs w:val="24"/>
              </w:rPr>
              <w:t>0,23</w:t>
            </w:r>
          </w:p>
        </w:tc>
        <w:tc>
          <w:tcPr>
            <w:tcW w:w="1039" w:type="pct"/>
            <w:vAlign w:val="center"/>
          </w:tcPr>
          <w:p w:rsidR="007215E0" w:rsidRPr="0022384C" w:rsidRDefault="007215E0" w:rsidP="005D4E27">
            <w:pPr>
              <w:contextualSpacing/>
              <w:jc w:val="center"/>
              <w:rPr>
                <w:szCs w:val="24"/>
              </w:rPr>
            </w:pPr>
            <w:r w:rsidRPr="0022384C">
              <w:rPr>
                <w:szCs w:val="24"/>
              </w:rPr>
              <w:t>17,87</w:t>
            </w:r>
            <w:r w:rsidR="00FC5B34">
              <w:rPr>
                <w:szCs w:val="24"/>
              </w:rPr>
              <w:t xml:space="preserve"> </w:t>
            </w:r>
            <w:r w:rsidRPr="0022384C">
              <w:rPr>
                <w:szCs w:val="24"/>
              </w:rPr>
              <w:t>±</w:t>
            </w:r>
            <w:r w:rsidR="00FC5B34">
              <w:rPr>
                <w:szCs w:val="24"/>
              </w:rPr>
              <w:t xml:space="preserve"> </w:t>
            </w:r>
            <w:r w:rsidRPr="0022384C">
              <w:rPr>
                <w:szCs w:val="24"/>
              </w:rPr>
              <w:t>2,83</w:t>
            </w:r>
          </w:p>
        </w:tc>
        <w:tc>
          <w:tcPr>
            <w:tcW w:w="1039" w:type="pct"/>
            <w:vAlign w:val="center"/>
          </w:tcPr>
          <w:p w:rsidR="007215E0" w:rsidRPr="0022384C" w:rsidRDefault="00FC5B34" w:rsidP="00FC5B34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0,15 </w:t>
            </w:r>
            <w:r w:rsidR="007215E0" w:rsidRPr="0022384C">
              <w:rPr>
                <w:szCs w:val="24"/>
              </w:rPr>
              <w:t>±</w:t>
            </w:r>
            <w:r>
              <w:rPr>
                <w:szCs w:val="24"/>
              </w:rPr>
              <w:t xml:space="preserve"> </w:t>
            </w:r>
            <w:r w:rsidR="007215E0" w:rsidRPr="0022384C">
              <w:rPr>
                <w:szCs w:val="24"/>
              </w:rPr>
              <w:t>0,0</w:t>
            </w:r>
            <w:r>
              <w:rPr>
                <w:szCs w:val="24"/>
              </w:rPr>
              <w:t>9</w:t>
            </w:r>
          </w:p>
        </w:tc>
      </w:tr>
      <w:tr w:rsidR="007215E0" w:rsidRPr="00A75881" w:rsidTr="00FC5B34">
        <w:tc>
          <w:tcPr>
            <w:tcW w:w="845" w:type="pct"/>
            <w:shd w:val="clear" w:color="auto" w:fill="auto"/>
          </w:tcPr>
          <w:p w:rsidR="007215E0" w:rsidRPr="00C67053" w:rsidRDefault="007215E0" w:rsidP="005D4E27">
            <w:pPr>
              <w:jc w:val="center"/>
            </w:pPr>
            <w:r w:rsidRPr="00C67053">
              <w:t>TEC</w:t>
            </w:r>
          </w:p>
        </w:tc>
        <w:tc>
          <w:tcPr>
            <w:tcW w:w="1039" w:type="pct"/>
            <w:shd w:val="clear" w:color="auto" w:fill="auto"/>
            <w:vAlign w:val="center"/>
          </w:tcPr>
          <w:p w:rsidR="007215E0" w:rsidRPr="0022384C" w:rsidRDefault="00FC5B34" w:rsidP="00FC5B34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59,87 ± 3,80</w:t>
            </w:r>
          </w:p>
        </w:tc>
        <w:tc>
          <w:tcPr>
            <w:tcW w:w="1039" w:type="pct"/>
            <w:shd w:val="clear" w:color="auto" w:fill="auto"/>
            <w:vAlign w:val="center"/>
          </w:tcPr>
          <w:p w:rsidR="007215E0" w:rsidRPr="0022384C" w:rsidRDefault="00FC5B34" w:rsidP="00FC5B34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0,19 </w:t>
            </w:r>
            <w:r w:rsidR="007215E0" w:rsidRPr="0022384C">
              <w:rPr>
                <w:szCs w:val="24"/>
              </w:rPr>
              <w:t>±</w:t>
            </w:r>
            <w:r>
              <w:rPr>
                <w:szCs w:val="24"/>
              </w:rPr>
              <w:t xml:space="preserve"> </w:t>
            </w:r>
            <w:r w:rsidR="007215E0" w:rsidRPr="0022384C">
              <w:rPr>
                <w:szCs w:val="24"/>
              </w:rPr>
              <w:t>0,13</w:t>
            </w:r>
          </w:p>
        </w:tc>
        <w:tc>
          <w:tcPr>
            <w:tcW w:w="1039" w:type="pct"/>
            <w:vAlign w:val="center"/>
          </w:tcPr>
          <w:p w:rsidR="007215E0" w:rsidRPr="0022384C" w:rsidRDefault="007215E0" w:rsidP="005D4E27">
            <w:pPr>
              <w:contextualSpacing/>
              <w:jc w:val="center"/>
              <w:rPr>
                <w:szCs w:val="24"/>
              </w:rPr>
            </w:pPr>
            <w:r w:rsidRPr="0022384C">
              <w:rPr>
                <w:szCs w:val="24"/>
              </w:rPr>
              <w:t>16,64</w:t>
            </w:r>
            <w:r w:rsidR="00FC5B34">
              <w:rPr>
                <w:szCs w:val="24"/>
              </w:rPr>
              <w:t xml:space="preserve"> </w:t>
            </w:r>
            <w:r w:rsidRPr="0022384C">
              <w:rPr>
                <w:szCs w:val="24"/>
              </w:rPr>
              <w:t>±</w:t>
            </w:r>
            <w:r w:rsidR="00FC5B34">
              <w:rPr>
                <w:szCs w:val="24"/>
              </w:rPr>
              <w:t xml:space="preserve"> 3,60</w:t>
            </w:r>
          </w:p>
        </w:tc>
        <w:tc>
          <w:tcPr>
            <w:tcW w:w="1039" w:type="pct"/>
            <w:vAlign w:val="center"/>
          </w:tcPr>
          <w:p w:rsidR="007215E0" w:rsidRPr="0022384C" w:rsidRDefault="007215E0" w:rsidP="00FC5B34">
            <w:pPr>
              <w:contextualSpacing/>
              <w:jc w:val="center"/>
              <w:rPr>
                <w:szCs w:val="24"/>
              </w:rPr>
            </w:pPr>
            <w:r w:rsidRPr="0022384C">
              <w:rPr>
                <w:szCs w:val="24"/>
              </w:rPr>
              <w:t>0,06</w:t>
            </w:r>
            <w:r w:rsidR="00FC5B34">
              <w:rPr>
                <w:szCs w:val="24"/>
              </w:rPr>
              <w:t xml:space="preserve"> </w:t>
            </w:r>
            <w:r w:rsidRPr="0022384C">
              <w:rPr>
                <w:szCs w:val="24"/>
              </w:rPr>
              <w:t>±</w:t>
            </w:r>
            <w:r w:rsidR="00FC5B34">
              <w:rPr>
                <w:szCs w:val="24"/>
              </w:rPr>
              <w:t xml:space="preserve"> 0,05</w:t>
            </w:r>
          </w:p>
        </w:tc>
      </w:tr>
      <w:tr w:rsidR="007215E0" w:rsidRPr="00A75881" w:rsidTr="00FC5B34">
        <w:tc>
          <w:tcPr>
            <w:tcW w:w="845" w:type="pct"/>
            <w:shd w:val="clear" w:color="auto" w:fill="auto"/>
          </w:tcPr>
          <w:p w:rsidR="007215E0" w:rsidRPr="00C67053" w:rsidRDefault="007215E0" w:rsidP="005D4E27">
            <w:pPr>
              <w:jc w:val="center"/>
            </w:pPr>
            <w:r w:rsidRPr="00C67053">
              <w:t xml:space="preserve">conA </w:t>
            </w:r>
          </w:p>
        </w:tc>
        <w:tc>
          <w:tcPr>
            <w:tcW w:w="1039" w:type="pct"/>
            <w:shd w:val="clear" w:color="auto" w:fill="auto"/>
            <w:vAlign w:val="center"/>
          </w:tcPr>
          <w:p w:rsidR="007215E0" w:rsidRPr="0022384C" w:rsidRDefault="007215E0" w:rsidP="005D4E27">
            <w:pPr>
              <w:contextualSpacing/>
              <w:jc w:val="center"/>
              <w:rPr>
                <w:szCs w:val="24"/>
              </w:rPr>
            </w:pPr>
            <w:r w:rsidRPr="0022384C">
              <w:rPr>
                <w:szCs w:val="24"/>
              </w:rPr>
              <w:t>66,31</w:t>
            </w:r>
            <w:r w:rsidR="00FC5B34">
              <w:rPr>
                <w:szCs w:val="24"/>
              </w:rPr>
              <w:t xml:space="preserve"> </w:t>
            </w:r>
            <w:r w:rsidRPr="0022384C">
              <w:rPr>
                <w:szCs w:val="24"/>
              </w:rPr>
              <w:t>±</w:t>
            </w:r>
            <w:r w:rsidR="00FC5B34">
              <w:rPr>
                <w:szCs w:val="24"/>
              </w:rPr>
              <w:t xml:space="preserve"> </w:t>
            </w:r>
            <w:r w:rsidRPr="0022384C">
              <w:rPr>
                <w:szCs w:val="24"/>
              </w:rPr>
              <w:t>1,56</w:t>
            </w:r>
          </w:p>
        </w:tc>
        <w:tc>
          <w:tcPr>
            <w:tcW w:w="1039" w:type="pct"/>
            <w:shd w:val="clear" w:color="auto" w:fill="auto"/>
            <w:vAlign w:val="center"/>
          </w:tcPr>
          <w:p w:rsidR="007215E0" w:rsidRPr="0022384C" w:rsidRDefault="00FC5B34" w:rsidP="00FC5B34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1,23 </w:t>
            </w:r>
            <w:r w:rsidR="007215E0" w:rsidRPr="0022384C">
              <w:rPr>
                <w:szCs w:val="24"/>
              </w:rPr>
              <w:t>±</w:t>
            </w:r>
            <w:r>
              <w:rPr>
                <w:szCs w:val="24"/>
              </w:rPr>
              <w:t xml:space="preserve"> </w:t>
            </w:r>
            <w:r w:rsidR="007215E0" w:rsidRPr="0022384C">
              <w:rPr>
                <w:szCs w:val="24"/>
              </w:rPr>
              <w:t>0,5</w:t>
            </w:r>
            <w:r>
              <w:rPr>
                <w:szCs w:val="24"/>
              </w:rPr>
              <w:t>5</w:t>
            </w:r>
          </w:p>
        </w:tc>
        <w:tc>
          <w:tcPr>
            <w:tcW w:w="1039" w:type="pct"/>
            <w:vAlign w:val="center"/>
          </w:tcPr>
          <w:p w:rsidR="007215E0" w:rsidRPr="0022384C" w:rsidRDefault="007215E0" w:rsidP="005D4E27">
            <w:pPr>
              <w:contextualSpacing/>
              <w:jc w:val="center"/>
              <w:rPr>
                <w:szCs w:val="24"/>
              </w:rPr>
            </w:pPr>
            <w:r w:rsidRPr="0022384C">
              <w:rPr>
                <w:szCs w:val="24"/>
              </w:rPr>
              <w:t>21,7</w:t>
            </w:r>
            <w:r w:rsidR="00FC5B34">
              <w:rPr>
                <w:szCs w:val="24"/>
              </w:rPr>
              <w:t xml:space="preserve">0 </w:t>
            </w:r>
            <w:r w:rsidRPr="0022384C">
              <w:rPr>
                <w:szCs w:val="24"/>
              </w:rPr>
              <w:t>±</w:t>
            </w:r>
            <w:r w:rsidR="00FC5B34">
              <w:rPr>
                <w:szCs w:val="24"/>
              </w:rPr>
              <w:t xml:space="preserve"> </w:t>
            </w:r>
            <w:r w:rsidRPr="0022384C">
              <w:rPr>
                <w:szCs w:val="24"/>
              </w:rPr>
              <w:t>5,33</w:t>
            </w:r>
          </w:p>
        </w:tc>
        <w:tc>
          <w:tcPr>
            <w:tcW w:w="1039" w:type="pct"/>
            <w:vAlign w:val="center"/>
          </w:tcPr>
          <w:p w:rsidR="007215E0" w:rsidRPr="0022384C" w:rsidRDefault="007215E0" w:rsidP="005D4E27">
            <w:pPr>
              <w:contextualSpacing/>
              <w:jc w:val="center"/>
              <w:rPr>
                <w:szCs w:val="24"/>
              </w:rPr>
            </w:pPr>
            <w:r w:rsidRPr="0022384C">
              <w:rPr>
                <w:szCs w:val="24"/>
              </w:rPr>
              <w:t>0,10</w:t>
            </w:r>
            <w:r w:rsidR="00FC5B34">
              <w:rPr>
                <w:szCs w:val="24"/>
              </w:rPr>
              <w:t xml:space="preserve"> </w:t>
            </w:r>
            <w:r w:rsidRPr="0022384C">
              <w:rPr>
                <w:szCs w:val="24"/>
              </w:rPr>
              <w:t>±</w:t>
            </w:r>
            <w:r w:rsidR="00FC5B34">
              <w:rPr>
                <w:szCs w:val="24"/>
              </w:rPr>
              <w:t xml:space="preserve"> 0,05</w:t>
            </w:r>
          </w:p>
        </w:tc>
      </w:tr>
      <w:tr w:rsidR="007215E0" w:rsidRPr="00A75881" w:rsidTr="00FC5B34">
        <w:tc>
          <w:tcPr>
            <w:tcW w:w="845" w:type="pct"/>
            <w:shd w:val="clear" w:color="auto" w:fill="auto"/>
          </w:tcPr>
          <w:p w:rsidR="007215E0" w:rsidRDefault="007215E0" w:rsidP="005D4E27">
            <w:pPr>
              <w:jc w:val="center"/>
            </w:pPr>
            <w:r w:rsidRPr="00C67053">
              <w:t>neg</w:t>
            </w:r>
            <w:r>
              <w:t xml:space="preserve"> </w:t>
            </w:r>
            <w:r w:rsidRPr="00C67053">
              <w:t>control</w:t>
            </w:r>
          </w:p>
        </w:tc>
        <w:tc>
          <w:tcPr>
            <w:tcW w:w="1039" w:type="pct"/>
            <w:shd w:val="clear" w:color="auto" w:fill="auto"/>
            <w:vAlign w:val="center"/>
          </w:tcPr>
          <w:p w:rsidR="007215E0" w:rsidRPr="0022384C" w:rsidRDefault="00FC5B34" w:rsidP="005D4E27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55,48 ± 8,85</w:t>
            </w:r>
          </w:p>
        </w:tc>
        <w:tc>
          <w:tcPr>
            <w:tcW w:w="1039" w:type="pct"/>
            <w:shd w:val="clear" w:color="auto" w:fill="auto"/>
            <w:vAlign w:val="center"/>
          </w:tcPr>
          <w:p w:rsidR="007215E0" w:rsidRPr="0022384C" w:rsidRDefault="00FC5B34" w:rsidP="00FC5B34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0,06 </w:t>
            </w:r>
            <w:r w:rsidR="007215E0" w:rsidRPr="0022384C">
              <w:rPr>
                <w:szCs w:val="24"/>
              </w:rPr>
              <w:t>±</w:t>
            </w:r>
            <w:r>
              <w:rPr>
                <w:szCs w:val="24"/>
              </w:rPr>
              <w:t xml:space="preserve"> 0,03</w:t>
            </w:r>
          </w:p>
        </w:tc>
        <w:tc>
          <w:tcPr>
            <w:tcW w:w="1039" w:type="pct"/>
            <w:vAlign w:val="center"/>
          </w:tcPr>
          <w:p w:rsidR="007215E0" w:rsidRPr="0022384C" w:rsidRDefault="007215E0" w:rsidP="005D4E27">
            <w:pPr>
              <w:contextualSpacing/>
              <w:jc w:val="center"/>
              <w:rPr>
                <w:szCs w:val="24"/>
              </w:rPr>
            </w:pPr>
            <w:r w:rsidRPr="0022384C">
              <w:rPr>
                <w:szCs w:val="24"/>
              </w:rPr>
              <w:t>16,85</w:t>
            </w:r>
            <w:r w:rsidR="00FC5B34">
              <w:rPr>
                <w:szCs w:val="24"/>
              </w:rPr>
              <w:t xml:space="preserve"> </w:t>
            </w:r>
            <w:r w:rsidRPr="0022384C">
              <w:rPr>
                <w:szCs w:val="24"/>
              </w:rPr>
              <w:t>±</w:t>
            </w:r>
            <w:r w:rsidR="00FC5B34">
              <w:rPr>
                <w:szCs w:val="24"/>
              </w:rPr>
              <w:t xml:space="preserve"> 5,04</w:t>
            </w:r>
          </w:p>
        </w:tc>
        <w:tc>
          <w:tcPr>
            <w:tcW w:w="1039" w:type="pct"/>
            <w:vAlign w:val="center"/>
          </w:tcPr>
          <w:p w:rsidR="007215E0" w:rsidRPr="0022384C" w:rsidRDefault="00FC5B34" w:rsidP="00FC5B34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0,03 </w:t>
            </w:r>
            <w:r w:rsidR="007215E0" w:rsidRPr="0022384C">
              <w:rPr>
                <w:szCs w:val="24"/>
              </w:rPr>
              <w:t>±</w:t>
            </w:r>
            <w:r>
              <w:rPr>
                <w:szCs w:val="24"/>
              </w:rPr>
              <w:t xml:space="preserve"> </w:t>
            </w:r>
            <w:r w:rsidR="007215E0" w:rsidRPr="0022384C">
              <w:rPr>
                <w:szCs w:val="24"/>
              </w:rPr>
              <w:t>0,01</w:t>
            </w:r>
          </w:p>
        </w:tc>
      </w:tr>
    </w:tbl>
    <w:p w:rsidR="00FC5B34" w:rsidRPr="0021172B" w:rsidRDefault="00FC5B34" w:rsidP="00FC5B34">
      <w:pPr>
        <w:pStyle w:val="MDPI31text"/>
        <w:ind w:left="0" w:firstLine="0"/>
        <w:rPr>
          <w:sz w:val="18"/>
        </w:rPr>
      </w:pPr>
      <w:r w:rsidRPr="0021172B">
        <w:rPr>
          <w:sz w:val="18"/>
        </w:rPr>
        <w:t xml:space="preserve">CM – culture of </w:t>
      </w:r>
      <w:bookmarkStart w:id="1" w:name="OLE_LINK1"/>
      <w:proofErr w:type="spellStart"/>
      <w:r w:rsidRPr="0021172B">
        <w:rPr>
          <w:sz w:val="18"/>
        </w:rPr>
        <w:t>hiPSC</w:t>
      </w:r>
      <w:proofErr w:type="spellEnd"/>
      <w:r w:rsidRPr="0021172B">
        <w:rPr>
          <w:sz w:val="18"/>
        </w:rPr>
        <w:t>-</w:t>
      </w:r>
      <w:r>
        <w:rPr>
          <w:sz w:val="18"/>
        </w:rPr>
        <w:t xml:space="preserve">derived </w:t>
      </w:r>
      <w:bookmarkEnd w:id="1"/>
      <w:r>
        <w:rPr>
          <w:sz w:val="18"/>
        </w:rPr>
        <w:t>cardiomyocytes</w:t>
      </w:r>
      <w:r w:rsidRPr="0021172B">
        <w:rPr>
          <w:sz w:val="18"/>
        </w:rPr>
        <w:t xml:space="preserve">; PLA scaffold - microfiber </w:t>
      </w:r>
      <w:r>
        <w:rPr>
          <w:sz w:val="18"/>
        </w:rPr>
        <w:t xml:space="preserve">scaffold </w:t>
      </w:r>
      <w:r w:rsidRPr="0021172B">
        <w:rPr>
          <w:sz w:val="18"/>
        </w:rPr>
        <w:t xml:space="preserve">without CM; TEC - </w:t>
      </w:r>
      <w:proofErr w:type="spellStart"/>
      <w:r w:rsidRPr="0021172B">
        <w:rPr>
          <w:sz w:val="18"/>
        </w:rPr>
        <w:t>hiPSC</w:t>
      </w:r>
      <w:proofErr w:type="spellEnd"/>
      <w:r w:rsidRPr="0021172B">
        <w:rPr>
          <w:sz w:val="18"/>
        </w:rPr>
        <w:t>-</w:t>
      </w:r>
      <w:r>
        <w:rPr>
          <w:sz w:val="18"/>
        </w:rPr>
        <w:t xml:space="preserve">derived cardiomyocytes on PLA scaffold; </w:t>
      </w:r>
      <w:proofErr w:type="spellStart"/>
      <w:r>
        <w:rPr>
          <w:sz w:val="18"/>
        </w:rPr>
        <w:t>conA</w:t>
      </w:r>
      <w:proofErr w:type="spellEnd"/>
      <w:r>
        <w:rPr>
          <w:sz w:val="18"/>
        </w:rPr>
        <w:t xml:space="preserve"> – cell stimulation with </w:t>
      </w:r>
      <w:proofErr w:type="spellStart"/>
      <w:r>
        <w:rPr>
          <w:sz w:val="18"/>
        </w:rPr>
        <w:t>concanavalin</w:t>
      </w:r>
      <w:proofErr w:type="spellEnd"/>
      <w:r>
        <w:rPr>
          <w:sz w:val="18"/>
        </w:rPr>
        <w:t xml:space="preserve"> A; k- – intact cells in culture medium.</w:t>
      </w:r>
    </w:p>
    <w:p w:rsidR="003F175A" w:rsidRDefault="003F175A" w:rsidP="00FC5B34">
      <w:pPr>
        <w:pStyle w:val="MDPI31text"/>
        <w:ind w:left="0" w:firstLine="0"/>
      </w:pPr>
    </w:p>
    <w:p w:rsidR="00FC5B34" w:rsidRDefault="00FC5B34"/>
    <w:sectPr w:rsidR="00FC5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Microsoft Sans Serif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5E0"/>
    <w:rsid w:val="00007A4E"/>
    <w:rsid w:val="003F175A"/>
    <w:rsid w:val="007215E0"/>
    <w:rsid w:val="007945D2"/>
    <w:rsid w:val="00FC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9BEFC8-E7C7-4200-8E0F-F9F6C37F0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5E0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31text">
    <w:name w:val="MDPI_3.1_text"/>
    <w:qFormat/>
    <w:rsid w:val="007215E0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tablecaption">
    <w:name w:val="MDPI_4.1_table_caption"/>
    <w:qFormat/>
    <w:rsid w:val="007215E0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Company>NNIIPK im Meshalkina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Zlo</dc:creator>
  <cp:keywords/>
  <dc:description/>
  <cp:lastModifiedBy>Dr Zlo</cp:lastModifiedBy>
  <cp:revision>2</cp:revision>
  <dcterms:created xsi:type="dcterms:W3CDTF">2021-12-23T05:20:00Z</dcterms:created>
  <dcterms:modified xsi:type="dcterms:W3CDTF">2021-12-23T05:20:00Z</dcterms:modified>
</cp:coreProperties>
</file>