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7A2A8" w14:textId="77777777" w:rsidR="000B4D39" w:rsidRDefault="000B4D39"/>
    <w:tbl>
      <w:tblPr>
        <w:tblpPr w:leftFromText="180" w:rightFromText="180" w:vertAnchor="text" w:horzAnchor="margin" w:tblpXSpec="center" w:tblpY="31"/>
        <w:tblW w:w="9214" w:type="dxa"/>
        <w:tblLook w:val="04A0" w:firstRow="1" w:lastRow="0" w:firstColumn="1" w:lastColumn="0" w:noHBand="0" w:noVBand="1"/>
      </w:tblPr>
      <w:tblGrid>
        <w:gridCol w:w="1283"/>
        <w:gridCol w:w="4033"/>
        <w:gridCol w:w="1107"/>
        <w:gridCol w:w="3149"/>
      </w:tblGrid>
      <w:tr w:rsidR="00F7156A" w:rsidRPr="0056424B" w14:paraId="42076559" w14:textId="77777777" w:rsidTr="00170CA9">
        <w:trPr>
          <w:trHeight w:val="300"/>
        </w:trPr>
        <w:tc>
          <w:tcPr>
            <w:tcW w:w="9214" w:type="dxa"/>
            <w:gridSpan w:val="4"/>
            <w:tcBorders>
              <w:bottom w:val="single" w:sz="4" w:space="0" w:color="auto"/>
            </w:tcBorders>
            <w:shd w:val="clear" w:color="auto" w:fill="auto"/>
            <w:noWrap/>
            <w:vAlign w:val="bottom"/>
          </w:tcPr>
          <w:p w14:paraId="6C1A24EC" w14:textId="5755792D" w:rsidR="00F7156A" w:rsidRPr="006C0D11" w:rsidRDefault="00F7156A" w:rsidP="00170CA9">
            <w:pPr>
              <w:rPr>
                <w:rFonts w:eastAsia="Times New Roman" w:cstheme="minorHAnsi"/>
                <w:color w:val="000000"/>
                <w:sz w:val="22"/>
                <w:lang w:eastAsia="en-GB"/>
              </w:rPr>
            </w:pPr>
            <w:r w:rsidRPr="006C0D11">
              <w:rPr>
                <w:rFonts w:cstheme="minorHAnsi"/>
                <w:b/>
                <w:bCs/>
                <w:sz w:val="22"/>
              </w:rPr>
              <w:t>Table S1:</w:t>
            </w:r>
            <w:r w:rsidRPr="006C0D11">
              <w:rPr>
                <w:rFonts w:cstheme="minorHAnsi"/>
                <w:sz w:val="22"/>
              </w:rPr>
              <w:t xml:space="preserve"> </w:t>
            </w:r>
            <w:r>
              <w:rPr>
                <w:rFonts w:cstheme="minorHAnsi"/>
                <w:sz w:val="22"/>
              </w:rPr>
              <w:t>Recommended p</w:t>
            </w:r>
            <w:r w:rsidRPr="006C0D11">
              <w:rPr>
                <w:rFonts w:cstheme="minorHAnsi"/>
                <w:sz w:val="22"/>
              </w:rPr>
              <w:t>rimer sequences used to amplify th</w:t>
            </w:r>
            <w:r w:rsidRPr="006C0D11">
              <w:rPr>
                <w:rFonts w:cstheme="minorHAnsi"/>
                <w:i/>
                <w:iCs/>
                <w:sz w:val="22"/>
              </w:rPr>
              <w:t xml:space="preserve">e rbcL </w:t>
            </w:r>
            <w:r w:rsidRPr="006C0D11">
              <w:rPr>
                <w:rFonts w:cstheme="minorHAnsi"/>
                <w:sz w:val="22"/>
              </w:rPr>
              <w:t xml:space="preserve">and ITS2 barcode regions. A 6N sequence </w:t>
            </w:r>
            <w:r>
              <w:rPr>
                <w:rFonts w:cstheme="minorHAnsi"/>
                <w:sz w:val="22"/>
              </w:rPr>
              <w:t>i</w:t>
            </w:r>
            <w:r w:rsidRPr="006C0D11">
              <w:rPr>
                <w:rFonts w:cstheme="minorHAnsi"/>
                <w:sz w:val="22"/>
              </w:rPr>
              <w:t>s added between the forward template specific primer and the universal tail to improve clustering on the Illumina MiSeq.</w:t>
            </w:r>
          </w:p>
        </w:tc>
      </w:tr>
      <w:tr w:rsidR="00F7156A" w:rsidRPr="0056424B" w14:paraId="5A91AABE" w14:textId="77777777" w:rsidTr="00170CA9">
        <w:trPr>
          <w:trHeight w:val="300"/>
        </w:trPr>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C7EBAA"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Primer name</w:t>
            </w:r>
          </w:p>
        </w:tc>
        <w:tc>
          <w:tcPr>
            <w:tcW w:w="3766" w:type="dxa"/>
            <w:tcBorders>
              <w:top w:val="single" w:sz="4" w:space="0" w:color="auto"/>
              <w:left w:val="nil"/>
              <w:bottom w:val="single" w:sz="4" w:space="0" w:color="auto"/>
              <w:right w:val="single" w:sz="4" w:space="0" w:color="auto"/>
            </w:tcBorders>
            <w:shd w:val="clear" w:color="auto" w:fill="auto"/>
            <w:noWrap/>
            <w:vAlign w:val="bottom"/>
            <w:hideMark/>
          </w:tcPr>
          <w:p w14:paraId="00A8948E"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Universal Tail</w:t>
            </w:r>
          </w:p>
        </w:tc>
        <w:tc>
          <w:tcPr>
            <w:tcW w:w="1107" w:type="dxa"/>
            <w:tcBorders>
              <w:top w:val="single" w:sz="4" w:space="0" w:color="auto"/>
              <w:left w:val="nil"/>
              <w:bottom w:val="single" w:sz="4" w:space="0" w:color="auto"/>
              <w:right w:val="single" w:sz="4" w:space="0" w:color="auto"/>
            </w:tcBorders>
            <w:shd w:val="clear" w:color="auto" w:fill="auto"/>
            <w:noWrap/>
            <w:vAlign w:val="bottom"/>
            <w:hideMark/>
          </w:tcPr>
          <w:p w14:paraId="5E57BD1D"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6N Sequence</w:t>
            </w:r>
          </w:p>
        </w:tc>
        <w:tc>
          <w:tcPr>
            <w:tcW w:w="3132" w:type="dxa"/>
            <w:tcBorders>
              <w:top w:val="single" w:sz="4" w:space="0" w:color="auto"/>
              <w:left w:val="nil"/>
              <w:bottom w:val="single" w:sz="4" w:space="0" w:color="auto"/>
              <w:right w:val="single" w:sz="4" w:space="0" w:color="auto"/>
            </w:tcBorders>
            <w:shd w:val="clear" w:color="auto" w:fill="auto"/>
            <w:noWrap/>
            <w:vAlign w:val="bottom"/>
            <w:hideMark/>
          </w:tcPr>
          <w:p w14:paraId="66FEDDD9"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Primer sequence</w:t>
            </w:r>
          </w:p>
        </w:tc>
      </w:tr>
      <w:tr w:rsidR="00F7156A" w:rsidRPr="0056424B" w14:paraId="3EF6EE60" w14:textId="77777777" w:rsidTr="00170CA9">
        <w:trPr>
          <w:trHeight w:val="300"/>
        </w:trPr>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21501DDB" w14:textId="77777777" w:rsidR="00F7156A" w:rsidRDefault="00F7156A" w:rsidP="00170CA9">
            <w:pPr>
              <w:rPr>
                <w:rFonts w:eastAsia="Times New Roman" w:cstheme="minorHAnsi"/>
                <w:color w:val="000000"/>
                <w:sz w:val="20"/>
                <w:szCs w:val="20"/>
                <w:lang w:eastAsia="en-GB"/>
              </w:rPr>
            </w:pPr>
            <w:r w:rsidRPr="0077494E">
              <w:rPr>
                <w:rFonts w:eastAsia="Times New Roman" w:cstheme="minorHAnsi"/>
                <w:i/>
                <w:iCs/>
                <w:color w:val="000000"/>
                <w:sz w:val="20"/>
                <w:szCs w:val="20"/>
                <w:lang w:eastAsia="en-GB"/>
              </w:rPr>
              <w:t>rbcL</w:t>
            </w:r>
            <w:r w:rsidRPr="0077494E">
              <w:rPr>
                <w:rFonts w:eastAsia="Times New Roman" w:cstheme="minorHAnsi"/>
                <w:color w:val="000000"/>
                <w:sz w:val="20"/>
                <w:szCs w:val="20"/>
                <w:lang w:eastAsia="en-GB"/>
              </w:rPr>
              <w:t xml:space="preserve">af </w:t>
            </w:r>
          </w:p>
          <w:p w14:paraId="19962471" w14:textId="77777777" w:rsidR="00F7156A" w:rsidRPr="0077494E" w:rsidRDefault="00F7156A" w:rsidP="00170CA9">
            <w:pPr>
              <w:rPr>
                <w:rFonts w:eastAsia="Times New Roman" w:cstheme="minorHAnsi"/>
                <w:i/>
                <w:iCs/>
                <w:color w:val="000000"/>
                <w:sz w:val="20"/>
                <w:szCs w:val="20"/>
                <w:lang w:eastAsia="en-GB"/>
              </w:rPr>
            </w:pPr>
            <w:r w:rsidRPr="0077494E">
              <w:rPr>
                <w:rFonts w:cstheme="minorHAnsi"/>
                <w:sz w:val="20"/>
                <w:szCs w:val="20"/>
              </w:rPr>
              <w:fldChar w:fldCharType="begin" w:fldLock="1"/>
            </w:r>
            <w:r w:rsidRPr="0077494E">
              <w:rPr>
                <w:rFonts w:cstheme="minorHAnsi"/>
                <w:sz w:val="20"/>
                <w:szCs w:val="20"/>
              </w:rPr>
              <w:instrText>ADDIN CSL_CITATION {"citationItems":[{"id":"ITEM-1","itemData":{"DOI":"10.1371/journal.pone.0000508","ISSN":"19326203","abstract":"Background: A useful DNA barcode requires sufficient sequence variation to distinguish between species and ease of application across a broad range of taxa. Discovery of a DNA barcode for land plants has been limited by intrinsically lower rates of sequence evolution in plant genomes than that observed in animals. This low rate has complicated the trade-off in finding a locus that is universal and readily sequenced and has sufficiently high sequence divergence at the species-level. Methodology/Principal Findings: Here, a global plant DNA barcode system is evaluated by comparing universal application and degree of sequence divergence for nine putative barcode loci, including coding and non-coding regions, singly and in pairs across a phylogenetically diverse set of 48 genera (two species per genus). No single locus could discriminate among species in a pair in more than 79% of genera, whereas discrimination increased to nearly 88% when the non-coding trnH-psbA spacer was paired with one of three coding loci, including rbcL. In silico trials were conducted in which DNA sequences from GenBank were used to further evaluate the discriminatory power of a subset of these loci. These trials supported the earlier observation that trnH-psbA coupled with rbcL can correctly identify and discriminate among related species. Conclusions/Significance: A combination of the non-coding trnH-psbA spacer region and a portion of the coding rbcL gene is recommended as a two-locus global land plant barcode that provides the necessary universality and species discrimination.","author":[{"dropping-particle":"","family":"Kress","given":"W. John","non-dropping-particle":"","parse-names":false,"suffix":""},{"dropping-particle":"","family":"Erickson","given":"David L.","non-dropping-particle":"","parse-names":false,"suffix":""}],"container-title":"PLoS ONE","id":"ITEM-1","issue":"6","issued":{"date-parts":[["2007"]]},"title":"A Two-Locus Global DNA Barcode for Land Plants: The Coding rbcL Gene Complements the Non-Coding trnH-psbA Spacer Region","type":"article-journal","volume":"2"},"uris":["http://www.mendeley.com/documents/?uuid=9df03407-da1b-43ab-b23a-6c2d9984a335"]}],"mendeley":{"formattedCitation":"(Kress &amp; Erickson, 2007)","plainTextFormattedCitation":"(Kress &amp; Erickson, 2007)","previouslyFormattedCitation":"(Kress &amp; Erickson, 2007)"},"properties":{"noteIndex":0},"schema":"https://github.com/citation-style-language/schema/raw/master/csl-citation.json"}</w:instrText>
            </w:r>
            <w:r w:rsidRPr="0077494E">
              <w:rPr>
                <w:rFonts w:cstheme="minorHAnsi"/>
                <w:sz w:val="20"/>
                <w:szCs w:val="20"/>
              </w:rPr>
              <w:fldChar w:fldCharType="separate"/>
            </w:r>
            <w:r w:rsidRPr="0077494E">
              <w:rPr>
                <w:rFonts w:cstheme="minorHAnsi"/>
                <w:noProof/>
                <w:sz w:val="20"/>
                <w:szCs w:val="20"/>
              </w:rPr>
              <w:t>(Kress &amp; Erickson, 2007)</w:t>
            </w:r>
            <w:r w:rsidRPr="0077494E">
              <w:rPr>
                <w:rFonts w:cstheme="minorHAnsi"/>
                <w:sz w:val="20"/>
                <w:szCs w:val="20"/>
              </w:rPr>
              <w:fldChar w:fldCharType="end"/>
            </w:r>
          </w:p>
        </w:tc>
        <w:tc>
          <w:tcPr>
            <w:tcW w:w="3766" w:type="dxa"/>
            <w:tcBorders>
              <w:top w:val="nil"/>
              <w:left w:val="nil"/>
              <w:bottom w:val="single" w:sz="4" w:space="0" w:color="auto"/>
              <w:right w:val="single" w:sz="4" w:space="0" w:color="auto"/>
            </w:tcBorders>
            <w:shd w:val="clear" w:color="auto" w:fill="auto"/>
            <w:noWrap/>
            <w:vAlign w:val="bottom"/>
            <w:hideMark/>
          </w:tcPr>
          <w:p w14:paraId="3000BA46" w14:textId="77777777" w:rsidR="00F7156A" w:rsidRPr="0056424B" w:rsidRDefault="00F7156A" w:rsidP="00170CA9">
            <w:pPr>
              <w:rPr>
                <w:rFonts w:ascii="Calibri" w:eastAsia="Times New Roman" w:hAnsi="Calibri" w:cs="Calibri"/>
                <w:b/>
                <w:bCs/>
                <w:color w:val="000000"/>
                <w:sz w:val="20"/>
                <w:szCs w:val="20"/>
                <w:lang w:eastAsia="en-GB"/>
              </w:rPr>
            </w:pPr>
            <w:r w:rsidRPr="0056424B">
              <w:rPr>
                <w:rFonts w:ascii="Calibri" w:eastAsia="Times New Roman" w:hAnsi="Calibri" w:cs="Calibri"/>
                <w:b/>
                <w:bCs/>
                <w:color w:val="000000"/>
                <w:sz w:val="20"/>
                <w:szCs w:val="20"/>
                <w:lang w:eastAsia="en-GB"/>
              </w:rPr>
              <w:t>ACACTCTTTCCCTACACGACGCTCTTCCGATCT</w:t>
            </w:r>
          </w:p>
        </w:tc>
        <w:tc>
          <w:tcPr>
            <w:tcW w:w="1107" w:type="dxa"/>
            <w:tcBorders>
              <w:top w:val="nil"/>
              <w:left w:val="nil"/>
              <w:bottom w:val="single" w:sz="4" w:space="0" w:color="auto"/>
              <w:right w:val="single" w:sz="4" w:space="0" w:color="auto"/>
            </w:tcBorders>
            <w:shd w:val="clear" w:color="auto" w:fill="auto"/>
            <w:noWrap/>
            <w:vAlign w:val="bottom"/>
            <w:hideMark/>
          </w:tcPr>
          <w:p w14:paraId="26F6E440"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NNNNNN</w:t>
            </w:r>
          </w:p>
        </w:tc>
        <w:tc>
          <w:tcPr>
            <w:tcW w:w="3132" w:type="dxa"/>
            <w:tcBorders>
              <w:top w:val="nil"/>
              <w:left w:val="nil"/>
              <w:bottom w:val="single" w:sz="4" w:space="0" w:color="auto"/>
              <w:right w:val="single" w:sz="4" w:space="0" w:color="auto"/>
            </w:tcBorders>
            <w:shd w:val="clear" w:color="auto" w:fill="auto"/>
            <w:noWrap/>
            <w:vAlign w:val="bottom"/>
            <w:hideMark/>
          </w:tcPr>
          <w:p w14:paraId="689F3667"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ATGTCACCACAAACAGAGACTAAAGC</w:t>
            </w:r>
          </w:p>
        </w:tc>
      </w:tr>
      <w:tr w:rsidR="00F7156A" w:rsidRPr="0056424B" w14:paraId="57D28C5D" w14:textId="77777777" w:rsidTr="00170CA9">
        <w:trPr>
          <w:trHeight w:val="300"/>
        </w:trPr>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2223B45D" w14:textId="77777777" w:rsidR="00F7156A" w:rsidRDefault="00F7156A" w:rsidP="00170CA9">
            <w:pPr>
              <w:rPr>
                <w:rFonts w:eastAsia="Times New Roman" w:cstheme="minorHAnsi"/>
                <w:color w:val="000000"/>
                <w:sz w:val="20"/>
                <w:szCs w:val="20"/>
                <w:lang w:eastAsia="en-GB"/>
              </w:rPr>
            </w:pPr>
            <w:r w:rsidRPr="0077494E">
              <w:rPr>
                <w:rFonts w:eastAsia="Times New Roman" w:cstheme="minorHAnsi"/>
                <w:i/>
                <w:iCs/>
                <w:color w:val="000000"/>
                <w:sz w:val="20"/>
                <w:szCs w:val="20"/>
                <w:lang w:eastAsia="en-GB"/>
              </w:rPr>
              <w:t>rbcL</w:t>
            </w:r>
            <w:r w:rsidRPr="0077494E">
              <w:rPr>
                <w:rFonts w:eastAsia="Times New Roman" w:cstheme="minorHAnsi"/>
                <w:color w:val="000000"/>
                <w:sz w:val="20"/>
                <w:szCs w:val="20"/>
                <w:lang w:eastAsia="en-GB"/>
              </w:rPr>
              <w:t xml:space="preserve">r506 </w:t>
            </w:r>
          </w:p>
          <w:p w14:paraId="4ECB254E" w14:textId="77777777" w:rsidR="00F7156A" w:rsidRPr="0077494E" w:rsidRDefault="00F7156A" w:rsidP="00170CA9">
            <w:pPr>
              <w:rPr>
                <w:rFonts w:eastAsia="Times New Roman" w:cstheme="minorHAnsi"/>
                <w:i/>
                <w:iCs/>
                <w:color w:val="000000"/>
                <w:sz w:val="20"/>
                <w:szCs w:val="20"/>
                <w:lang w:eastAsia="en-GB"/>
              </w:rPr>
            </w:pPr>
            <w:r w:rsidRPr="0077494E">
              <w:rPr>
                <w:rFonts w:cstheme="minorHAnsi"/>
                <w:sz w:val="20"/>
                <w:szCs w:val="20"/>
              </w:rPr>
              <w:fldChar w:fldCharType="begin" w:fldLock="1"/>
            </w:r>
            <w:r w:rsidRPr="0077494E">
              <w:rPr>
                <w:rFonts w:cstheme="minorHAnsi"/>
                <w:sz w:val="20"/>
                <w:szCs w:val="20"/>
              </w:rPr>
              <w:instrText>ADDIN CSL_CITATION {"citationItems":[{"id":"ITEM-1","itemData":{"DOI":"10.1371/journal.pone.0037945","ISBN":"1932-6203","ISSN":"19326203","PMID":"22701588","abstract":"We present the first national DNA barcode resource that covers the native flowering plants and conifers for the nation of Wales (1143 species). Using the plant DNA barcode markers rbcL and matK, we have assembled 97.7% coverage for rbcL, 90.2% for matK, and a dual-locus barcode for 89.7% of the native Welsh flora. We have sampled multiple individuals for each species, resulting in 3304 rbcL and 2419 matK sequences. The majority of our samples (85%) are from DNA extracted from herbarium specimens. Recoverability of DNA barcodes is lower using herbarium specimens, compared to freshly collected material, mostly due to lower amplification success, but this is balanced by the increased efficiency of sampling species that have already been collected, identified, and verified by taxonomic experts. The effectiveness of the DNA barcodes for identification (level of discrimination) is assessed using four approaches: the presence of a barcode gap (using pairwise and multiple alignments), formation of monophyletic groups using Neighbour-Joining trees, and sequence similarity in BLASTn searches. These approaches yield similar results, providing relative discrimination levels of 69.4 to 74.9% of all species and 98.6 to 99.8% of genera using both markers. Species discrimination can be further improved using spatially explicit sampling. Mean species discrimination using barcode gap analysis (with a multiple alignment) is 81.6% within 10√ó10 km squares and 93.3% for 2√ó2 km squares. Our database of DNA barcodes for Welsh native flowering plants and conifers represents the most complete coverage of any national flora, and offers a valuable platform for a wide range of applications that require accurate species identification.","author":[{"dropping-particle":"","family":"Vere","given":"Natasha","non-dropping-particle":"de","parse-names":false,"suffix":""},{"dropping-particle":"","family":"Rich","given":"Tim C G","non-dropping-particle":"","parse-names":false,"suffix":""},{"dropping-particle":"","family":"Ford","given":"Col R.","non-dropping-particle":"","parse-names":false,"suffix":""},{"dropping-particle":"","family":"Trinder","given":"Sarah A.","non-dropping-particle":"","parse-names":false,"suffix":""},{"dropping-particle":"","family":"Long","given":"Charlotte","non-dropping-particle":"","parse-names":false,"suffix":""},{"dropping-particle":"","family":"Moore","given":"Chris W.","non-dropping-particle":"","parse-names":false,"suffix":""},{"dropping-particle":"","family":"Satterthwaite","given":"Danielle","non-dropping-particle":"","parse-names":false,"suffix":""},{"dropping-particle":"","family":"Davies","given":"Helena","non-dropping-particle":"","parse-names":false,"suffix":""},{"dropping-particle":"","family":"Allainguillaume","given":"Joel","non-dropping-particle":"","parse-names":false,"suffix":""},{"dropping-particle":"","family":"Ronca","given":"Sandra","non-dropping-particle":"","parse-names":false,"suffix":""},{"dropping-particle":"","family":"Tatarinova","given":"Tatiana","non-dropping-particle":"","parse-names":false,"suffix":""},{"dropping-particle":"","family":"Garbett","given":"Hannah","non-dropping-particle":"","parse-names":false,"suffix":""},{"dropping-particle":"","family":"Walker","given":"Kevin","non-dropping-particle":"","parse-names":false,"suffix":""},{"dropping-particle":"","family":"Wilkinson","given":"Mike J.","non-dropping-particle":"","parse-names":false,"suffix":""}],"container-title":"PLoS ONE","id":"ITEM-1","issue":"6","issued":{"date-parts":[["2012"]]},"page":"1-12","title":"DNA barcoding the native flowering plants and conifers of wales","type":"article-journal","volume":"7"},"uris":["http://www.mendeley.com/documents/?uuid=ef406ce8-3ccb-4978-a9e5-11b57a95ea62"]}],"mendeley":{"formattedCitation":"(de Vere et al., 2012)","plainTextFormattedCitation":"(de Vere et al., 2012)","previouslyFormattedCitation":"(de Vere et al., 2012)"},"properties":{"noteIndex":0},"schema":"https://github.com/citation-style-language/schema/raw/master/csl-citation.json"}</w:instrText>
            </w:r>
            <w:r w:rsidRPr="0077494E">
              <w:rPr>
                <w:rFonts w:cstheme="minorHAnsi"/>
                <w:sz w:val="20"/>
                <w:szCs w:val="20"/>
              </w:rPr>
              <w:fldChar w:fldCharType="separate"/>
            </w:r>
            <w:r w:rsidRPr="0077494E">
              <w:rPr>
                <w:rFonts w:cstheme="minorHAnsi"/>
                <w:noProof/>
                <w:sz w:val="20"/>
                <w:szCs w:val="20"/>
              </w:rPr>
              <w:t>(de Vere et al., 2012)</w:t>
            </w:r>
            <w:r w:rsidRPr="0077494E">
              <w:rPr>
                <w:rFonts w:cstheme="minorHAnsi"/>
                <w:sz w:val="20"/>
                <w:szCs w:val="20"/>
              </w:rPr>
              <w:fldChar w:fldCharType="end"/>
            </w:r>
          </w:p>
        </w:tc>
        <w:tc>
          <w:tcPr>
            <w:tcW w:w="3766" w:type="dxa"/>
            <w:tcBorders>
              <w:top w:val="nil"/>
              <w:left w:val="nil"/>
              <w:bottom w:val="single" w:sz="4" w:space="0" w:color="auto"/>
              <w:right w:val="single" w:sz="4" w:space="0" w:color="auto"/>
            </w:tcBorders>
            <w:shd w:val="clear" w:color="auto" w:fill="auto"/>
            <w:noWrap/>
            <w:vAlign w:val="center"/>
            <w:hideMark/>
          </w:tcPr>
          <w:p w14:paraId="62631326" w14:textId="77777777" w:rsidR="00F7156A" w:rsidRPr="0056424B" w:rsidRDefault="00F7156A" w:rsidP="00170CA9">
            <w:pPr>
              <w:rPr>
                <w:rFonts w:ascii="Calibri" w:eastAsia="Times New Roman" w:hAnsi="Calibri" w:cs="Calibri"/>
                <w:b/>
                <w:bCs/>
                <w:color w:val="000000"/>
                <w:sz w:val="20"/>
                <w:szCs w:val="20"/>
                <w:lang w:eastAsia="en-GB"/>
              </w:rPr>
            </w:pPr>
            <w:r w:rsidRPr="0056424B">
              <w:rPr>
                <w:rFonts w:ascii="Calibri" w:eastAsia="Times New Roman" w:hAnsi="Calibri" w:cs="Calibri"/>
                <w:b/>
                <w:bCs/>
                <w:color w:val="000000"/>
                <w:sz w:val="20"/>
                <w:szCs w:val="20"/>
                <w:lang w:eastAsia="en-GB"/>
              </w:rPr>
              <w:t>GTGACTGGAGTTCAGACGTGTGCTCTTCCGATCT</w:t>
            </w:r>
          </w:p>
        </w:tc>
        <w:tc>
          <w:tcPr>
            <w:tcW w:w="1107" w:type="dxa"/>
            <w:tcBorders>
              <w:top w:val="nil"/>
              <w:left w:val="nil"/>
              <w:bottom w:val="single" w:sz="4" w:space="0" w:color="auto"/>
              <w:right w:val="single" w:sz="4" w:space="0" w:color="auto"/>
            </w:tcBorders>
            <w:shd w:val="clear" w:color="auto" w:fill="auto"/>
            <w:noWrap/>
            <w:vAlign w:val="bottom"/>
            <w:hideMark/>
          </w:tcPr>
          <w:p w14:paraId="0DE295A3"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 </w:t>
            </w:r>
          </w:p>
        </w:tc>
        <w:tc>
          <w:tcPr>
            <w:tcW w:w="3132" w:type="dxa"/>
            <w:tcBorders>
              <w:top w:val="nil"/>
              <w:left w:val="nil"/>
              <w:bottom w:val="single" w:sz="4" w:space="0" w:color="auto"/>
              <w:right w:val="single" w:sz="4" w:space="0" w:color="auto"/>
            </w:tcBorders>
            <w:shd w:val="clear" w:color="auto" w:fill="auto"/>
            <w:noWrap/>
            <w:vAlign w:val="bottom"/>
            <w:hideMark/>
          </w:tcPr>
          <w:p w14:paraId="48935938"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AGGGGACGACCATACTTGTTCA</w:t>
            </w:r>
          </w:p>
        </w:tc>
      </w:tr>
      <w:tr w:rsidR="00F7156A" w:rsidRPr="0056424B" w14:paraId="020449C9" w14:textId="77777777" w:rsidTr="00170CA9">
        <w:trPr>
          <w:trHeight w:val="300"/>
        </w:trPr>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435FAF84" w14:textId="77777777" w:rsidR="00F7156A" w:rsidRDefault="00F7156A" w:rsidP="00170CA9">
            <w:pPr>
              <w:rPr>
                <w:rFonts w:eastAsia="Times New Roman" w:cstheme="minorHAnsi"/>
                <w:color w:val="000000"/>
                <w:sz w:val="20"/>
                <w:szCs w:val="20"/>
                <w:lang w:eastAsia="en-GB"/>
              </w:rPr>
            </w:pPr>
            <w:r w:rsidRPr="0077494E">
              <w:rPr>
                <w:rFonts w:eastAsia="Times New Roman" w:cstheme="minorHAnsi"/>
                <w:color w:val="000000"/>
                <w:sz w:val="20"/>
                <w:szCs w:val="20"/>
                <w:lang w:eastAsia="en-GB"/>
              </w:rPr>
              <w:t xml:space="preserve">ITS2F </w:t>
            </w:r>
          </w:p>
          <w:p w14:paraId="48DD2BBA" w14:textId="77777777" w:rsidR="00F7156A" w:rsidRPr="0077494E" w:rsidRDefault="00F7156A" w:rsidP="00170CA9">
            <w:pPr>
              <w:rPr>
                <w:rFonts w:eastAsia="Times New Roman" w:cstheme="minorHAnsi"/>
                <w:color w:val="000000"/>
                <w:sz w:val="20"/>
                <w:szCs w:val="20"/>
                <w:lang w:eastAsia="en-GB"/>
              </w:rPr>
            </w:pPr>
            <w:r w:rsidRPr="0077494E">
              <w:rPr>
                <w:rFonts w:cstheme="minorHAnsi"/>
                <w:sz w:val="20"/>
                <w:szCs w:val="20"/>
              </w:rPr>
              <w:fldChar w:fldCharType="begin" w:fldLock="1"/>
            </w:r>
            <w:r w:rsidRPr="0077494E">
              <w:rPr>
                <w:rFonts w:cstheme="minorHAnsi"/>
                <w:sz w:val="20"/>
                <w:szCs w:val="20"/>
              </w:rPr>
              <w:instrText>ADDIN CSL_CITATION {"citationItems":[{"id":"ITEM-1","itemData":{"DOI":"10.1055/s-2007-990227","ISSN":"00320943","abstract":"Different parts of medicinal herbs have long been used as traditional Chinese drugs for treating many diseases, whereas materials of similar morphology and chemical fingerprints are often misidentified. Analyses of sequence variations in the nuclear ribosomal DNA (rDNA) internal transcribed spacer (ITS) have become a valid method for authentication of medicinal herbs at the intergenic and interspecific levels. DNA extracted from processed materials is usually severely degraded or contaminated by microorganisms, thus generates no or unexpected PCR products. The goal of this study is to apply the ITS fragments selectively amplified with two designed primer sets for efficient and precise authentication of medicinal herbs. The designed primers led to an accurate PCR product of the specific region in ITS2, which was confirmed with DNA extracted from 55 processed medicinal herbs belonging to 48 families. Moreover, the selectively amplified ITS2 authenticated five sets of easily confusable Chinese herbal materials. The designed primers were proven to be suitable for a broad application in the authentication of herbal materials. © Georg Thieme Verlag KG Stuttgart.","author":[{"dropping-particle":"","family":"Chiou","given":"Shu Jiau","non-dropping-particle":"","parse-names":false,"suffix":""},{"dropping-particle":"","family":"Yen","given":"Jui Hung","non-dropping-particle":"","parse-names":false,"suffix":""},{"dropping-particle":"","family":"Fang","given":"Cheng Li","non-dropping-particle":"","parse-names":false,"suffix":""},{"dropping-particle":"","family":"Chen","given":"Hui Ling","non-dropping-particle":"","parse-names":false,"suffix":""},{"dropping-particle":"","family":"Lin","given":"Tsai Yun","non-dropping-particle":"","parse-names":false,"suffix":""}],"container-title":"Planta Medica","id":"ITEM-1","issue":"13","issued":{"date-parts":[["2007"]]},"page":"1421-1426","title":"Authentication of medicinal herbs using PCR-amplified ITS2 with specific primers","type":"article-journal","volume":"73"},"uris":["http://www.mendeley.com/documents/?uuid=498f0267-9c80-4b51-8557-1df0d1d791a7"]}],"mendeley":{"formattedCitation":"(Chiou et al., 2007)","plainTextFormattedCitation":"(Chiou et al., 2007)","previouslyFormattedCitation":"(Chiou et al., 2007)"},"properties":{"noteIndex":0},"schema":"https://github.com/citation-style-language/schema/raw/master/csl-citation.json"}</w:instrText>
            </w:r>
            <w:r w:rsidRPr="0077494E">
              <w:rPr>
                <w:rFonts w:cstheme="minorHAnsi"/>
                <w:sz w:val="20"/>
                <w:szCs w:val="20"/>
              </w:rPr>
              <w:fldChar w:fldCharType="separate"/>
            </w:r>
            <w:r w:rsidRPr="0077494E">
              <w:rPr>
                <w:rFonts w:cstheme="minorHAnsi"/>
                <w:noProof/>
                <w:sz w:val="20"/>
                <w:szCs w:val="20"/>
              </w:rPr>
              <w:t>(Chiou et al., 2007)</w:t>
            </w:r>
            <w:r w:rsidRPr="0077494E">
              <w:rPr>
                <w:rFonts w:cstheme="minorHAnsi"/>
                <w:sz w:val="20"/>
                <w:szCs w:val="20"/>
              </w:rPr>
              <w:fldChar w:fldCharType="end"/>
            </w:r>
          </w:p>
        </w:tc>
        <w:tc>
          <w:tcPr>
            <w:tcW w:w="3766" w:type="dxa"/>
            <w:tcBorders>
              <w:top w:val="nil"/>
              <w:left w:val="nil"/>
              <w:bottom w:val="single" w:sz="4" w:space="0" w:color="auto"/>
              <w:right w:val="single" w:sz="4" w:space="0" w:color="auto"/>
            </w:tcBorders>
            <w:shd w:val="clear" w:color="auto" w:fill="auto"/>
            <w:noWrap/>
            <w:vAlign w:val="center"/>
            <w:hideMark/>
          </w:tcPr>
          <w:p w14:paraId="67E35110" w14:textId="77777777" w:rsidR="00F7156A" w:rsidRPr="0056424B" w:rsidRDefault="00F7156A" w:rsidP="00170CA9">
            <w:pPr>
              <w:rPr>
                <w:rFonts w:ascii="Calibri" w:eastAsia="Times New Roman" w:hAnsi="Calibri" w:cs="Calibri"/>
                <w:b/>
                <w:bCs/>
                <w:color w:val="000000"/>
                <w:sz w:val="20"/>
                <w:szCs w:val="20"/>
                <w:lang w:eastAsia="en-GB"/>
              </w:rPr>
            </w:pPr>
            <w:r w:rsidRPr="0056424B">
              <w:rPr>
                <w:rFonts w:ascii="Calibri" w:eastAsia="Times New Roman" w:hAnsi="Calibri" w:cs="Calibri"/>
                <w:b/>
                <w:bCs/>
                <w:color w:val="000000"/>
                <w:sz w:val="20"/>
                <w:szCs w:val="20"/>
                <w:lang w:eastAsia="en-GB"/>
              </w:rPr>
              <w:t>ACACTCTTTCCCTACACGACGCTCTTCCGATCT</w:t>
            </w:r>
          </w:p>
        </w:tc>
        <w:tc>
          <w:tcPr>
            <w:tcW w:w="1107" w:type="dxa"/>
            <w:tcBorders>
              <w:top w:val="nil"/>
              <w:left w:val="nil"/>
              <w:bottom w:val="single" w:sz="4" w:space="0" w:color="auto"/>
              <w:right w:val="single" w:sz="4" w:space="0" w:color="auto"/>
            </w:tcBorders>
            <w:shd w:val="clear" w:color="auto" w:fill="auto"/>
            <w:noWrap/>
            <w:vAlign w:val="bottom"/>
            <w:hideMark/>
          </w:tcPr>
          <w:p w14:paraId="16A9D27E"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NNNNNN</w:t>
            </w:r>
          </w:p>
        </w:tc>
        <w:tc>
          <w:tcPr>
            <w:tcW w:w="3132" w:type="dxa"/>
            <w:tcBorders>
              <w:top w:val="nil"/>
              <w:left w:val="nil"/>
              <w:bottom w:val="single" w:sz="4" w:space="0" w:color="auto"/>
              <w:right w:val="single" w:sz="4" w:space="0" w:color="auto"/>
            </w:tcBorders>
            <w:shd w:val="clear" w:color="auto" w:fill="auto"/>
            <w:noWrap/>
            <w:vAlign w:val="bottom"/>
            <w:hideMark/>
          </w:tcPr>
          <w:p w14:paraId="0BFCF309"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ATGCGATACTTGGTGTGAAT</w:t>
            </w:r>
          </w:p>
        </w:tc>
      </w:tr>
      <w:tr w:rsidR="00F7156A" w:rsidRPr="0056424B" w14:paraId="63466498" w14:textId="77777777" w:rsidTr="00170CA9">
        <w:trPr>
          <w:trHeight w:val="300"/>
        </w:trPr>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798F4941" w14:textId="77777777" w:rsidR="00F7156A" w:rsidRPr="0077494E" w:rsidRDefault="00F7156A" w:rsidP="00170CA9">
            <w:pPr>
              <w:rPr>
                <w:rFonts w:eastAsia="Times New Roman" w:cstheme="minorHAnsi"/>
                <w:color w:val="000000"/>
                <w:sz w:val="20"/>
                <w:szCs w:val="20"/>
                <w:lang w:eastAsia="en-GB"/>
              </w:rPr>
            </w:pPr>
            <w:r w:rsidRPr="0077494E">
              <w:rPr>
                <w:rFonts w:eastAsia="Times New Roman" w:cstheme="minorHAnsi"/>
                <w:color w:val="000000"/>
                <w:sz w:val="20"/>
                <w:szCs w:val="20"/>
                <w:lang w:eastAsia="en-GB"/>
              </w:rPr>
              <w:t xml:space="preserve">UniPlantR </w:t>
            </w:r>
            <w:r w:rsidRPr="0077494E">
              <w:rPr>
                <w:rFonts w:cstheme="minorHAnsi"/>
                <w:sz w:val="20"/>
                <w:szCs w:val="20"/>
              </w:rPr>
              <w:fldChar w:fldCharType="begin" w:fldLock="1"/>
            </w:r>
            <w:r w:rsidRPr="0077494E">
              <w:rPr>
                <w:rFonts w:cstheme="minorHAnsi"/>
                <w:sz w:val="20"/>
                <w:szCs w:val="20"/>
              </w:rPr>
              <w:instrText>ADDIN CSL_CITATION {"citationItems":[{"id":"ITEM-1","itemData":{"DOI":"10.1038/s41598-018-26648-2","ISSN":"20452322","abstract":"© 2018 The Author(s). DNA metabarcoding is a rapidly growing technique for obtaining detailed dietary information. Current metabarcoding methods for herbivory, using a single locus, can lack taxonomic resolution for some applications. We present novel primers for the second internal transcribed spacer of nuclear ribosomal DNA (ITS2) designed for dietary studies in Mauritius and the UK, which have the potential to give unrivalled taxonomic coverage and resolution from a short-amplicon barcode. In silico testing used three databases of plant ITS2 sequences from UK and Mauritian floras (native and introduced) totalling 6561 sequences from 1790 species across 174 families. Our primers were well-matched in silico to 88% of species, providing taxonomic resolution of 86.1%, 99.4% and 99.9% at the species, genus and family levels, respectively. In vitro, the primers amplified 99% of Mauritian (n = 169) and 100% of UK (n = 33) species, and co-amplified multiple plant species from degraded faecal DNA from reptiles and birds in two case studies. For the ITS2 region, we advocate taxonomic assignment based on best sequence match instead of a clustering approach. With short amplicons of 187-387 bp, these primers are suitable for metabarcoding plant DNA from faecal samples, across a broad geographic range, whilst delivering unparalleled taxonomic resolution.","author":[{"dropping-particle":"","family":"Moorhouse-Gann","given":"Rosemary J.","non-dropping-particle":"","parse-names":false,"suffix":""},{"dropping-particle":"","family":"Dunn","given":"Jenny C.","non-dropping-particle":"","parse-names":false,"suffix":""},{"dropping-particle":"","family":"Vere","given":"Natasha","non-dropping-particle":"De","parse-names":false,"suffix":""},{"dropping-particle":"","family":"Goder","given":"Martine","non-dropping-particle":"","parse-names":false,"suffix":""},{"dropping-particle":"","family":"Cole","given":"Nik","non-dropping-particle":"","parse-names":false,"suffix":""},{"dropping-particle":"","family":"Hipperson","given":"Helen","non-dropping-particle":"","parse-names":false,"suffix":""},{"dropping-particle":"","family":"Symondson","given":"William O.C.","non-dropping-particle":"","parse-names":false,"suffix":""}],"container-title":"Scientific Reports","id":"ITEM-1","issue":"1","issued":{"date-parts":[["2018"]]},"page":"1-15","title":"New universal ITS2 primers for high-resolution herbivory analyses using DNA metabarcoding in both tropical and temperate zones","type":"article-journal","volume":"8"},"uris":["http://www.mendeley.com/documents/?uuid=f2a75d8b-256e-41c7-8f06-c2c42ff527e5"]}],"mendeley":{"formattedCitation":"(Moorhouse-Gann et al., 2018)","plainTextFormattedCitation":"(Moorhouse-Gann et al., 2018)","previouslyFormattedCitation":"(Moorhouse-Gann et al., 2018)"},"properties":{"noteIndex":0},"schema":"https://github.com/citation-style-language/schema/raw/master/csl-citation.json"}</w:instrText>
            </w:r>
            <w:r w:rsidRPr="0077494E">
              <w:rPr>
                <w:rFonts w:cstheme="minorHAnsi"/>
                <w:sz w:val="20"/>
                <w:szCs w:val="20"/>
              </w:rPr>
              <w:fldChar w:fldCharType="separate"/>
            </w:r>
            <w:r w:rsidRPr="0077494E">
              <w:rPr>
                <w:rFonts w:cstheme="minorHAnsi"/>
                <w:noProof/>
                <w:sz w:val="20"/>
                <w:szCs w:val="20"/>
              </w:rPr>
              <w:t>(Moorhouse-Gann et al., 2018)</w:t>
            </w:r>
            <w:r w:rsidRPr="0077494E">
              <w:rPr>
                <w:rFonts w:cstheme="minorHAnsi"/>
                <w:sz w:val="20"/>
                <w:szCs w:val="20"/>
              </w:rPr>
              <w:fldChar w:fldCharType="end"/>
            </w:r>
          </w:p>
        </w:tc>
        <w:tc>
          <w:tcPr>
            <w:tcW w:w="3766" w:type="dxa"/>
            <w:tcBorders>
              <w:top w:val="nil"/>
              <w:left w:val="nil"/>
              <w:bottom w:val="single" w:sz="4" w:space="0" w:color="auto"/>
              <w:right w:val="single" w:sz="4" w:space="0" w:color="auto"/>
            </w:tcBorders>
            <w:shd w:val="clear" w:color="auto" w:fill="auto"/>
            <w:noWrap/>
            <w:vAlign w:val="center"/>
            <w:hideMark/>
          </w:tcPr>
          <w:p w14:paraId="08FA4D63" w14:textId="77777777" w:rsidR="00F7156A" w:rsidRPr="0056424B" w:rsidRDefault="00F7156A" w:rsidP="00170CA9">
            <w:pPr>
              <w:rPr>
                <w:rFonts w:ascii="Calibri" w:eastAsia="Times New Roman" w:hAnsi="Calibri" w:cs="Calibri"/>
                <w:b/>
                <w:bCs/>
                <w:color w:val="000000"/>
                <w:sz w:val="20"/>
                <w:szCs w:val="20"/>
                <w:lang w:eastAsia="en-GB"/>
              </w:rPr>
            </w:pPr>
            <w:r w:rsidRPr="0056424B">
              <w:rPr>
                <w:rFonts w:ascii="Calibri" w:eastAsia="Times New Roman" w:hAnsi="Calibri" w:cs="Calibri"/>
                <w:b/>
                <w:bCs/>
                <w:color w:val="000000"/>
                <w:sz w:val="20"/>
                <w:szCs w:val="20"/>
                <w:lang w:eastAsia="en-GB"/>
              </w:rPr>
              <w:t>GTGACTGGAGTTCAGACGTGTGCTCTTCCGATCT</w:t>
            </w:r>
          </w:p>
        </w:tc>
        <w:tc>
          <w:tcPr>
            <w:tcW w:w="1107" w:type="dxa"/>
            <w:tcBorders>
              <w:top w:val="nil"/>
              <w:left w:val="nil"/>
              <w:bottom w:val="single" w:sz="4" w:space="0" w:color="auto"/>
              <w:right w:val="single" w:sz="4" w:space="0" w:color="auto"/>
            </w:tcBorders>
            <w:shd w:val="clear" w:color="auto" w:fill="auto"/>
            <w:noWrap/>
            <w:vAlign w:val="bottom"/>
            <w:hideMark/>
          </w:tcPr>
          <w:p w14:paraId="05778272"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 </w:t>
            </w:r>
          </w:p>
        </w:tc>
        <w:tc>
          <w:tcPr>
            <w:tcW w:w="3132" w:type="dxa"/>
            <w:tcBorders>
              <w:top w:val="nil"/>
              <w:left w:val="nil"/>
              <w:bottom w:val="single" w:sz="4" w:space="0" w:color="auto"/>
              <w:right w:val="single" w:sz="4" w:space="0" w:color="auto"/>
            </w:tcBorders>
            <w:shd w:val="clear" w:color="auto" w:fill="auto"/>
            <w:noWrap/>
            <w:vAlign w:val="bottom"/>
            <w:hideMark/>
          </w:tcPr>
          <w:p w14:paraId="54D3FAB9" w14:textId="77777777" w:rsidR="00F7156A" w:rsidRPr="0056424B" w:rsidRDefault="00F7156A" w:rsidP="00170CA9">
            <w:pPr>
              <w:rPr>
                <w:rFonts w:ascii="Calibri" w:eastAsia="Times New Roman" w:hAnsi="Calibri" w:cs="Calibri"/>
                <w:color w:val="000000"/>
                <w:sz w:val="20"/>
                <w:szCs w:val="20"/>
                <w:lang w:eastAsia="en-GB"/>
              </w:rPr>
            </w:pPr>
            <w:r w:rsidRPr="0056424B">
              <w:rPr>
                <w:rFonts w:ascii="Calibri" w:eastAsia="Times New Roman" w:hAnsi="Calibri" w:cs="Calibri"/>
                <w:color w:val="000000"/>
                <w:sz w:val="20"/>
                <w:szCs w:val="20"/>
                <w:lang w:eastAsia="en-GB"/>
              </w:rPr>
              <w:t>CCCGHYTGAYYTGRGGTCDC</w:t>
            </w:r>
          </w:p>
        </w:tc>
      </w:tr>
    </w:tbl>
    <w:p w14:paraId="5853EBE2" w14:textId="40BD8055" w:rsidR="00F7156A" w:rsidRDefault="00F7156A"/>
    <w:p w14:paraId="40F10FE6" w14:textId="7AFBCE48" w:rsidR="00F7156A" w:rsidRDefault="00F7156A"/>
    <w:p w14:paraId="2925974B" w14:textId="2229EAE5" w:rsidR="00F7156A" w:rsidRPr="00F7156A" w:rsidRDefault="00F7156A">
      <w:pPr>
        <w:rPr>
          <w:b/>
          <w:bCs/>
          <w:u w:val="single"/>
        </w:rPr>
      </w:pPr>
    </w:p>
    <w:p w14:paraId="3D251414" w14:textId="319C53D1" w:rsidR="00F7156A" w:rsidRPr="00F7156A" w:rsidRDefault="00F7156A" w:rsidP="00F7156A">
      <w:pPr>
        <w:rPr>
          <w:b/>
          <w:bCs/>
          <w:u w:val="single"/>
        </w:rPr>
      </w:pPr>
      <w:r w:rsidRPr="00F7156A">
        <w:rPr>
          <w:b/>
          <w:bCs/>
          <w:u w:val="single"/>
        </w:rPr>
        <w:t>References</w:t>
      </w:r>
    </w:p>
    <w:p w14:paraId="4F042442" w14:textId="77777777" w:rsidR="00F7156A" w:rsidRDefault="00F7156A" w:rsidP="00F7156A">
      <w:pPr>
        <w:pStyle w:val="NormalWeb"/>
        <w:spacing w:before="0" w:beforeAutospacing="0" w:after="0" w:afterAutospacing="0"/>
        <w:ind w:left="482" w:hanging="482"/>
        <w:rPr>
          <w:rFonts w:ascii="Calibri" w:hAnsi="Calibri" w:cs="Calibri"/>
        </w:rPr>
      </w:pPr>
    </w:p>
    <w:p w14:paraId="0CFE3D08" w14:textId="55483AC9" w:rsidR="00F7156A" w:rsidRPr="0040657B" w:rsidRDefault="00F7156A" w:rsidP="00F7156A">
      <w:pPr>
        <w:pStyle w:val="NormalWeb"/>
        <w:spacing w:before="0" w:beforeAutospacing="0" w:after="40" w:afterAutospacing="0"/>
        <w:ind w:left="482" w:hanging="482"/>
        <w:rPr>
          <w:rFonts w:ascii="Calibri" w:hAnsi="Calibri" w:cs="Calibri"/>
          <w:sz w:val="22"/>
          <w:szCs w:val="22"/>
        </w:rPr>
      </w:pPr>
      <w:r w:rsidRPr="0040657B">
        <w:rPr>
          <w:rFonts w:ascii="Calibri" w:hAnsi="Calibri" w:cs="Calibri"/>
          <w:sz w:val="22"/>
          <w:szCs w:val="22"/>
        </w:rPr>
        <w:t xml:space="preserve">Chiou, S. J., Yen, J. H., Fang, C. L., Chen, H. L., &amp; Lin, T. Y. (2007). Authentication of medicinal herbs using PCR-amplified ITS2 with specific primers. </w:t>
      </w:r>
      <w:r w:rsidRPr="0040657B">
        <w:rPr>
          <w:rFonts w:ascii="Calibri" w:hAnsi="Calibri" w:cs="Calibri"/>
          <w:i/>
          <w:iCs/>
          <w:sz w:val="22"/>
          <w:szCs w:val="22"/>
        </w:rPr>
        <w:t>Planta Medica</w:t>
      </w:r>
      <w:r w:rsidRPr="0040657B">
        <w:rPr>
          <w:rFonts w:ascii="Calibri" w:hAnsi="Calibri" w:cs="Calibri"/>
          <w:sz w:val="22"/>
          <w:szCs w:val="22"/>
        </w:rPr>
        <w:t xml:space="preserve">, </w:t>
      </w:r>
      <w:r w:rsidRPr="0040657B">
        <w:rPr>
          <w:rFonts w:ascii="Calibri" w:hAnsi="Calibri" w:cs="Calibri"/>
          <w:i/>
          <w:iCs/>
          <w:sz w:val="22"/>
          <w:szCs w:val="22"/>
        </w:rPr>
        <w:t>73</w:t>
      </w:r>
      <w:r w:rsidRPr="0040657B">
        <w:rPr>
          <w:rFonts w:ascii="Calibri" w:hAnsi="Calibri" w:cs="Calibri"/>
          <w:sz w:val="22"/>
          <w:szCs w:val="22"/>
        </w:rPr>
        <w:t>(13), 1421–1426. https://doi.org/10.1055/s-2007-990227</w:t>
      </w:r>
    </w:p>
    <w:p w14:paraId="10781E12" w14:textId="77777777" w:rsidR="00F7156A" w:rsidRPr="0040657B" w:rsidRDefault="00F7156A" w:rsidP="00F7156A">
      <w:pPr>
        <w:pStyle w:val="NormalWeb"/>
        <w:spacing w:before="0" w:beforeAutospacing="0" w:after="40" w:afterAutospacing="0"/>
        <w:ind w:left="482" w:hanging="482"/>
        <w:rPr>
          <w:rFonts w:ascii="Calibri" w:hAnsi="Calibri" w:cs="Calibri"/>
          <w:sz w:val="22"/>
          <w:szCs w:val="22"/>
        </w:rPr>
      </w:pPr>
      <w:r w:rsidRPr="0040657B">
        <w:rPr>
          <w:rFonts w:ascii="Calibri" w:hAnsi="Calibri" w:cs="Calibri"/>
          <w:sz w:val="22"/>
          <w:szCs w:val="22"/>
        </w:rPr>
        <w:t xml:space="preserve">de Vere, N., Rich, T. C. G., Ford, C. R., Trinder, S. A., Long, C., Moore, C. W., … Wilkinson, M. J. (2012). DNA barcoding the native flowering plants and conifers of wales. </w:t>
      </w:r>
      <w:proofErr w:type="spellStart"/>
      <w:r w:rsidRPr="0040657B">
        <w:rPr>
          <w:rFonts w:ascii="Calibri" w:hAnsi="Calibri" w:cs="Calibri"/>
          <w:i/>
          <w:iCs/>
          <w:sz w:val="22"/>
          <w:szCs w:val="22"/>
        </w:rPr>
        <w:t>PLoS</w:t>
      </w:r>
      <w:proofErr w:type="spellEnd"/>
      <w:r w:rsidRPr="0040657B">
        <w:rPr>
          <w:rFonts w:ascii="Calibri" w:hAnsi="Calibri" w:cs="Calibri"/>
          <w:i/>
          <w:iCs/>
          <w:sz w:val="22"/>
          <w:szCs w:val="22"/>
        </w:rPr>
        <w:t xml:space="preserve"> ONE</w:t>
      </w:r>
      <w:r w:rsidRPr="0040657B">
        <w:rPr>
          <w:rFonts w:ascii="Calibri" w:hAnsi="Calibri" w:cs="Calibri"/>
          <w:sz w:val="22"/>
          <w:szCs w:val="22"/>
        </w:rPr>
        <w:t xml:space="preserve">, </w:t>
      </w:r>
      <w:r w:rsidRPr="0040657B">
        <w:rPr>
          <w:rFonts w:ascii="Calibri" w:hAnsi="Calibri" w:cs="Calibri"/>
          <w:i/>
          <w:iCs/>
          <w:sz w:val="22"/>
          <w:szCs w:val="22"/>
        </w:rPr>
        <w:t>7</w:t>
      </w:r>
      <w:r w:rsidRPr="0040657B">
        <w:rPr>
          <w:rFonts w:ascii="Calibri" w:hAnsi="Calibri" w:cs="Calibri"/>
          <w:sz w:val="22"/>
          <w:szCs w:val="22"/>
        </w:rPr>
        <w:t>(6), 1–12. https://doi.org/10.1371/journal.pone.0037945</w:t>
      </w:r>
    </w:p>
    <w:p w14:paraId="6B265AEC" w14:textId="77777777" w:rsidR="00F7156A" w:rsidRPr="0040657B" w:rsidRDefault="00F7156A" w:rsidP="00F7156A">
      <w:pPr>
        <w:pStyle w:val="NormalWeb"/>
        <w:spacing w:before="0" w:beforeAutospacing="0" w:after="40" w:afterAutospacing="0"/>
        <w:ind w:left="482" w:hanging="482"/>
        <w:rPr>
          <w:rFonts w:ascii="Calibri" w:hAnsi="Calibri" w:cs="Calibri"/>
          <w:sz w:val="22"/>
          <w:szCs w:val="22"/>
        </w:rPr>
      </w:pPr>
      <w:r w:rsidRPr="0040657B">
        <w:rPr>
          <w:rFonts w:ascii="Calibri" w:hAnsi="Calibri" w:cs="Calibri"/>
          <w:sz w:val="22"/>
          <w:szCs w:val="22"/>
        </w:rPr>
        <w:t xml:space="preserve">Kress, W. J., &amp; Erickson, D. L. (2007). A Two-Locus Global DNA Barcode for Land Plants: The Coding rbcL Gene Complements the Non-Coding trnH-psbA Spacer Region. </w:t>
      </w:r>
      <w:proofErr w:type="spellStart"/>
      <w:r w:rsidRPr="0040657B">
        <w:rPr>
          <w:rFonts w:ascii="Calibri" w:hAnsi="Calibri" w:cs="Calibri"/>
          <w:i/>
          <w:iCs/>
          <w:sz w:val="22"/>
          <w:szCs w:val="22"/>
        </w:rPr>
        <w:t>PLoS</w:t>
      </w:r>
      <w:proofErr w:type="spellEnd"/>
      <w:r w:rsidRPr="0040657B">
        <w:rPr>
          <w:rFonts w:ascii="Calibri" w:hAnsi="Calibri" w:cs="Calibri"/>
          <w:i/>
          <w:iCs/>
          <w:sz w:val="22"/>
          <w:szCs w:val="22"/>
        </w:rPr>
        <w:t xml:space="preserve"> ONE</w:t>
      </w:r>
      <w:r w:rsidRPr="0040657B">
        <w:rPr>
          <w:rFonts w:ascii="Calibri" w:hAnsi="Calibri" w:cs="Calibri"/>
          <w:sz w:val="22"/>
          <w:szCs w:val="22"/>
        </w:rPr>
        <w:t xml:space="preserve">, </w:t>
      </w:r>
      <w:r w:rsidRPr="0040657B">
        <w:rPr>
          <w:rFonts w:ascii="Calibri" w:hAnsi="Calibri" w:cs="Calibri"/>
          <w:i/>
          <w:iCs/>
          <w:sz w:val="22"/>
          <w:szCs w:val="22"/>
        </w:rPr>
        <w:t>2</w:t>
      </w:r>
      <w:r w:rsidRPr="0040657B">
        <w:rPr>
          <w:rFonts w:ascii="Calibri" w:hAnsi="Calibri" w:cs="Calibri"/>
          <w:sz w:val="22"/>
          <w:szCs w:val="22"/>
        </w:rPr>
        <w:t>(6). https://doi.org/10.1371/journal.pone.0000508</w:t>
      </w:r>
    </w:p>
    <w:p w14:paraId="397B0D64" w14:textId="77777777" w:rsidR="00F7156A" w:rsidRPr="0040657B" w:rsidRDefault="00F7156A" w:rsidP="00F7156A">
      <w:pPr>
        <w:pStyle w:val="NormalWeb"/>
        <w:spacing w:before="0" w:beforeAutospacing="0" w:after="40" w:afterAutospacing="0"/>
        <w:ind w:left="482" w:hanging="482"/>
        <w:rPr>
          <w:rFonts w:ascii="Calibri" w:hAnsi="Calibri" w:cs="Calibri"/>
          <w:sz w:val="22"/>
          <w:szCs w:val="22"/>
        </w:rPr>
      </w:pPr>
      <w:r w:rsidRPr="0040657B">
        <w:rPr>
          <w:rFonts w:ascii="Calibri" w:hAnsi="Calibri" w:cs="Calibri"/>
          <w:sz w:val="22"/>
          <w:szCs w:val="22"/>
        </w:rPr>
        <w:t xml:space="preserve">Moorhouse-Gann, R. J., Dunn, J. C., De Vere, N., </w:t>
      </w:r>
      <w:proofErr w:type="spellStart"/>
      <w:r w:rsidRPr="0040657B">
        <w:rPr>
          <w:rFonts w:ascii="Calibri" w:hAnsi="Calibri" w:cs="Calibri"/>
          <w:sz w:val="22"/>
          <w:szCs w:val="22"/>
        </w:rPr>
        <w:t>Goder</w:t>
      </w:r>
      <w:proofErr w:type="spellEnd"/>
      <w:r w:rsidRPr="0040657B">
        <w:rPr>
          <w:rFonts w:ascii="Calibri" w:hAnsi="Calibri" w:cs="Calibri"/>
          <w:sz w:val="22"/>
          <w:szCs w:val="22"/>
        </w:rPr>
        <w:t xml:space="preserve">, M., Cole, N., </w:t>
      </w:r>
      <w:proofErr w:type="spellStart"/>
      <w:r w:rsidRPr="0040657B">
        <w:rPr>
          <w:rFonts w:ascii="Calibri" w:hAnsi="Calibri" w:cs="Calibri"/>
          <w:sz w:val="22"/>
          <w:szCs w:val="22"/>
        </w:rPr>
        <w:t>Hipperson</w:t>
      </w:r>
      <w:proofErr w:type="spellEnd"/>
      <w:r w:rsidRPr="0040657B">
        <w:rPr>
          <w:rFonts w:ascii="Calibri" w:hAnsi="Calibri" w:cs="Calibri"/>
          <w:sz w:val="22"/>
          <w:szCs w:val="22"/>
        </w:rPr>
        <w:t xml:space="preserve">, H., &amp; Symondson, W. O. C. (2018). New universal ITS2 primers for high-resolution herbivory analyses using DNA metabarcoding in both tropical and temperate zones. </w:t>
      </w:r>
      <w:r w:rsidRPr="0040657B">
        <w:rPr>
          <w:rFonts w:ascii="Calibri" w:hAnsi="Calibri" w:cs="Calibri"/>
          <w:i/>
          <w:iCs/>
          <w:sz w:val="22"/>
          <w:szCs w:val="22"/>
        </w:rPr>
        <w:t>Scientific Reports</w:t>
      </w:r>
      <w:r w:rsidRPr="0040657B">
        <w:rPr>
          <w:rFonts w:ascii="Calibri" w:hAnsi="Calibri" w:cs="Calibri"/>
          <w:sz w:val="22"/>
          <w:szCs w:val="22"/>
        </w:rPr>
        <w:t xml:space="preserve">, </w:t>
      </w:r>
      <w:r w:rsidRPr="0040657B">
        <w:rPr>
          <w:rFonts w:ascii="Calibri" w:hAnsi="Calibri" w:cs="Calibri"/>
          <w:i/>
          <w:iCs/>
          <w:sz w:val="22"/>
          <w:szCs w:val="22"/>
        </w:rPr>
        <w:t>8</w:t>
      </w:r>
      <w:r w:rsidRPr="0040657B">
        <w:rPr>
          <w:rFonts w:ascii="Calibri" w:hAnsi="Calibri" w:cs="Calibri"/>
          <w:sz w:val="22"/>
          <w:szCs w:val="22"/>
        </w:rPr>
        <w:t>(1), 1–15. https://doi.org/10.1038/s41598-018-26648-2</w:t>
      </w:r>
    </w:p>
    <w:p w14:paraId="10CC69A9" w14:textId="77777777" w:rsidR="00F7156A" w:rsidRDefault="00F7156A"/>
    <w:sectPr w:rsidR="00F715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F4F"/>
    <w:rsid w:val="000B4D39"/>
    <w:rsid w:val="001570EE"/>
    <w:rsid w:val="001603DD"/>
    <w:rsid w:val="001A7A3D"/>
    <w:rsid w:val="00362BA9"/>
    <w:rsid w:val="003D1F4F"/>
    <w:rsid w:val="003F4CA9"/>
    <w:rsid w:val="00401AC9"/>
    <w:rsid w:val="0040657B"/>
    <w:rsid w:val="004175DD"/>
    <w:rsid w:val="0059511B"/>
    <w:rsid w:val="005E7ED2"/>
    <w:rsid w:val="0072480B"/>
    <w:rsid w:val="008F6D35"/>
    <w:rsid w:val="009F1BB4"/>
    <w:rsid w:val="00B408DE"/>
    <w:rsid w:val="00C058D5"/>
    <w:rsid w:val="00C21540"/>
    <w:rsid w:val="00D90189"/>
    <w:rsid w:val="00F715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0E43F"/>
  <w15:chartTrackingRefBased/>
  <w15:docId w15:val="{867852E7-7D22-6047-A873-5936DAF78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0EE"/>
    <w:pPr>
      <w:keepNext/>
      <w:keepLines/>
      <w:spacing w:line="360" w:lineRule="auto"/>
      <w:outlineLvl w:val="0"/>
    </w:pPr>
    <w:rPr>
      <w:rFonts w:eastAsiaTheme="majorEastAsia" w:cstheme="majorBidi"/>
      <w:b/>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156A"/>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1570EE"/>
    <w:rPr>
      <w:rFonts w:eastAsiaTheme="majorEastAsia" w:cstheme="majorBidi"/>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2101</Words>
  <Characters>11980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Lowe</dc:creator>
  <cp:keywords/>
  <dc:description/>
  <cp:lastModifiedBy>Abigail Lowe</cp:lastModifiedBy>
  <cp:revision>5</cp:revision>
  <dcterms:created xsi:type="dcterms:W3CDTF">2022-01-27T18:04:00Z</dcterms:created>
  <dcterms:modified xsi:type="dcterms:W3CDTF">2022-01-28T15:29:00Z</dcterms:modified>
</cp:coreProperties>
</file>