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1EABA" w14:textId="03026BD7" w:rsidR="00762C8E" w:rsidRPr="00152DAE" w:rsidRDefault="00762C8E" w:rsidP="00152DAE">
      <w:pPr>
        <w:jc w:val="both"/>
        <w:rPr>
          <w:rFonts w:ascii="Times New Roman" w:hAnsi="Times New Roman" w:cs="Times New Roman"/>
          <w:sz w:val="20"/>
          <w:szCs w:val="20"/>
          <w:lang w:val="en-US"/>
        </w:rPr>
      </w:pPr>
      <w:r w:rsidRPr="00152DAE">
        <w:rPr>
          <w:rFonts w:ascii="Times New Roman" w:hAnsi="Times New Roman" w:cs="Times New Roman"/>
          <w:b/>
          <w:bCs/>
          <w:sz w:val="20"/>
          <w:szCs w:val="20"/>
          <w:lang w:val="en-US"/>
        </w:rPr>
        <w:t xml:space="preserve">Table </w:t>
      </w:r>
      <w:r w:rsidR="00152DAE">
        <w:rPr>
          <w:rFonts w:ascii="Times New Roman" w:hAnsi="Times New Roman" w:cs="Times New Roman"/>
          <w:b/>
          <w:bCs/>
          <w:sz w:val="20"/>
          <w:szCs w:val="20"/>
          <w:lang w:val="en-US"/>
        </w:rPr>
        <w:t>S</w:t>
      </w:r>
      <w:r w:rsidRPr="00152DAE">
        <w:rPr>
          <w:rFonts w:ascii="Times New Roman" w:hAnsi="Times New Roman" w:cs="Times New Roman"/>
          <w:b/>
          <w:bCs/>
          <w:sz w:val="20"/>
          <w:szCs w:val="20"/>
          <w:lang w:val="en-US"/>
        </w:rPr>
        <w:t>1.</w:t>
      </w:r>
      <w:r w:rsidRPr="00152DAE">
        <w:rPr>
          <w:rFonts w:ascii="Times New Roman" w:hAnsi="Times New Roman" w:cs="Times New Roman"/>
          <w:sz w:val="20"/>
          <w:szCs w:val="20"/>
          <w:lang w:val="en-US"/>
        </w:rPr>
        <w:t xml:space="preserve"> Effect of the diets on blood biochemical parameters and fatty acid profile of liver from </w:t>
      </w:r>
      <w:proofErr w:type="spellStart"/>
      <w:r w:rsidRPr="00152DAE">
        <w:rPr>
          <w:rFonts w:ascii="Times New Roman" w:hAnsi="Times New Roman" w:cs="Times New Roman"/>
          <w:sz w:val="20"/>
          <w:szCs w:val="20"/>
          <w:lang w:val="en-US"/>
        </w:rPr>
        <w:t>immunocastrated</w:t>
      </w:r>
      <w:proofErr w:type="spellEnd"/>
      <w:r w:rsidRPr="00152DAE">
        <w:rPr>
          <w:rFonts w:ascii="Times New Roman" w:hAnsi="Times New Roman" w:cs="Times New Roman"/>
          <w:sz w:val="20"/>
          <w:szCs w:val="20"/>
          <w:lang w:val="en-US"/>
        </w:rPr>
        <w:t xml:space="preserve"> male pigs fed diets containing different levels of soybean oil (SOY1.5: 1.5% and SOY3.0: 3.0% soybean oil).</w:t>
      </w:r>
    </w:p>
    <w:p w14:paraId="0769A0FA" w14:textId="77777777" w:rsidR="00762C8E" w:rsidRPr="00152DAE" w:rsidRDefault="00762C8E" w:rsidP="00762C8E">
      <w:pPr>
        <w:rPr>
          <w:rFonts w:ascii="Times New Roman" w:hAnsi="Times New Roman" w:cs="Times New Roman"/>
          <w:sz w:val="20"/>
          <w:szCs w:val="20"/>
          <w:lang w:val="en-US"/>
        </w:rPr>
      </w:pPr>
    </w:p>
    <w:tbl>
      <w:tblPr>
        <w:tblW w:w="8740" w:type="dxa"/>
        <w:tblCellMar>
          <w:left w:w="70" w:type="dxa"/>
          <w:right w:w="70" w:type="dxa"/>
        </w:tblCellMar>
        <w:tblLook w:val="04A0" w:firstRow="1" w:lastRow="0" w:firstColumn="1" w:lastColumn="0" w:noHBand="0" w:noVBand="1"/>
      </w:tblPr>
      <w:tblGrid>
        <w:gridCol w:w="3360"/>
        <w:gridCol w:w="1300"/>
        <w:gridCol w:w="1300"/>
        <w:gridCol w:w="1480"/>
        <w:gridCol w:w="1300"/>
      </w:tblGrid>
      <w:tr w:rsidR="00762C8E" w:rsidRPr="00152DAE" w14:paraId="7918D3C9" w14:textId="77777777" w:rsidTr="00762C8E">
        <w:trPr>
          <w:trHeight w:val="320"/>
        </w:trPr>
        <w:tc>
          <w:tcPr>
            <w:tcW w:w="3360" w:type="dxa"/>
            <w:tcBorders>
              <w:top w:val="single" w:sz="4" w:space="0" w:color="auto"/>
              <w:left w:val="nil"/>
              <w:bottom w:val="single" w:sz="4" w:space="0" w:color="auto"/>
              <w:right w:val="nil"/>
            </w:tcBorders>
            <w:noWrap/>
            <w:vAlign w:val="bottom"/>
            <w:hideMark/>
          </w:tcPr>
          <w:p w14:paraId="58B6BF87" w14:textId="77777777" w:rsidR="00762C8E" w:rsidRPr="00152DAE" w:rsidRDefault="00762C8E">
            <w:pPr>
              <w:jc w:val="center"/>
              <w:rPr>
                <w:rFonts w:ascii="Times New Roman" w:eastAsia="Times New Roman" w:hAnsi="Times New Roman" w:cs="Times New Roman"/>
                <w:color w:val="000000"/>
                <w:sz w:val="20"/>
                <w:szCs w:val="20"/>
                <w:lang w:eastAsia="pt-BR"/>
              </w:rPr>
            </w:pPr>
            <w:proofErr w:type="spellStart"/>
            <w:r w:rsidRPr="00152DAE">
              <w:rPr>
                <w:rFonts w:ascii="Times New Roman" w:eastAsia="Times New Roman" w:hAnsi="Times New Roman" w:cs="Times New Roman"/>
                <w:color w:val="000000"/>
                <w:sz w:val="20"/>
                <w:szCs w:val="20"/>
                <w:lang w:eastAsia="pt-BR"/>
              </w:rPr>
              <w:t>Variable</w:t>
            </w:r>
            <w:proofErr w:type="spellEnd"/>
          </w:p>
        </w:tc>
        <w:tc>
          <w:tcPr>
            <w:tcW w:w="2600" w:type="dxa"/>
            <w:gridSpan w:val="2"/>
            <w:tcBorders>
              <w:top w:val="single" w:sz="4" w:space="0" w:color="auto"/>
              <w:left w:val="nil"/>
              <w:bottom w:val="single" w:sz="4" w:space="0" w:color="auto"/>
              <w:right w:val="nil"/>
            </w:tcBorders>
            <w:noWrap/>
            <w:vAlign w:val="bottom"/>
            <w:hideMark/>
          </w:tcPr>
          <w:p w14:paraId="75DE95B3" w14:textId="77777777" w:rsidR="00762C8E" w:rsidRPr="00152DAE" w:rsidRDefault="00762C8E">
            <w:pPr>
              <w:jc w:val="center"/>
              <w:rPr>
                <w:rFonts w:ascii="Times New Roman" w:eastAsia="Times New Roman" w:hAnsi="Times New Roman" w:cs="Times New Roman"/>
                <w:color w:val="000000"/>
                <w:sz w:val="20"/>
                <w:szCs w:val="20"/>
                <w:lang w:eastAsia="pt-BR"/>
              </w:rPr>
            </w:pPr>
            <w:proofErr w:type="spellStart"/>
            <w:r w:rsidRPr="00152DAE">
              <w:rPr>
                <w:rFonts w:ascii="Times New Roman" w:eastAsia="Times New Roman" w:hAnsi="Times New Roman" w:cs="Times New Roman"/>
                <w:color w:val="000000"/>
                <w:sz w:val="20"/>
                <w:szCs w:val="20"/>
                <w:lang w:eastAsia="pt-BR"/>
              </w:rPr>
              <w:t>Treatments</w:t>
            </w:r>
            <w:proofErr w:type="spellEnd"/>
          </w:p>
        </w:tc>
        <w:tc>
          <w:tcPr>
            <w:tcW w:w="1480" w:type="dxa"/>
            <w:vMerge w:val="restart"/>
            <w:tcBorders>
              <w:top w:val="single" w:sz="4" w:space="0" w:color="auto"/>
              <w:left w:val="nil"/>
              <w:bottom w:val="single" w:sz="4" w:space="0" w:color="000000"/>
              <w:right w:val="nil"/>
            </w:tcBorders>
            <w:noWrap/>
            <w:vAlign w:val="center"/>
            <w:hideMark/>
          </w:tcPr>
          <w:p w14:paraId="7721F74C" w14:textId="1D2DC979" w:rsidR="00762C8E" w:rsidRPr="00152DAE" w:rsidRDefault="00762C8E" w:rsidP="00A9194D">
            <w:pPr>
              <w:jc w:val="center"/>
              <w:rPr>
                <w:rFonts w:ascii="Times New Roman" w:eastAsia="Times New Roman" w:hAnsi="Times New Roman" w:cs="Times New Roman"/>
                <w:color w:val="000000"/>
                <w:sz w:val="20"/>
                <w:szCs w:val="20"/>
                <w:lang w:eastAsia="pt-BR"/>
              </w:rPr>
            </w:pPr>
            <w:proofErr w:type="spellStart"/>
            <w:r w:rsidRPr="00152DAE">
              <w:rPr>
                <w:rFonts w:ascii="Times New Roman" w:eastAsia="Times New Roman" w:hAnsi="Times New Roman" w:cs="Times New Roman"/>
                <w:color w:val="000000"/>
                <w:sz w:val="20"/>
                <w:szCs w:val="20"/>
                <w:lang w:eastAsia="pt-BR"/>
              </w:rPr>
              <w:t>Pooled</w:t>
            </w:r>
            <w:proofErr w:type="spellEnd"/>
            <w:r w:rsidRPr="00152DAE">
              <w:rPr>
                <w:rFonts w:ascii="Times New Roman" w:eastAsia="Times New Roman" w:hAnsi="Times New Roman" w:cs="Times New Roman"/>
                <w:color w:val="000000"/>
                <w:sz w:val="20"/>
                <w:szCs w:val="20"/>
                <w:lang w:eastAsia="pt-BR"/>
              </w:rPr>
              <w:t xml:space="preserve"> SEM</w:t>
            </w:r>
            <w:r w:rsidR="00A9194D" w:rsidRPr="00152DAE">
              <w:rPr>
                <w:rFonts w:ascii="Times New Roman" w:eastAsia="Times New Roman" w:hAnsi="Times New Roman" w:cs="Times New Roman"/>
                <w:color w:val="000000"/>
                <w:sz w:val="20"/>
                <w:szCs w:val="20"/>
                <w:lang w:eastAsia="pt-BR"/>
              </w:rPr>
              <w:t>¹</w:t>
            </w:r>
          </w:p>
        </w:tc>
        <w:tc>
          <w:tcPr>
            <w:tcW w:w="1300" w:type="dxa"/>
            <w:vMerge w:val="restart"/>
            <w:tcBorders>
              <w:top w:val="single" w:sz="4" w:space="0" w:color="auto"/>
              <w:left w:val="nil"/>
              <w:bottom w:val="single" w:sz="4" w:space="0" w:color="000000"/>
              <w:right w:val="nil"/>
            </w:tcBorders>
            <w:noWrap/>
            <w:vAlign w:val="center"/>
            <w:hideMark/>
          </w:tcPr>
          <w:p w14:paraId="6D1927CD" w14:textId="77777777" w:rsidR="00762C8E" w:rsidRPr="00152DAE" w:rsidRDefault="00762C8E">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P-</w:t>
            </w:r>
            <w:proofErr w:type="spellStart"/>
            <w:r w:rsidRPr="00152DAE">
              <w:rPr>
                <w:rFonts w:ascii="Times New Roman" w:eastAsia="Times New Roman" w:hAnsi="Times New Roman" w:cs="Times New Roman"/>
                <w:color w:val="000000"/>
                <w:sz w:val="20"/>
                <w:szCs w:val="20"/>
                <w:lang w:eastAsia="pt-BR"/>
              </w:rPr>
              <w:t>value</w:t>
            </w:r>
            <w:proofErr w:type="spellEnd"/>
          </w:p>
        </w:tc>
      </w:tr>
      <w:tr w:rsidR="00762C8E" w:rsidRPr="00152DAE" w14:paraId="3EF6CDAC" w14:textId="77777777" w:rsidTr="00762C8E">
        <w:trPr>
          <w:trHeight w:val="320"/>
        </w:trPr>
        <w:tc>
          <w:tcPr>
            <w:tcW w:w="3360" w:type="dxa"/>
            <w:tcBorders>
              <w:top w:val="nil"/>
              <w:left w:val="nil"/>
              <w:bottom w:val="single" w:sz="4" w:space="0" w:color="auto"/>
              <w:right w:val="nil"/>
            </w:tcBorders>
            <w:noWrap/>
            <w:vAlign w:val="bottom"/>
            <w:hideMark/>
          </w:tcPr>
          <w:p w14:paraId="4881D103" w14:textId="77777777" w:rsidR="00762C8E" w:rsidRPr="00152DAE" w:rsidRDefault="00762C8E">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 </w:t>
            </w:r>
          </w:p>
        </w:tc>
        <w:tc>
          <w:tcPr>
            <w:tcW w:w="1300" w:type="dxa"/>
            <w:tcBorders>
              <w:top w:val="nil"/>
              <w:left w:val="nil"/>
              <w:bottom w:val="single" w:sz="4" w:space="0" w:color="auto"/>
              <w:right w:val="nil"/>
            </w:tcBorders>
            <w:noWrap/>
            <w:vAlign w:val="bottom"/>
            <w:hideMark/>
          </w:tcPr>
          <w:p w14:paraId="373C37D5" w14:textId="77777777" w:rsidR="00762C8E" w:rsidRPr="00152DAE" w:rsidRDefault="00762C8E">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SOY1.5</w:t>
            </w:r>
          </w:p>
        </w:tc>
        <w:tc>
          <w:tcPr>
            <w:tcW w:w="1300" w:type="dxa"/>
            <w:tcBorders>
              <w:top w:val="nil"/>
              <w:left w:val="nil"/>
              <w:bottom w:val="single" w:sz="4" w:space="0" w:color="auto"/>
              <w:right w:val="nil"/>
            </w:tcBorders>
            <w:noWrap/>
            <w:vAlign w:val="bottom"/>
            <w:hideMark/>
          </w:tcPr>
          <w:p w14:paraId="1C36B4C2" w14:textId="77777777" w:rsidR="00762C8E" w:rsidRPr="00152DAE" w:rsidRDefault="00762C8E">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SOY3.0</w:t>
            </w:r>
          </w:p>
        </w:tc>
        <w:tc>
          <w:tcPr>
            <w:tcW w:w="0" w:type="auto"/>
            <w:vMerge/>
            <w:tcBorders>
              <w:top w:val="single" w:sz="4" w:space="0" w:color="auto"/>
              <w:left w:val="nil"/>
              <w:bottom w:val="single" w:sz="4" w:space="0" w:color="000000"/>
              <w:right w:val="nil"/>
            </w:tcBorders>
            <w:vAlign w:val="center"/>
            <w:hideMark/>
          </w:tcPr>
          <w:p w14:paraId="79C129CD" w14:textId="77777777" w:rsidR="00762C8E" w:rsidRPr="00152DAE" w:rsidRDefault="00762C8E">
            <w:pPr>
              <w:rPr>
                <w:rFonts w:ascii="Times New Roman" w:eastAsia="Times New Roman" w:hAnsi="Times New Roman" w:cs="Times New Roman"/>
                <w:color w:val="000000"/>
                <w:sz w:val="20"/>
                <w:szCs w:val="20"/>
                <w:lang w:eastAsia="pt-BR"/>
              </w:rPr>
            </w:pPr>
          </w:p>
        </w:tc>
        <w:tc>
          <w:tcPr>
            <w:tcW w:w="0" w:type="auto"/>
            <w:vMerge/>
            <w:tcBorders>
              <w:top w:val="single" w:sz="4" w:space="0" w:color="auto"/>
              <w:left w:val="nil"/>
              <w:bottom w:val="single" w:sz="4" w:space="0" w:color="000000"/>
              <w:right w:val="nil"/>
            </w:tcBorders>
            <w:vAlign w:val="center"/>
            <w:hideMark/>
          </w:tcPr>
          <w:p w14:paraId="026D8793" w14:textId="77777777" w:rsidR="00762C8E" w:rsidRPr="00152DAE" w:rsidRDefault="00762C8E">
            <w:pPr>
              <w:rPr>
                <w:rFonts w:ascii="Times New Roman" w:eastAsia="Times New Roman" w:hAnsi="Times New Roman" w:cs="Times New Roman"/>
                <w:color w:val="000000"/>
                <w:sz w:val="20"/>
                <w:szCs w:val="20"/>
                <w:lang w:eastAsia="pt-BR"/>
              </w:rPr>
            </w:pPr>
          </w:p>
        </w:tc>
      </w:tr>
      <w:tr w:rsidR="00762C8E" w:rsidRPr="00152DAE" w14:paraId="5FE88190" w14:textId="77777777" w:rsidTr="00762C8E">
        <w:trPr>
          <w:trHeight w:val="320"/>
        </w:trPr>
        <w:tc>
          <w:tcPr>
            <w:tcW w:w="3360" w:type="dxa"/>
            <w:noWrap/>
            <w:vAlign w:val="bottom"/>
            <w:hideMark/>
          </w:tcPr>
          <w:p w14:paraId="1D3D0CF7" w14:textId="77777777" w:rsidR="00762C8E" w:rsidRPr="00152DAE" w:rsidRDefault="00762C8E" w:rsidP="00F25310">
            <w:pP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Glucose(mg/</w:t>
            </w:r>
            <w:proofErr w:type="spellStart"/>
            <w:r w:rsidRPr="00152DAE">
              <w:rPr>
                <w:rFonts w:ascii="Times New Roman" w:eastAsia="Times New Roman" w:hAnsi="Times New Roman" w:cs="Times New Roman"/>
                <w:color w:val="000000"/>
                <w:sz w:val="20"/>
                <w:szCs w:val="20"/>
                <w:lang w:eastAsia="pt-BR"/>
              </w:rPr>
              <w:t>dL</w:t>
            </w:r>
            <w:proofErr w:type="spellEnd"/>
            <w:r w:rsidRPr="00152DAE">
              <w:rPr>
                <w:rFonts w:ascii="Times New Roman" w:eastAsia="Times New Roman" w:hAnsi="Times New Roman" w:cs="Times New Roman"/>
                <w:color w:val="000000"/>
                <w:sz w:val="20"/>
                <w:szCs w:val="20"/>
                <w:lang w:eastAsia="pt-BR"/>
              </w:rPr>
              <w:t>)</w:t>
            </w:r>
          </w:p>
        </w:tc>
        <w:tc>
          <w:tcPr>
            <w:tcW w:w="1300" w:type="dxa"/>
            <w:noWrap/>
            <w:vAlign w:val="bottom"/>
            <w:hideMark/>
          </w:tcPr>
          <w:p w14:paraId="4A27232A" w14:textId="77777777" w:rsidR="00762C8E" w:rsidRPr="00152DAE" w:rsidRDefault="00762C8E">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81.85</w:t>
            </w:r>
          </w:p>
        </w:tc>
        <w:tc>
          <w:tcPr>
            <w:tcW w:w="1300" w:type="dxa"/>
            <w:noWrap/>
            <w:vAlign w:val="bottom"/>
            <w:hideMark/>
          </w:tcPr>
          <w:p w14:paraId="5A7CEE61" w14:textId="77777777" w:rsidR="00762C8E" w:rsidRPr="00152DAE" w:rsidRDefault="00762C8E">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82.85</w:t>
            </w:r>
          </w:p>
        </w:tc>
        <w:tc>
          <w:tcPr>
            <w:tcW w:w="1480" w:type="dxa"/>
            <w:noWrap/>
            <w:vAlign w:val="bottom"/>
            <w:hideMark/>
          </w:tcPr>
          <w:p w14:paraId="05D1DD34" w14:textId="77777777" w:rsidR="00762C8E" w:rsidRPr="00152DAE" w:rsidRDefault="00762C8E">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4.17</w:t>
            </w:r>
          </w:p>
        </w:tc>
        <w:tc>
          <w:tcPr>
            <w:tcW w:w="1300" w:type="dxa"/>
            <w:noWrap/>
            <w:vAlign w:val="bottom"/>
            <w:hideMark/>
          </w:tcPr>
          <w:p w14:paraId="5F1FBED3" w14:textId="77777777" w:rsidR="00762C8E" w:rsidRPr="00152DAE" w:rsidRDefault="00762C8E">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0.81</w:t>
            </w:r>
          </w:p>
        </w:tc>
      </w:tr>
      <w:tr w:rsidR="00762C8E" w:rsidRPr="00152DAE" w14:paraId="4CAF294A" w14:textId="77777777" w:rsidTr="00762C8E">
        <w:trPr>
          <w:trHeight w:val="320"/>
        </w:trPr>
        <w:tc>
          <w:tcPr>
            <w:tcW w:w="3360" w:type="dxa"/>
            <w:noWrap/>
            <w:vAlign w:val="bottom"/>
            <w:hideMark/>
          </w:tcPr>
          <w:p w14:paraId="75BF5424" w14:textId="77777777" w:rsidR="00762C8E" w:rsidRPr="00152DAE" w:rsidRDefault="00762C8E" w:rsidP="00F25310">
            <w:pPr>
              <w:rPr>
                <w:rFonts w:ascii="Times New Roman" w:eastAsia="Times New Roman" w:hAnsi="Times New Roman" w:cs="Times New Roman"/>
                <w:color w:val="000000"/>
                <w:sz w:val="20"/>
                <w:szCs w:val="20"/>
                <w:lang w:eastAsia="pt-BR"/>
              </w:rPr>
            </w:pPr>
            <w:proofErr w:type="spellStart"/>
            <w:r w:rsidRPr="00152DAE">
              <w:rPr>
                <w:rFonts w:ascii="Times New Roman" w:eastAsia="Times New Roman" w:hAnsi="Times New Roman" w:cs="Times New Roman"/>
                <w:color w:val="000000"/>
                <w:sz w:val="20"/>
                <w:szCs w:val="20"/>
                <w:lang w:eastAsia="pt-BR"/>
              </w:rPr>
              <w:t>Aspartataminotransferase</w:t>
            </w:r>
            <w:proofErr w:type="spellEnd"/>
            <w:r w:rsidRPr="00152DAE">
              <w:rPr>
                <w:rFonts w:ascii="Times New Roman" w:eastAsia="Times New Roman" w:hAnsi="Times New Roman" w:cs="Times New Roman"/>
                <w:color w:val="000000"/>
                <w:sz w:val="20"/>
                <w:szCs w:val="20"/>
                <w:lang w:eastAsia="pt-BR"/>
              </w:rPr>
              <w:t xml:space="preserve"> (U/L)</w:t>
            </w:r>
          </w:p>
        </w:tc>
        <w:tc>
          <w:tcPr>
            <w:tcW w:w="1300" w:type="dxa"/>
            <w:noWrap/>
            <w:vAlign w:val="bottom"/>
            <w:hideMark/>
          </w:tcPr>
          <w:p w14:paraId="480BD952" w14:textId="77777777" w:rsidR="00762C8E" w:rsidRPr="00152DAE" w:rsidRDefault="00762C8E">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40.35</w:t>
            </w:r>
          </w:p>
        </w:tc>
        <w:tc>
          <w:tcPr>
            <w:tcW w:w="1300" w:type="dxa"/>
            <w:noWrap/>
            <w:vAlign w:val="bottom"/>
            <w:hideMark/>
          </w:tcPr>
          <w:p w14:paraId="099CFC87" w14:textId="77777777" w:rsidR="00762C8E" w:rsidRPr="00152DAE" w:rsidRDefault="00762C8E">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38.13</w:t>
            </w:r>
          </w:p>
        </w:tc>
        <w:tc>
          <w:tcPr>
            <w:tcW w:w="1480" w:type="dxa"/>
            <w:noWrap/>
            <w:vAlign w:val="bottom"/>
            <w:hideMark/>
          </w:tcPr>
          <w:p w14:paraId="6690836F" w14:textId="77777777" w:rsidR="00762C8E" w:rsidRPr="00152DAE" w:rsidRDefault="00762C8E">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2.42</w:t>
            </w:r>
          </w:p>
        </w:tc>
        <w:tc>
          <w:tcPr>
            <w:tcW w:w="1300" w:type="dxa"/>
            <w:noWrap/>
            <w:vAlign w:val="bottom"/>
            <w:hideMark/>
          </w:tcPr>
          <w:p w14:paraId="510F2299" w14:textId="77777777" w:rsidR="00762C8E" w:rsidRPr="00152DAE" w:rsidRDefault="00762C8E">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0.37</w:t>
            </w:r>
          </w:p>
        </w:tc>
      </w:tr>
      <w:tr w:rsidR="00762C8E" w:rsidRPr="00152DAE" w14:paraId="634C7C7D" w14:textId="77777777" w:rsidTr="00762C8E">
        <w:trPr>
          <w:trHeight w:val="320"/>
        </w:trPr>
        <w:tc>
          <w:tcPr>
            <w:tcW w:w="3360" w:type="dxa"/>
            <w:noWrap/>
            <w:vAlign w:val="bottom"/>
            <w:hideMark/>
          </w:tcPr>
          <w:p w14:paraId="76CFD053" w14:textId="77777777" w:rsidR="00762C8E" w:rsidRPr="00152DAE" w:rsidRDefault="00762C8E" w:rsidP="00F25310">
            <w:pPr>
              <w:rPr>
                <w:rFonts w:ascii="Times New Roman" w:eastAsia="Times New Roman" w:hAnsi="Times New Roman" w:cs="Times New Roman"/>
                <w:color w:val="000000"/>
                <w:sz w:val="20"/>
                <w:szCs w:val="20"/>
                <w:lang w:eastAsia="pt-BR"/>
              </w:rPr>
            </w:pPr>
            <w:proofErr w:type="spellStart"/>
            <w:r w:rsidRPr="00152DAE">
              <w:rPr>
                <w:rFonts w:ascii="Times New Roman" w:eastAsia="Times New Roman" w:hAnsi="Times New Roman" w:cs="Times New Roman"/>
                <w:color w:val="000000"/>
                <w:sz w:val="20"/>
                <w:szCs w:val="20"/>
                <w:lang w:eastAsia="pt-BR"/>
              </w:rPr>
              <w:t>TotalProteins</w:t>
            </w:r>
            <w:proofErr w:type="spellEnd"/>
            <w:r w:rsidRPr="00152DAE">
              <w:rPr>
                <w:rFonts w:ascii="Times New Roman" w:eastAsia="Times New Roman" w:hAnsi="Times New Roman" w:cs="Times New Roman"/>
                <w:color w:val="000000"/>
                <w:sz w:val="20"/>
                <w:szCs w:val="20"/>
                <w:lang w:eastAsia="pt-BR"/>
              </w:rPr>
              <w:t xml:space="preserve"> (g/</w:t>
            </w:r>
            <w:proofErr w:type="spellStart"/>
            <w:r w:rsidRPr="00152DAE">
              <w:rPr>
                <w:rFonts w:ascii="Times New Roman" w:eastAsia="Times New Roman" w:hAnsi="Times New Roman" w:cs="Times New Roman"/>
                <w:color w:val="000000"/>
                <w:sz w:val="20"/>
                <w:szCs w:val="20"/>
                <w:lang w:eastAsia="pt-BR"/>
              </w:rPr>
              <w:t>dL</w:t>
            </w:r>
            <w:proofErr w:type="spellEnd"/>
            <w:r w:rsidRPr="00152DAE">
              <w:rPr>
                <w:rFonts w:ascii="Times New Roman" w:eastAsia="Times New Roman" w:hAnsi="Times New Roman" w:cs="Times New Roman"/>
                <w:color w:val="000000"/>
                <w:sz w:val="20"/>
                <w:szCs w:val="20"/>
                <w:lang w:eastAsia="pt-BR"/>
              </w:rPr>
              <w:t>)</w:t>
            </w:r>
          </w:p>
        </w:tc>
        <w:tc>
          <w:tcPr>
            <w:tcW w:w="1300" w:type="dxa"/>
            <w:noWrap/>
            <w:vAlign w:val="bottom"/>
            <w:hideMark/>
          </w:tcPr>
          <w:p w14:paraId="1D77F531" w14:textId="77777777" w:rsidR="00762C8E" w:rsidRPr="00152DAE" w:rsidRDefault="00762C8E">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6.69</w:t>
            </w:r>
          </w:p>
        </w:tc>
        <w:tc>
          <w:tcPr>
            <w:tcW w:w="1300" w:type="dxa"/>
            <w:noWrap/>
            <w:vAlign w:val="bottom"/>
            <w:hideMark/>
          </w:tcPr>
          <w:p w14:paraId="1E062827" w14:textId="77777777" w:rsidR="00762C8E" w:rsidRPr="00152DAE" w:rsidRDefault="00762C8E">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6.47</w:t>
            </w:r>
          </w:p>
        </w:tc>
        <w:tc>
          <w:tcPr>
            <w:tcW w:w="1480" w:type="dxa"/>
            <w:noWrap/>
            <w:vAlign w:val="bottom"/>
            <w:hideMark/>
          </w:tcPr>
          <w:p w14:paraId="6D3F215A" w14:textId="77777777" w:rsidR="00762C8E" w:rsidRPr="00152DAE" w:rsidRDefault="00762C8E">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0.13</w:t>
            </w:r>
          </w:p>
        </w:tc>
        <w:tc>
          <w:tcPr>
            <w:tcW w:w="1300" w:type="dxa"/>
            <w:noWrap/>
            <w:vAlign w:val="bottom"/>
            <w:hideMark/>
          </w:tcPr>
          <w:p w14:paraId="29EF7AF3" w14:textId="77777777" w:rsidR="00762C8E" w:rsidRPr="00152DAE" w:rsidRDefault="00762C8E">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0.11</w:t>
            </w:r>
          </w:p>
        </w:tc>
      </w:tr>
      <w:tr w:rsidR="00762C8E" w:rsidRPr="00152DAE" w14:paraId="10235C5B" w14:textId="77777777" w:rsidTr="00762C8E">
        <w:trPr>
          <w:trHeight w:val="320"/>
        </w:trPr>
        <w:tc>
          <w:tcPr>
            <w:tcW w:w="3360" w:type="dxa"/>
            <w:noWrap/>
            <w:vAlign w:val="bottom"/>
            <w:hideMark/>
          </w:tcPr>
          <w:p w14:paraId="0850BACE" w14:textId="77777777" w:rsidR="00762C8E" w:rsidRPr="00152DAE" w:rsidRDefault="00762C8E" w:rsidP="00F25310">
            <w:pPr>
              <w:rPr>
                <w:rFonts w:ascii="Times New Roman" w:eastAsia="Times New Roman" w:hAnsi="Times New Roman" w:cs="Times New Roman"/>
                <w:color w:val="000000"/>
                <w:sz w:val="20"/>
                <w:szCs w:val="20"/>
                <w:lang w:eastAsia="pt-BR"/>
              </w:rPr>
            </w:pPr>
            <w:proofErr w:type="spellStart"/>
            <w:r w:rsidRPr="00152DAE">
              <w:rPr>
                <w:rFonts w:ascii="Times New Roman" w:eastAsia="Times New Roman" w:hAnsi="Times New Roman" w:cs="Times New Roman"/>
                <w:color w:val="000000"/>
                <w:sz w:val="20"/>
                <w:szCs w:val="20"/>
                <w:lang w:eastAsia="pt-BR"/>
              </w:rPr>
              <w:t>Albumin</w:t>
            </w:r>
            <w:proofErr w:type="spellEnd"/>
            <w:r w:rsidRPr="00152DAE">
              <w:rPr>
                <w:rFonts w:ascii="Times New Roman" w:eastAsia="Times New Roman" w:hAnsi="Times New Roman" w:cs="Times New Roman"/>
                <w:color w:val="000000"/>
                <w:sz w:val="20"/>
                <w:szCs w:val="20"/>
                <w:lang w:eastAsia="pt-BR"/>
              </w:rPr>
              <w:t>(g/</w:t>
            </w:r>
            <w:proofErr w:type="spellStart"/>
            <w:r w:rsidRPr="00152DAE">
              <w:rPr>
                <w:rFonts w:ascii="Times New Roman" w:eastAsia="Times New Roman" w:hAnsi="Times New Roman" w:cs="Times New Roman"/>
                <w:color w:val="000000"/>
                <w:sz w:val="20"/>
                <w:szCs w:val="20"/>
                <w:lang w:eastAsia="pt-BR"/>
              </w:rPr>
              <w:t>dL</w:t>
            </w:r>
            <w:proofErr w:type="spellEnd"/>
            <w:r w:rsidRPr="00152DAE">
              <w:rPr>
                <w:rFonts w:ascii="Times New Roman" w:eastAsia="Times New Roman" w:hAnsi="Times New Roman" w:cs="Times New Roman"/>
                <w:color w:val="000000"/>
                <w:sz w:val="20"/>
                <w:szCs w:val="20"/>
                <w:lang w:eastAsia="pt-BR"/>
              </w:rPr>
              <w:t>)</w:t>
            </w:r>
          </w:p>
        </w:tc>
        <w:tc>
          <w:tcPr>
            <w:tcW w:w="1300" w:type="dxa"/>
            <w:noWrap/>
            <w:vAlign w:val="bottom"/>
            <w:hideMark/>
          </w:tcPr>
          <w:p w14:paraId="1C1B19D3" w14:textId="77777777" w:rsidR="00762C8E" w:rsidRPr="00152DAE" w:rsidRDefault="00762C8E">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3.70a</w:t>
            </w:r>
          </w:p>
        </w:tc>
        <w:tc>
          <w:tcPr>
            <w:tcW w:w="1300" w:type="dxa"/>
            <w:noWrap/>
            <w:vAlign w:val="bottom"/>
            <w:hideMark/>
          </w:tcPr>
          <w:p w14:paraId="56BA74D7" w14:textId="77777777" w:rsidR="00762C8E" w:rsidRPr="00152DAE" w:rsidRDefault="00762C8E">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3.46b</w:t>
            </w:r>
          </w:p>
        </w:tc>
        <w:tc>
          <w:tcPr>
            <w:tcW w:w="1480" w:type="dxa"/>
            <w:noWrap/>
            <w:vAlign w:val="bottom"/>
            <w:hideMark/>
          </w:tcPr>
          <w:p w14:paraId="4A2136FE" w14:textId="77777777" w:rsidR="00762C8E" w:rsidRPr="00152DAE" w:rsidRDefault="00762C8E">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0.11</w:t>
            </w:r>
          </w:p>
        </w:tc>
        <w:tc>
          <w:tcPr>
            <w:tcW w:w="1300" w:type="dxa"/>
            <w:noWrap/>
            <w:vAlign w:val="bottom"/>
            <w:hideMark/>
          </w:tcPr>
          <w:p w14:paraId="774794C6" w14:textId="77777777" w:rsidR="00762C8E" w:rsidRPr="00152DAE" w:rsidRDefault="00762C8E">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&lt;0.05</w:t>
            </w:r>
          </w:p>
        </w:tc>
      </w:tr>
      <w:tr w:rsidR="00762C8E" w:rsidRPr="00152DAE" w14:paraId="3F0EB5B3" w14:textId="77777777" w:rsidTr="00762C8E">
        <w:trPr>
          <w:trHeight w:val="320"/>
        </w:trPr>
        <w:tc>
          <w:tcPr>
            <w:tcW w:w="3360" w:type="dxa"/>
            <w:noWrap/>
            <w:vAlign w:val="bottom"/>
            <w:hideMark/>
          </w:tcPr>
          <w:p w14:paraId="379ABC3E" w14:textId="77777777" w:rsidR="00762C8E" w:rsidRPr="00152DAE" w:rsidRDefault="00762C8E" w:rsidP="00F25310">
            <w:pPr>
              <w:rPr>
                <w:rFonts w:ascii="Times New Roman" w:eastAsia="Times New Roman" w:hAnsi="Times New Roman" w:cs="Times New Roman"/>
                <w:color w:val="000000"/>
                <w:sz w:val="20"/>
                <w:szCs w:val="20"/>
                <w:lang w:eastAsia="pt-BR"/>
              </w:rPr>
            </w:pPr>
            <w:proofErr w:type="spellStart"/>
            <w:r w:rsidRPr="00152DAE">
              <w:rPr>
                <w:rFonts w:ascii="Times New Roman" w:eastAsia="Times New Roman" w:hAnsi="Times New Roman" w:cs="Times New Roman"/>
                <w:color w:val="000000"/>
                <w:sz w:val="20"/>
                <w:szCs w:val="20"/>
                <w:lang w:eastAsia="pt-BR"/>
              </w:rPr>
              <w:t>Globulin</w:t>
            </w:r>
            <w:proofErr w:type="spellEnd"/>
            <w:r w:rsidRPr="00152DAE">
              <w:rPr>
                <w:rFonts w:ascii="Times New Roman" w:eastAsia="Times New Roman" w:hAnsi="Times New Roman" w:cs="Times New Roman"/>
                <w:color w:val="000000"/>
                <w:sz w:val="20"/>
                <w:szCs w:val="20"/>
                <w:lang w:eastAsia="pt-BR"/>
              </w:rPr>
              <w:t>(g/</w:t>
            </w:r>
            <w:proofErr w:type="spellStart"/>
            <w:r w:rsidRPr="00152DAE">
              <w:rPr>
                <w:rFonts w:ascii="Times New Roman" w:eastAsia="Times New Roman" w:hAnsi="Times New Roman" w:cs="Times New Roman"/>
                <w:color w:val="000000"/>
                <w:sz w:val="20"/>
                <w:szCs w:val="20"/>
                <w:lang w:eastAsia="pt-BR"/>
              </w:rPr>
              <w:t>dL</w:t>
            </w:r>
            <w:proofErr w:type="spellEnd"/>
            <w:r w:rsidRPr="00152DAE">
              <w:rPr>
                <w:rFonts w:ascii="Times New Roman" w:eastAsia="Times New Roman" w:hAnsi="Times New Roman" w:cs="Times New Roman"/>
                <w:color w:val="000000"/>
                <w:sz w:val="20"/>
                <w:szCs w:val="20"/>
                <w:lang w:eastAsia="pt-BR"/>
              </w:rPr>
              <w:t>)</w:t>
            </w:r>
          </w:p>
        </w:tc>
        <w:tc>
          <w:tcPr>
            <w:tcW w:w="1300" w:type="dxa"/>
            <w:noWrap/>
            <w:vAlign w:val="bottom"/>
            <w:hideMark/>
          </w:tcPr>
          <w:p w14:paraId="46345E4E" w14:textId="77777777" w:rsidR="00762C8E" w:rsidRPr="00152DAE" w:rsidRDefault="00762C8E">
            <w:pPr>
              <w:jc w:val="center"/>
              <w:rPr>
                <w:rFonts w:ascii="Times New Roman" w:eastAsia="Times New Roman" w:hAnsi="Times New Roman" w:cs="Times New Roman"/>
                <w:color w:val="000000"/>
                <w:sz w:val="20"/>
                <w:szCs w:val="20"/>
                <w:lang w:val="en-US" w:eastAsia="pt-BR"/>
              </w:rPr>
            </w:pPr>
            <w:r w:rsidRPr="00152DAE">
              <w:rPr>
                <w:rFonts w:ascii="Times New Roman" w:eastAsia="Times New Roman" w:hAnsi="Times New Roman" w:cs="Times New Roman"/>
                <w:color w:val="000000"/>
                <w:sz w:val="20"/>
                <w:szCs w:val="20"/>
                <w:lang w:val="en-US" w:eastAsia="pt-BR"/>
              </w:rPr>
              <w:t>2.996</w:t>
            </w:r>
          </w:p>
        </w:tc>
        <w:tc>
          <w:tcPr>
            <w:tcW w:w="1300" w:type="dxa"/>
            <w:noWrap/>
            <w:vAlign w:val="bottom"/>
            <w:hideMark/>
          </w:tcPr>
          <w:p w14:paraId="6212B09F" w14:textId="77777777" w:rsidR="00762C8E" w:rsidRPr="00152DAE" w:rsidRDefault="00762C8E">
            <w:pPr>
              <w:jc w:val="center"/>
              <w:rPr>
                <w:rFonts w:ascii="Times New Roman" w:eastAsia="Times New Roman" w:hAnsi="Times New Roman" w:cs="Times New Roman"/>
                <w:color w:val="000000"/>
                <w:sz w:val="20"/>
                <w:szCs w:val="20"/>
                <w:lang w:val="en-US" w:eastAsia="pt-BR"/>
              </w:rPr>
            </w:pPr>
            <w:r w:rsidRPr="00152DAE">
              <w:rPr>
                <w:rFonts w:ascii="Times New Roman" w:eastAsia="Times New Roman" w:hAnsi="Times New Roman" w:cs="Times New Roman"/>
                <w:color w:val="000000"/>
                <w:sz w:val="20"/>
                <w:szCs w:val="20"/>
                <w:lang w:val="en-US" w:eastAsia="pt-BR"/>
              </w:rPr>
              <w:t>2.999</w:t>
            </w:r>
          </w:p>
        </w:tc>
        <w:tc>
          <w:tcPr>
            <w:tcW w:w="1480" w:type="dxa"/>
            <w:noWrap/>
            <w:vAlign w:val="bottom"/>
            <w:hideMark/>
          </w:tcPr>
          <w:p w14:paraId="020EBF3F" w14:textId="77777777" w:rsidR="00762C8E" w:rsidRPr="00152DAE" w:rsidRDefault="00762C8E">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0.12</w:t>
            </w:r>
          </w:p>
        </w:tc>
        <w:tc>
          <w:tcPr>
            <w:tcW w:w="1300" w:type="dxa"/>
            <w:noWrap/>
            <w:vAlign w:val="bottom"/>
            <w:hideMark/>
          </w:tcPr>
          <w:p w14:paraId="0ACB948E" w14:textId="77777777" w:rsidR="00762C8E" w:rsidRPr="00152DAE" w:rsidRDefault="00762C8E">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0.98</w:t>
            </w:r>
          </w:p>
        </w:tc>
      </w:tr>
      <w:tr w:rsidR="00762C8E" w:rsidRPr="00152DAE" w14:paraId="40C800A7" w14:textId="77777777" w:rsidTr="00762C8E">
        <w:trPr>
          <w:trHeight w:val="320"/>
        </w:trPr>
        <w:tc>
          <w:tcPr>
            <w:tcW w:w="3360" w:type="dxa"/>
            <w:noWrap/>
            <w:vAlign w:val="bottom"/>
            <w:hideMark/>
          </w:tcPr>
          <w:p w14:paraId="325D61A5" w14:textId="77777777" w:rsidR="00762C8E" w:rsidRPr="00152DAE" w:rsidRDefault="00762C8E" w:rsidP="00F25310">
            <w:pPr>
              <w:rPr>
                <w:rFonts w:ascii="Times New Roman" w:eastAsia="Times New Roman" w:hAnsi="Times New Roman" w:cs="Times New Roman"/>
                <w:color w:val="000000"/>
                <w:sz w:val="20"/>
                <w:szCs w:val="20"/>
                <w:lang w:eastAsia="pt-BR"/>
              </w:rPr>
            </w:pPr>
            <w:proofErr w:type="spellStart"/>
            <w:r w:rsidRPr="00152DAE">
              <w:rPr>
                <w:rFonts w:ascii="Times New Roman" w:eastAsia="Times New Roman" w:hAnsi="Times New Roman" w:cs="Times New Roman"/>
                <w:color w:val="000000"/>
                <w:sz w:val="20"/>
                <w:szCs w:val="20"/>
                <w:lang w:eastAsia="pt-BR"/>
              </w:rPr>
              <w:t>Triglycerides</w:t>
            </w:r>
            <w:proofErr w:type="spellEnd"/>
            <w:r w:rsidRPr="00152DAE">
              <w:rPr>
                <w:rFonts w:ascii="Times New Roman" w:eastAsia="Times New Roman" w:hAnsi="Times New Roman" w:cs="Times New Roman"/>
                <w:color w:val="000000"/>
                <w:sz w:val="20"/>
                <w:szCs w:val="20"/>
                <w:lang w:eastAsia="pt-BR"/>
              </w:rPr>
              <w:t>(mg/</w:t>
            </w:r>
            <w:proofErr w:type="spellStart"/>
            <w:r w:rsidRPr="00152DAE">
              <w:rPr>
                <w:rFonts w:ascii="Times New Roman" w:eastAsia="Times New Roman" w:hAnsi="Times New Roman" w:cs="Times New Roman"/>
                <w:color w:val="000000"/>
                <w:sz w:val="20"/>
                <w:szCs w:val="20"/>
                <w:lang w:eastAsia="pt-BR"/>
              </w:rPr>
              <w:t>dL</w:t>
            </w:r>
            <w:proofErr w:type="spellEnd"/>
            <w:r w:rsidRPr="00152DAE">
              <w:rPr>
                <w:rFonts w:ascii="Times New Roman" w:eastAsia="Times New Roman" w:hAnsi="Times New Roman" w:cs="Times New Roman"/>
                <w:color w:val="000000"/>
                <w:sz w:val="20"/>
                <w:szCs w:val="20"/>
                <w:lang w:eastAsia="pt-BR"/>
              </w:rPr>
              <w:t>)</w:t>
            </w:r>
          </w:p>
        </w:tc>
        <w:tc>
          <w:tcPr>
            <w:tcW w:w="1300" w:type="dxa"/>
            <w:noWrap/>
            <w:vAlign w:val="bottom"/>
            <w:hideMark/>
          </w:tcPr>
          <w:p w14:paraId="4377C863" w14:textId="77777777" w:rsidR="00762C8E" w:rsidRPr="00152DAE" w:rsidRDefault="00762C8E">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44.48a</w:t>
            </w:r>
          </w:p>
        </w:tc>
        <w:tc>
          <w:tcPr>
            <w:tcW w:w="1300" w:type="dxa"/>
            <w:noWrap/>
            <w:vAlign w:val="bottom"/>
            <w:hideMark/>
          </w:tcPr>
          <w:p w14:paraId="654F68D0" w14:textId="77777777" w:rsidR="00762C8E" w:rsidRPr="00152DAE" w:rsidRDefault="00762C8E">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35.70b</w:t>
            </w:r>
          </w:p>
        </w:tc>
        <w:tc>
          <w:tcPr>
            <w:tcW w:w="1480" w:type="dxa"/>
            <w:noWrap/>
            <w:vAlign w:val="bottom"/>
            <w:hideMark/>
          </w:tcPr>
          <w:p w14:paraId="3274CE27" w14:textId="77777777" w:rsidR="00762C8E" w:rsidRPr="00152DAE" w:rsidRDefault="00762C8E">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4</w:t>
            </w:r>
          </w:p>
        </w:tc>
        <w:tc>
          <w:tcPr>
            <w:tcW w:w="1300" w:type="dxa"/>
            <w:noWrap/>
            <w:vAlign w:val="bottom"/>
            <w:hideMark/>
          </w:tcPr>
          <w:p w14:paraId="461578CC" w14:textId="77777777" w:rsidR="00762C8E" w:rsidRPr="00152DAE" w:rsidRDefault="00762C8E">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&lt;0.05</w:t>
            </w:r>
          </w:p>
        </w:tc>
      </w:tr>
      <w:tr w:rsidR="00762C8E" w:rsidRPr="00152DAE" w14:paraId="0C41B40E" w14:textId="77777777" w:rsidTr="00762C8E">
        <w:trPr>
          <w:trHeight w:val="320"/>
        </w:trPr>
        <w:tc>
          <w:tcPr>
            <w:tcW w:w="3360" w:type="dxa"/>
            <w:noWrap/>
            <w:vAlign w:val="bottom"/>
            <w:hideMark/>
          </w:tcPr>
          <w:p w14:paraId="53CDD8A3" w14:textId="77777777" w:rsidR="00762C8E" w:rsidRPr="00152DAE" w:rsidRDefault="00762C8E" w:rsidP="00F25310">
            <w:pPr>
              <w:rPr>
                <w:rFonts w:ascii="Times New Roman" w:eastAsia="Times New Roman" w:hAnsi="Times New Roman" w:cs="Times New Roman"/>
                <w:color w:val="000000"/>
                <w:sz w:val="20"/>
                <w:szCs w:val="20"/>
                <w:lang w:eastAsia="pt-BR"/>
              </w:rPr>
            </w:pPr>
            <w:proofErr w:type="spellStart"/>
            <w:r w:rsidRPr="00152DAE">
              <w:rPr>
                <w:rFonts w:ascii="Times New Roman" w:eastAsia="Times New Roman" w:hAnsi="Times New Roman" w:cs="Times New Roman"/>
                <w:color w:val="000000"/>
                <w:sz w:val="20"/>
                <w:szCs w:val="20"/>
                <w:lang w:eastAsia="pt-BR"/>
              </w:rPr>
              <w:t>Cholesterol</w:t>
            </w:r>
            <w:proofErr w:type="spellEnd"/>
            <w:r w:rsidRPr="00152DAE">
              <w:rPr>
                <w:rFonts w:ascii="Times New Roman" w:eastAsia="Times New Roman" w:hAnsi="Times New Roman" w:cs="Times New Roman"/>
                <w:color w:val="000000"/>
                <w:sz w:val="20"/>
                <w:szCs w:val="20"/>
                <w:lang w:eastAsia="pt-BR"/>
              </w:rPr>
              <w:t>(mg/</w:t>
            </w:r>
            <w:proofErr w:type="spellStart"/>
            <w:r w:rsidRPr="00152DAE">
              <w:rPr>
                <w:rFonts w:ascii="Times New Roman" w:eastAsia="Times New Roman" w:hAnsi="Times New Roman" w:cs="Times New Roman"/>
                <w:color w:val="000000"/>
                <w:sz w:val="20"/>
                <w:szCs w:val="20"/>
                <w:lang w:eastAsia="pt-BR"/>
              </w:rPr>
              <w:t>dL</w:t>
            </w:r>
            <w:proofErr w:type="spellEnd"/>
            <w:r w:rsidRPr="00152DAE">
              <w:rPr>
                <w:rFonts w:ascii="Times New Roman" w:eastAsia="Times New Roman" w:hAnsi="Times New Roman" w:cs="Times New Roman"/>
                <w:color w:val="000000"/>
                <w:sz w:val="20"/>
                <w:szCs w:val="20"/>
                <w:lang w:eastAsia="pt-BR"/>
              </w:rPr>
              <w:t>)</w:t>
            </w:r>
          </w:p>
        </w:tc>
        <w:tc>
          <w:tcPr>
            <w:tcW w:w="1300" w:type="dxa"/>
            <w:noWrap/>
            <w:vAlign w:val="bottom"/>
            <w:hideMark/>
          </w:tcPr>
          <w:p w14:paraId="1AFCDA7B" w14:textId="77777777" w:rsidR="00762C8E" w:rsidRPr="00152DAE" w:rsidRDefault="00762C8E">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99.34</w:t>
            </w:r>
          </w:p>
        </w:tc>
        <w:tc>
          <w:tcPr>
            <w:tcW w:w="1300" w:type="dxa"/>
            <w:noWrap/>
            <w:vAlign w:val="bottom"/>
            <w:hideMark/>
          </w:tcPr>
          <w:p w14:paraId="71565E6C" w14:textId="77777777" w:rsidR="00762C8E" w:rsidRPr="00152DAE" w:rsidRDefault="00762C8E">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96.55</w:t>
            </w:r>
          </w:p>
        </w:tc>
        <w:tc>
          <w:tcPr>
            <w:tcW w:w="1480" w:type="dxa"/>
            <w:noWrap/>
            <w:vAlign w:val="bottom"/>
            <w:hideMark/>
          </w:tcPr>
          <w:p w14:paraId="197148DA" w14:textId="77777777" w:rsidR="00762C8E" w:rsidRPr="00152DAE" w:rsidRDefault="00762C8E">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4.58</w:t>
            </w:r>
          </w:p>
        </w:tc>
        <w:tc>
          <w:tcPr>
            <w:tcW w:w="1300" w:type="dxa"/>
            <w:noWrap/>
            <w:vAlign w:val="bottom"/>
            <w:hideMark/>
          </w:tcPr>
          <w:p w14:paraId="2A04912A" w14:textId="77777777" w:rsidR="00762C8E" w:rsidRPr="00152DAE" w:rsidRDefault="00762C8E">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0.55</w:t>
            </w:r>
          </w:p>
        </w:tc>
      </w:tr>
      <w:tr w:rsidR="00762C8E" w:rsidRPr="00152DAE" w14:paraId="2070DEC0" w14:textId="77777777" w:rsidTr="00762C8E">
        <w:trPr>
          <w:trHeight w:val="320"/>
        </w:trPr>
        <w:tc>
          <w:tcPr>
            <w:tcW w:w="3360" w:type="dxa"/>
            <w:noWrap/>
            <w:vAlign w:val="bottom"/>
            <w:hideMark/>
          </w:tcPr>
          <w:p w14:paraId="4FA52E9D" w14:textId="77777777" w:rsidR="00762C8E" w:rsidRPr="00152DAE" w:rsidRDefault="00762C8E" w:rsidP="00F25310">
            <w:pPr>
              <w:rPr>
                <w:rFonts w:ascii="Times New Roman" w:eastAsia="Times New Roman" w:hAnsi="Times New Roman" w:cs="Times New Roman"/>
                <w:color w:val="000000"/>
                <w:sz w:val="20"/>
                <w:szCs w:val="20"/>
                <w:lang w:eastAsia="pt-BR"/>
              </w:rPr>
            </w:pPr>
            <w:proofErr w:type="gramStart"/>
            <w:r w:rsidRPr="00152DAE">
              <w:rPr>
                <w:rFonts w:ascii="Times New Roman" w:eastAsia="Times New Roman" w:hAnsi="Times New Roman" w:cs="Times New Roman"/>
                <w:color w:val="000000"/>
                <w:sz w:val="20"/>
                <w:szCs w:val="20"/>
                <w:lang w:eastAsia="pt-BR"/>
              </w:rPr>
              <w:t>HDL(</w:t>
            </w:r>
            <w:proofErr w:type="gramEnd"/>
            <w:r w:rsidRPr="00152DAE">
              <w:rPr>
                <w:rFonts w:ascii="Times New Roman" w:eastAsia="Times New Roman" w:hAnsi="Times New Roman" w:cs="Times New Roman"/>
                <w:color w:val="000000"/>
                <w:sz w:val="20"/>
                <w:szCs w:val="20"/>
                <w:lang w:eastAsia="pt-BR"/>
              </w:rPr>
              <w:t>mg/</w:t>
            </w:r>
            <w:proofErr w:type="spellStart"/>
            <w:r w:rsidRPr="00152DAE">
              <w:rPr>
                <w:rFonts w:ascii="Times New Roman" w:eastAsia="Times New Roman" w:hAnsi="Times New Roman" w:cs="Times New Roman"/>
                <w:color w:val="000000"/>
                <w:sz w:val="20"/>
                <w:szCs w:val="20"/>
                <w:lang w:eastAsia="pt-BR"/>
              </w:rPr>
              <w:t>dL</w:t>
            </w:r>
            <w:proofErr w:type="spellEnd"/>
            <w:r w:rsidRPr="00152DAE">
              <w:rPr>
                <w:rFonts w:ascii="Times New Roman" w:eastAsia="Times New Roman" w:hAnsi="Times New Roman" w:cs="Times New Roman"/>
                <w:color w:val="000000"/>
                <w:sz w:val="20"/>
                <w:szCs w:val="20"/>
                <w:lang w:eastAsia="pt-BR"/>
              </w:rPr>
              <w:t>)</w:t>
            </w:r>
          </w:p>
        </w:tc>
        <w:tc>
          <w:tcPr>
            <w:tcW w:w="1300" w:type="dxa"/>
            <w:noWrap/>
            <w:vAlign w:val="bottom"/>
            <w:hideMark/>
          </w:tcPr>
          <w:p w14:paraId="0EFA195A" w14:textId="77777777" w:rsidR="00762C8E" w:rsidRPr="00152DAE" w:rsidRDefault="00762C8E">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44.34</w:t>
            </w:r>
          </w:p>
        </w:tc>
        <w:tc>
          <w:tcPr>
            <w:tcW w:w="1300" w:type="dxa"/>
            <w:noWrap/>
            <w:vAlign w:val="bottom"/>
            <w:hideMark/>
          </w:tcPr>
          <w:p w14:paraId="2BAB3CC8" w14:textId="77777777" w:rsidR="00762C8E" w:rsidRPr="00152DAE" w:rsidRDefault="00762C8E">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43.72</w:t>
            </w:r>
          </w:p>
        </w:tc>
        <w:tc>
          <w:tcPr>
            <w:tcW w:w="1480" w:type="dxa"/>
            <w:noWrap/>
            <w:vAlign w:val="bottom"/>
            <w:hideMark/>
          </w:tcPr>
          <w:p w14:paraId="63478924" w14:textId="77777777" w:rsidR="00762C8E" w:rsidRPr="00152DAE" w:rsidRDefault="00762C8E">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2.06</w:t>
            </w:r>
          </w:p>
        </w:tc>
        <w:tc>
          <w:tcPr>
            <w:tcW w:w="1300" w:type="dxa"/>
            <w:noWrap/>
            <w:vAlign w:val="bottom"/>
            <w:hideMark/>
          </w:tcPr>
          <w:p w14:paraId="4A6504AB" w14:textId="77777777" w:rsidR="00762C8E" w:rsidRPr="00152DAE" w:rsidRDefault="00762C8E">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0.77</w:t>
            </w:r>
          </w:p>
        </w:tc>
      </w:tr>
      <w:tr w:rsidR="00762C8E" w:rsidRPr="00152DAE" w14:paraId="278BC5EB" w14:textId="77777777" w:rsidTr="00762C8E">
        <w:trPr>
          <w:trHeight w:val="320"/>
        </w:trPr>
        <w:tc>
          <w:tcPr>
            <w:tcW w:w="3360" w:type="dxa"/>
            <w:noWrap/>
            <w:vAlign w:val="bottom"/>
            <w:hideMark/>
          </w:tcPr>
          <w:p w14:paraId="251E424B" w14:textId="77777777" w:rsidR="00762C8E" w:rsidRPr="00152DAE" w:rsidRDefault="00762C8E" w:rsidP="00F25310">
            <w:pPr>
              <w:rPr>
                <w:rFonts w:ascii="Times New Roman" w:eastAsia="Times New Roman" w:hAnsi="Times New Roman" w:cs="Times New Roman"/>
                <w:color w:val="000000"/>
                <w:sz w:val="20"/>
                <w:szCs w:val="20"/>
                <w:lang w:eastAsia="pt-BR"/>
              </w:rPr>
            </w:pPr>
            <w:proofErr w:type="gramStart"/>
            <w:r w:rsidRPr="00152DAE">
              <w:rPr>
                <w:rFonts w:ascii="Times New Roman" w:eastAsia="Times New Roman" w:hAnsi="Times New Roman" w:cs="Times New Roman"/>
                <w:color w:val="000000"/>
                <w:sz w:val="20"/>
                <w:szCs w:val="20"/>
                <w:lang w:eastAsia="pt-BR"/>
              </w:rPr>
              <w:t>LDL(</w:t>
            </w:r>
            <w:proofErr w:type="gramEnd"/>
            <w:r w:rsidRPr="00152DAE">
              <w:rPr>
                <w:rFonts w:ascii="Times New Roman" w:eastAsia="Times New Roman" w:hAnsi="Times New Roman" w:cs="Times New Roman"/>
                <w:color w:val="000000"/>
                <w:sz w:val="20"/>
                <w:szCs w:val="20"/>
                <w:lang w:eastAsia="pt-BR"/>
              </w:rPr>
              <w:t>mg/</w:t>
            </w:r>
            <w:proofErr w:type="spellStart"/>
            <w:r w:rsidRPr="00152DAE">
              <w:rPr>
                <w:rFonts w:ascii="Times New Roman" w:eastAsia="Times New Roman" w:hAnsi="Times New Roman" w:cs="Times New Roman"/>
                <w:color w:val="000000"/>
                <w:sz w:val="20"/>
                <w:szCs w:val="20"/>
                <w:lang w:eastAsia="pt-BR"/>
              </w:rPr>
              <w:t>dL</w:t>
            </w:r>
            <w:proofErr w:type="spellEnd"/>
            <w:r w:rsidRPr="00152DAE">
              <w:rPr>
                <w:rFonts w:ascii="Times New Roman" w:eastAsia="Times New Roman" w:hAnsi="Times New Roman" w:cs="Times New Roman"/>
                <w:color w:val="000000"/>
                <w:sz w:val="20"/>
                <w:szCs w:val="20"/>
                <w:lang w:eastAsia="pt-BR"/>
              </w:rPr>
              <w:t>)</w:t>
            </w:r>
          </w:p>
        </w:tc>
        <w:tc>
          <w:tcPr>
            <w:tcW w:w="1300" w:type="dxa"/>
            <w:noWrap/>
            <w:vAlign w:val="bottom"/>
            <w:hideMark/>
          </w:tcPr>
          <w:p w14:paraId="14E20938" w14:textId="77777777" w:rsidR="00762C8E" w:rsidRPr="00152DAE" w:rsidRDefault="00762C8E">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45.99</w:t>
            </w:r>
          </w:p>
        </w:tc>
        <w:tc>
          <w:tcPr>
            <w:tcW w:w="1300" w:type="dxa"/>
            <w:noWrap/>
            <w:vAlign w:val="bottom"/>
            <w:hideMark/>
          </w:tcPr>
          <w:p w14:paraId="3E88783E" w14:textId="77777777" w:rsidR="00762C8E" w:rsidRPr="00152DAE" w:rsidRDefault="00762C8E">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45.71</w:t>
            </w:r>
          </w:p>
        </w:tc>
        <w:tc>
          <w:tcPr>
            <w:tcW w:w="1480" w:type="dxa"/>
            <w:noWrap/>
            <w:vAlign w:val="bottom"/>
            <w:hideMark/>
          </w:tcPr>
          <w:p w14:paraId="1479C6A1" w14:textId="77777777" w:rsidR="00762C8E" w:rsidRPr="00152DAE" w:rsidRDefault="00762C8E">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2.91</w:t>
            </w:r>
          </w:p>
        </w:tc>
        <w:tc>
          <w:tcPr>
            <w:tcW w:w="1300" w:type="dxa"/>
            <w:noWrap/>
            <w:vAlign w:val="bottom"/>
            <w:hideMark/>
          </w:tcPr>
          <w:p w14:paraId="1EC5DBBE" w14:textId="77777777" w:rsidR="00762C8E" w:rsidRPr="00152DAE" w:rsidRDefault="00762C8E">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0.92</w:t>
            </w:r>
          </w:p>
        </w:tc>
      </w:tr>
      <w:tr w:rsidR="00762C8E" w:rsidRPr="00152DAE" w14:paraId="4E94AD4A" w14:textId="77777777" w:rsidTr="00762C8E">
        <w:trPr>
          <w:trHeight w:val="320"/>
        </w:trPr>
        <w:tc>
          <w:tcPr>
            <w:tcW w:w="3360" w:type="dxa"/>
            <w:noWrap/>
            <w:vAlign w:val="bottom"/>
            <w:hideMark/>
          </w:tcPr>
          <w:p w14:paraId="38347D32" w14:textId="77777777" w:rsidR="00762C8E" w:rsidRPr="00152DAE" w:rsidRDefault="00762C8E" w:rsidP="00F25310">
            <w:pPr>
              <w:rPr>
                <w:rFonts w:ascii="Times New Roman" w:eastAsia="Times New Roman" w:hAnsi="Times New Roman" w:cs="Times New Roman"/>
                <w:color w:val="000000"/>
                <w:sz w:val="20"/>
                <w:szCs w:val="20"/>
                <w:lang w:eastAsia="pt-BR"/>
              </w:rPr>
            </w:pPr>
            <w:proofErr w:type="gramStart"/>
            <w:r w:rsidRPr="00152DAE">
              <w:rPr>
                <w:rFonts w:ascii="Times New Roman" w:eastAsia="Times New Roman" w:hAnsi="Times New Roman" w:cs="Times New Roman"/>
                <w:color w:val="000000"/>
                <w:sz w:val="20"/>
                <w:szCs w:val="20"/>
                <w:lang w:eastAsia="pt-BR"/>
              </w:rPr>
              <w:t>VLDL(</w:t>
            </w:r>
            <w:proofErr w:type="gramEnd"/>
            <w:r w:rsidRPr="00152DAE">
              <w:rPr>
                <w:rFonts w:ascii="Times New Roman" w:eastAsia="Times New Roman" w:hAnsi="Times New Roman" w:cs="Times New Roman"/>
                <w:color w:val="000000"/>
                <w:sz w:val="20"/>
                <w:szCs w:val="20"/>
                <w:lang w:eastAsia="pt-BR"/>
              </w:rPr>
              <w:t>mg/</w:t>
            </w:r>
            <w:proofErr w:type="spellStart"/>
            <w:r w:rsidRPr="00152DAE">
              <w:rPr>
                <w:rFonts w:ascii="Times New Roman" w:eastAsia="Times New Roman" w:hAnsi="Times New Roman" w:cs="Times New Roman"/>
                <w:color w:val="000000"/>
                <w:sz w:val="20"/>
                <w:szCs w:val="20"/>
                <w:lang w:eastAsia="pt-BR"/>
              </w:rPr>
              <w:t>dL</w:t>
            </w:r>
            <w:proofErr w:type="spellEnd"/>
            <w:r w:rsidRPr="00152DAE">
              <w:rPr>
                <w:rFonts w:ascii="Times New Roman" w:eastAsia="Times New Roman" w:hAnsi="Times New Roman" w:cs="Times New Roman"/>
                <w:color w:val="000000"/>
                <w:sz w:val="20"/>
                <w:szCs w:val="20"/>
                <w:lang w:eastAsia="pt-BR"/>
              </w:rPr>
              <w:t>)</w:t>
            </w:r>
          </w:p>
        </w:tc>
        <w:tc>
          <w:tcPr>
            <w:tcW w:w="1300" w:type="dxa"/>
            <w:noWrap/>
            <w:vAlign w:val="bottom"/>
            <w:hideMark/>
          </w:tcPr>
          <w:p w14:paraId="50B3C32D" w14:textId="77777777" w:rsidR="00762C8E" w:rsidRPr="00152DAE" w:rsidRDefault="00762C8E">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9.00a</w:t>
            </w:r>
          </w:p>
        </w:tc>
        <w:tc>
          <w:tcPr>
            <w:tcW w:w="1300" w:type="dxa"/>
            <w:noWrap/>
            <w:vAlign w:val="bottom"/>
            <w:hideMark/>
          </w:tcPr>
          <w:p w14:paraId="1B53714A" w14:textId="77777777" w:rsidR="00762C8E" w:rsidRPr="00152DAE" w:rsidRDefault="00762C8E">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7.13b</w:t>
            </w:r>
          </w:p>
        </w:tc>
        <w:tc>
          <w:tcPr>
            <w:tcW w:w="1480" w:type="dxa"/>
            <w:noWrap/>
            <w:vAlign w:val="bottom"/>
            <w:hideMark/>
          </w:tcPr>
          <w:p w14:paraId="6B2DD27C" w14:textId="77777777" w:rsidR="00762C8E" w:rsidRPr="00152DAE" w:rsidRDefault="00762C8E">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0.81</w:t>
            </w:r>
          </w:p>
        </w:tc>
        <w:tc>
          <w:tcPr>
            <w:tcW w:w="1300" w:type="dxa"/>
            <w:noWrap/>
            <w:vAlign w:val="bottom"/>
            <w:hideMark/>
          </w:tcPr>
          <w:p w14:paraId="57F0DE80" w14:textId="77777777" w:rsidR="00762C8E" w:rsidRPr="00152DAE" w:rsidRDefault="00762C8E">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&lt;0.05</w:t>
            </w:r>
          </w:p>
        </w:tc>
      </w:tr>
      <w:tr w:rsidR="00F25310" w:rsidRPr="00152DAE" w14:paraId="4D876945" w14:textId="77777777" w:rsidTr="00F25310">
        <w:trPr>
          <w:trHeight w:val="320"/>
        </w:trPr>
        <w:tc>
          <w:tcPr>
            <w:tcW w:w="3360" w:type="dxa"/>
            <w:noWrap/>
            <w:vAlign w:val="center"/>
          </w:tcPr>
          <w:p w14:paraId="7FDD47F9" w14:textId="48151AB0" w:rsidR="00F25310" w:rsidRPr="00F25310" w:rsidRDefault="00F25310" w:rsidP="00F25310">
            <w:pPr>
              <w:rPr>
                <w:rFonts w:ascii="Times New Roman" w:eastAsia="Times New Roman" w:hAnsi="Times New Roman" w:cs="Times New Roman"/>
                <w:color w:val="000000"/>
                <w:sz w:val="20"/>
                <w:szCs w:val="20"/>
                <w:lang w:eastAsia="pt-BR"/>
              </w:rPr>
            </w:pPr>
            <w:proofErr w:type="spellStart"/>
            <w:r w:rsidRPr="00F25310">
              <w:rPr>
                <w:rFonts w:ascii="Times New Roman" w:eastAsia="Times New Roman" w:hAnsi="Times New Roman" w:cs="Times New Roman"/>
                <w:color w:val="000000"/>
                <w:sz w:val="20"/>
                <w:szCs w:val="20"/>
                <w:lang w:eastAsia="pt-BR"/>
              </w:rPr>
              <w:t>Body</w:t>
            </w:r>
            <w:proofErr w:type="spellEnd"/>
            <w:r w:rsidRPr="00F25310">
              <w:rPr>
                <w:rFonts w:ascii="Times New Roman" w:eastAsia="Times New Roman" w:hAnsi="Times New Roman" w:cs="Times New Roman"/>
                <w:color w:val="000000"/>
                <w:sz w:val="20"/>
                <w:szCs w:val="20"/>
                <w:lang w:eastAsia="pt-BR"/>
              </w:rPr>
              <w:t xml:space="preserve"> </w:t>
            </w:r>
            <w:proofErr w:type="spellStart"/>
            <w:r w:rsidRPr="00F25310">
              <w:rPr>
                <w:rFonts w:ascii="Times New Roman" w:eastAsia="Times New Roman" w:hAnsi="Times New Roman" w:cs="Times New Roman"/>
                <w:color w:val="000000"/>
                <w:sz w:val="20"/>
                <w:szCs w:val="20"/>
                <w:lang w:eastAsia="pt-BR"/>
              </w:rPr>
              <w:t>weight</w:t>
            </w:r>
            <w:proofErr w:type="spellEnd"/>
            <w:r>
              <w:rPr>
                <w:rFonts w:ascii="Times New Roman" w:eastAsia="Times New Roman" w:hAnsi="Times New Roman" w:cs="Times New Roman"/>
                <w:color w:val="000000"/>
                <w:sz w:val="20"/>
                <w:szCs w:val="20"/>
                <w:lang w:eastAsia="pt-BR"/>
              </w:rPr>
              <w:t xml:space="preserve"> (kg)</w:t>
            </w:r>
          </w:p>
        </w:tc>
        <w:tc>
          <w:tcPr>
            <w:tcW w:w="1300" w:type="dxa"/>
            <w:noWrap/>
            <w:vAlign w:val="center"/>
          </w:tcPr>
          <w:p w14:paraId="671F2553" w14:textId="6B36EE91" w:rsidR="00F25310" w:rsidRPr="00F25310" w:rsidRDefault="00F25310" w:rsidP="00F25310">
            <w:pPr>
              <w:jc w:val="center"/>
              <w:rPr>
                <w:rFonts w:ascii="Times New Roman" w:eastAsia="Times New Roman" w:hAnsi="Times New Roman" w:cs="Times New Roman"/>
                <w:color w:val="000000"/>
                <w:sz w:val="20"/>
                <w:szCs w:val="20"/>
                <w:lang w:eastAsia="pt-BR"/>
              </w:rPr>
            </w:pPr>
            <w:r w:rsidRPr="00F25310">
              <w:rPr>
                <w:rFonts w:ascii="Times New Roman" w:hAnsi="Times New Roman" w:cs="Times New Roman"/>
                <w:sz w:val="20"/>
                <w:szCs w:val="20"/>
              </w:rPr>
              <w:t>130.61</w:t>
            </w:r>
          </w:p>
        </w:tc>
        <w:tc>
          <w:tcPr>
            <w:tcW w:w="1300" w:type="dxa"/>
            <w:noWrap/>
            <w:vAlign w:val="center"/>
          </w:tcPr>
          <w:p w14:paraId="30E7C362" w14:textId="356B2318" w:rsidR="00F25310" w:rsidRPr="00F25310" w:rsidRDefault="00F25310" w:rsidP="00F25310">
            <w:pPr>
              <w:jc w:val="center"/>
              <w:rPr>
                <w:rFonts w:ascii="Times New Roman" w:eastAsia="Times New Roman" w:hAnsi="Times New Roman" w:cs="Times New Roman"/>
                <w:color w:val="000000"/>
                <w:sz w:val="20"/>
                <w:szCs w:val="20"/>
                <w:lang w:eastAsia="pt-BR"/>
              </w:rPr>
            </w:pPr>
            <w:r w:rsidRPr="00F25310">
              <w:rPr>
                <w:rFonts w:ascii="Times New Roman" w:hAnsi="Times New Roman" w:cs="Times New Roman"/>
                <w:sz w:val="20"/>
                <w:szCs w:val="20"/>
              </w:rPr>
              <w:t>131.17</w:t>
            </w:r>
          </w:p>
        </w:tc>
        <w:tc>
          <w:tcPr>
            <w:tcW w:w="1480" w:type="dxa"/>
            <w:noWrap/>
            <w:vAlign w:val="center"/>
          </w:tcPr>
          <w:p w14:paraId="463F6576" w14:textId="6A2E1147" w:rsidR="00F25310" w:rsidRPr="00F25310" w:rsidRDefault="00F25310" w:rsidP="00F25310">
            <w:pPr>
              <w:jc w:val="center"/>
              <w:rPr>
                <w:rFonts w:ascii="Times New Roman" w:eastAsia="Times New Roman" w:hAnsi="Times New Roman" w:cs="Times New Roman"/>
                <w:color w:val="000000"/>
                <w:sz w:val="20"/>
                <w:szCs w:val="20"/>
                <w:lang w:eastAsia="pt-BR"/>
              </w:rPr>
            </w:pPr>
            <w:r w:rsidRPr="00F25310">
              <w:rPr>
                <w:rFonts w:ascii="Times New Roman" w:hAnsi="Times New Roman" w:cs="Times New Roman"/>
                <w:sz w:val="20"/>
                <w:szCs w:val="20"/>
              </w:rPr>
              <w:t>3.0430</w:t>
            </w:r>
          </w:p>
        </w:tc>
        <w:tc>
          <w:tcPr>
            <w:tcW w:w="1300" w:type="dxa"/>
            <w:noWrap/>
            <w:vAlign w:val="center"/>
          </w:tcPr>
          <w:p w14:paraId="09243810" w14:textId="31592D8A" w:rsidR="00F25310" w:rsidRPr="00F25310" w:rsidRDefault="00F25310" w:rsidP="00F25310">
            <w:pPr>
              <w:jc w:val="center"/>
              <w:rPr>
                <w:rFonts w:ascii="Times New Roman" w:eastAsia="Times New Roman" w:hAnsi="Times New Roman" w:cs="Times New Roman"/>
                <w:color w:val="000000"/>
                <w:sz w:val="20"/>
                <w:szCs w:val="20"/>
                <w:lang w:eastAsia="pt-BR"/>
              </w:rPr>
            </w:pPr>
            <w:r w:rsidRPr="00F25310">
              <w:rPr>
                <w:rFonts w:ascii="Times New Roman" w:hAnsi="Times New Roman" w:cs="Times New Roman"/>
                <w:sz w:val="20"/>
                <w:szCs w:val="20"/>
              </w:rPr>
              <w:t>0.8</w:t>
            </w:r>
            <w:r w:rsidRPr="00F25310">
              <w:rPr>
                <w:rFonts w:ascii="Times New Roman" w:hAnsi="Times New Roman" w:cs="Times New Roman"/>
                <w:sz w:val="20"/>
                <w:szCs w:val="20"/>
              </w:rPr>
              <w:t>6</w:t>
            </w:r>
          </w:p>
        </w:tc>
      </w:tr>
      <w:tr w:rsidR="00F25310" w:rsidRPr="00152DAE" w14:paraId="3B3A5419" w14:textId="77777777" w:rsidTr="00F25310">
        <w:trPr>
          <w:trHeight w:val="320"/>
        </w:trPr>
        <w:tc>
          <w:tcPr>
            <w:tcW w:w="3360" w:type="dxa"/>
            <w:noWrap/>
            <w:vAlign w:val="center"/>
          </w:tcPr>
          <w:p w14:paraId="2BDEE7F2" w14:textId="3C6219CE" w:rsidR="00F25310" w:rsidRPr="00F25310" w:rsidRDefault="00F25310" w:rsidP="00F25310">
            <w:pPr>
              <w:rPr>
                <w:rFonts w:ascii="Times New Roman" w:eastAsia="Times New Roman" w:hAnsi="Times New Roman" w:cs="Times New Roman"/>
                <w:color w:val="000000"/>
                <w:sz w:val="20"/>
                <w:szCs w:val="20"/>
                <w:lang w:eastAsia="pt-BR"/>
              </w:rPr>
            </w:pPr>
            <w:r w:rsidRPr="00F25310">
              <w:rPr>
                <w:rFonts w:ascii="Times New Roman" w:eastAsia="Times New Roman" w:hAnsi="Times New Roman" w:cs="Times New Roman"/>
                <w:color w:val="000000"/>
                <w:sz w:val="20"/>
                <w:szCs w:val="20"/>
                <w:lang w:eastAsia="pt-BR"/>
              </w:rPr>
              <w:t xml:space="preserve">Intramuscular </w:t>
            </w:r>
            <w:proofErr w:type="spellStart"/>
            <w:r w:rsidRPr="00F25310">
              <w:rPr>
                <w:rFonts w:ascii="Times New Roman" w:eastAsia="Times New Roman" w:hAnsi="Times New Roman" w:cs="Times New Roman"/>
                <w:color w:val="000000"/>
                <w:sz w:val="20"/>
                <w:szCs w:val="20"/>
                <w:lang w:eastAsia="pt-BR"/>
              </w:rPr>
              <w:t>fat</w:t>
            </w:r>
            <w:proofErr w:type="spellEnd"/>
            <w:r>
              <w:rPr>
                <w:rFonts w:ascii="Times New Roman" w:eastAsia="Times New Roman" w:hAnsi="Times New Roman" w:cs="Times New Roman"/>
                <w:color w:val="000000"/>
                <w:sz w:val="20"/>
                <w:szCs w:val="20"/>
                <w:lang w:eastAsia="pt-BR"/>
              </w:rPr>
              <w:t xml:space="preserve"> (%)</w:t>
            </w:r>
          </w:p>
        </w:tc>
        <w:tc>
          <w:tcPr>
            <w:tcW w:w="1300" w:type="dxa"/>
            <w:noWrap/>
            <w:vAlign w:val="center"/>
          </w:tcPr>
          <w:p w14:paraId="217507B5" w14:textId="3188E23B" w:rsidR="00F25310" w:rsidRPr="00F25310" w:rsidRDefault="00F25310" w:rsidP="00F25310">
            <w:pPr>
              <w:jc w:val="center"/>
              <w:rPr>
                <w:rFonts w:ascii="Times New Roman" w:eastAsia="Times New Roman" w:hAnsi="Times New Roman" w:cs="Times New Roman"/>
                <w:color w:val="000000"/>
                <w:sz w:val="20"/>
                <w:szCs w:val="20"/>
                <w:lang w:eastAsia="pt-BR"/>
              </w:rPr>
            </w:pPr>
            <w:r w:rsidRPr="00F25310">
              <w:rPr>
                <w:rFonts w:ascii="Times New Roman" w:hAnsi="Times New Roman" w:cs="Times New Roman"/>
                <w:sz w:val="20"/>
                <w:szCs w:val="20"/>
              </w:rPr>
              <w:t>1.94</w:t>
            </w:r>
          </w:p>
        </w:tc>
        <w:tc>
          <w:tcPr>
            <w:tcW w:w="1300" w:type="dxa"/>
            <w:noWrap/>
            <w:vAlign w:val="center"/>
          </w:tcPr>
          <w:p w14:paraId="21B56799" w14:textId="38EE8C7E" w:rsidR="00F25310" w:rsidRPr="00F25310" w:rsidRDefault="00F25310" w:rsidP="00F25310">
            <w:pPr>
              <w:jc w:val="center"/>
              <w:rPr>
                <w:rFonts w:ascii="Times New Roman" w:eastAsia="Times New Roman" w:hAnsi="Times New Roman" w:cs="Times New Roman"/>
                <w:color w:val="000000"/>
                <w:sz w:val="20"/>
                <w:szCs w:val="20"/>
                <w:lang w:eastAsia="pt-BR"/>
              </w:rPr>
            </w:pPr>
            <w:r w:rsidRPr="00F25310">
              <w:rPr>
                <w:rFonts w:ascii="Times New Roman" w:hAnsi="Times New Roman" w:cs="Times New Roman"/>
                <w:sz w:val="20"/>
                <w:szCs w:val="20"/>
              </w:rPr>
              <w:t>2.63</w:t>
            </w:r>
          </w:p>
        </w:tc>
        <w:tc>
          <w:tcPr>
            <w:tcW w:w="1480" w:type="dxa"/>
            <w:noWrap/>
            <w:vAlign w:val="center"/>
          </w:tcPr>
          <w:p w14:paraId="47541EF1" w14:textId="716E242F" w:rsidR="00F25310" w:rsidRPr="00F25310" w:rsidRDefault="00F25310" w:rsidP="00F25310">
            <w:pPr>
              <w:jc w:val="center"/>
              <w:rPr>
                <w:rFonts w:ascii="Times New Roman" w:eastAsia="Times New Roman" w:hAnsi="Times New Roman" w:cs="Times New Roman"/>
                <w:color w:val="000000"/>
                <w:sz w:val="20"/>
                <w:szCs w:val="20"/>
                <w:lang w:eastAsia="pt-BR"/>
              </w:rPr>
            </w:pPr>
            <w:r w:rsidRPr="00F25310">
              <w:rPr>
                <w:rFonts w:ascii="Times New Roman" w:hAnsi="Times New Roman" w:cs="Times New Roman"/>
                <w:sz w:val="20"/>
                <w:szCs w:val="20"/>
              </w:rPr>
              <w:t>0.35</w:t>
            </w:r>
          </w:p>
        </w:tc>
        <w:tc>
          <w:tcPr>
            <w:tcW w:w="1300" w:type="dxa"/>
            <w:noWrap/>
            <w:vAlign w:val="center"/>
          </w:tcPr>
          <w:p w14:paraId="0133CC89" w14:textId="1DBFE87C" w:rsidR="00F25310" w:rsidRPr="00F25310" w:rsidRDefault="00F25310" w:rsidP="00F25310">
            <w:pPr>
              <w:jc w:val="center"/>
              <w:rPr>
                <w:rFonts w:ascii="Times New Roman" w:eastAsia="Times New Roman" w:hAnsi="Times New Roman" w:cs="Times New Roman"/>
                <w:color w:val="000000"/>
                <w:sz w:val="20"/>
                <w:szCs w:val="20"/>
                <w:lang w:eastAsia="pt-BR"/>
              </w:rPr>
            </w:pPr>
            <w:r w:rsidRPr="00F25310">
              <w:rPr>
                <w:rFonts w:ascii="Times New Roman" w:hAnsi="Times New Roman" w:cs="Times New Roman"/>
                <w:sz w:val="20"/>
                <w:szCs w:val="20"/>
              </w:rPr>
              <w:t>0.0</w:t>
            </w:r>
            <w:r w:rsidRPr="00F25310">
              <w:rPr>
                <w:rFonts w:ascii="Times New Roman" w:hAnsi="Times New Roman" w:cs="Times New Roman"/>
                <w:sz w:val="20"/>
                <w:szCs w:val="20"/>
              </w:rPr>
              <w:t>6</w:t>
            </w:r>
          </w:p>
        </w:tc>
      </w:tr>
      <w:tr w:rsidR="00F25310" w:rsidRPr="00152DAE" w14:paraId="50E87445" w14:textId="77777777" w:rsidTr="00F25310">
        <w:trPr>
          <w:trHeight w:val="320"/>
        </w:trPr>
        <w:tc>
          <w:tcPr>
            <w:tcW w:w="3360" w:type="dxa"/>
            <w:noWrap/>
            <w:vAlign w:val="center"/>
          </w:tcPr>
          <w:p w14:paraId="5A0B652E" w14:textId="3D0B680E" w:rsidR="00F25310" w:rsidRPr="00F25310" w:rsidRDefault="00F25310" w:rsidP="00F25310">
            <w:pPr>
              <w:rPr>
                <w:rFonts w:ascii="Times New Roman" w:eastAsia="Times New Roman" w:hAnsi="Times New Roman" w:cs="Times New Roman"/>
                <w:color w:val="000000"/>
                <w:sz w:val="20"/>
                <w:szCs w:val="20"/>
                <w:lang w:eastAsia="pt-BR"/>
              </w:rPr>
            </w:pPr>
            <w:proofErr w:type="spellStart"/>
            <w:r w:rsidRPr="00F25310">
              <w:rPr>
                <w:rFonts w:ascii="Times New Roman" w:eastAsia="Times New Roman" w:hAnsi="Times New Roman" w:cs="Times New Roman"/>
                <w:color w:val="000000"/>
                <w:sz w:val="20"/>
                <w:szCs w:val="20"/>
                <w:lang w:eastAsia="pt-BR"/>
              </w:rPr>
              <w:t>Liver</w:t>
            </w:r>
            <w:proofErr w:type="spellEnd"/>
            <w:r w:rsidRPr="00F25310">
              <w:rPr>
                <w:rFonts w:ascii="Times New Roman" w:eastAsia="Times New Roman" w:hAnsi="Times New Roman" w:cs="Times New Roman"/>
                <w:color w:val="000000"/>
                <w:sz w:val="20"/>
                <w:szCs w:val="20"/>
                <w:lang w:eastAsia="pt-BR"/>
              </w:rPr>
              <w:t xml:space="preserve"> </w:t>
            </w:r>
            <w:proofErr w:type="spellStart"/>
            <w:r w:rsidRPr="00F25310">
              <w:rPr>
                <w:rFonts w:ascii="Times New Roman" w:eastAsia="Times New Roman" w:hAnsi="Times New Roman" w:cs="Times New Roman"/>
                <w:color w:val="000000"/>
                <w:sz w:val="20"/>
                <w:szCs w:val="20"/>
                <w:lang w:eastAsia="pt-BR"/>
              </w:rPr>
              <w:t>fat</w:t>
            </w:r>
            <w:proofErr w:type="spellEnd"/>
            <w:r>
              <w:rPr>
                <w:rFonts w:ascii="Times New Roman" w:eastAsia="Times New Roman" w:hAnsi="Times New Roman" w:cs="Times New Roman"/>
                <w:color w:val="000000"/>
                <w:sz w:val="20"/>
                <w:szCs w:val="20"/>
                <w:lang w:eastAsia="pt-BR"/>
              </w:rPr>
              <w:t xml:space="preserve"> (%)</w:t>
            </w:r>
          </w:p>
        </w:tc>
        <w:tc>
          <w:tcPr>
            <w:tcW w:w="1300" w:type="dxa"/>
            <w:noWrap/>
            <w:vAlign w:val="center"/>
          </w:tcPr>
          <w:p w14:paraId="02357AF1" w14:textId="0EE195CF" w:rsidR="00F25310" w:rsidRPr="00F25310" w:rsidRDefault="00F25310" w:rsidP="00F25310">
            <w:pPr>
              <w:jc w:val="center"/>
              <w:rPr>
                <w:rFonts w:ascii="Times New Roman" w:hAnsi="Times New Roman" w:cs="Times New Roman"/>
                <w:sz w:val="20"/>
                <w:szCs w:val="20"/>
              </w:rPr>
            </w:pPr>
            <w:r w:rsidRPr="00F25310">
              <w:rPr>
                <w:rFonts w:ascii="Times New Roman" w:hAnsi="Times New Roman" w:cs="Times New Roman"/>
                <w:sz w:val="20"/>
                <w:szCs w:val="20"/>
              </w:rPr>
              <w:t>2.6750</w:t>
            </w:r>
          </w:p>
        </w:tc>
        <w:tc>
          <w:tcPr>
            <w:tcW w:w="1300" w:type="dxa"/>
            <w:noWrap/>
            <w:vAlign w:val="center"/>
          </w:tcPr>
          <w:p w14:paraId="58BA323C" w14:textId="7F3CF219" w:rsidR="00F25310" w:rsidRPr="00F25310" w:rsidRDefault="00F25310" w:rsidP="00F25310">
            <w:pPr>
              <w:jc w:val="center"/>
              <w:rPr>
                <w:rFonts w:ascii="Times New Roman" w:hAnsi="Times New Roman" w:cs="Times New Roman"/>
                <w:sz w:val="20"/>
                <w:szCs w:val="20"/>
              </w:rPr>
            </w:pPr>
            <w:r w:rsidRPr="00F25310">
              <w:rPr>
                <w:rFonts w:ascii="Times New Roman" w:hAnsi="Times New Roman" w:cs="Times New Roman"/>
                <w:sz w:val="20"/>
                <w:szCs w:val="20"/>
              </w:rPr>
              <w:t>3.1878</w:t>
            </w:r>
          </w:p>
        </w:tc>
        <w:tc>
          <w:tcPr>
            <w:tcW w:w="1480" w:type="dxa"/>
            <w:noWrap/>
            <w:vAlign w:val="center"/>
          </w:tcPr>
          <w:p w14:paraId="7A261AF6" w14:textId="6020A95C" w:rsidR="00F25310" w:rsidRPr="00F25310" w:rsidRDefault="00F25310" w:rsidP="00F25310">
            <w:pPr>
              <w:jc w:val="center"/>
              <w:rPr>
                <w:rFonts w:ascii="Times New Roman" w:hAnsi="Times New Roman" w:cs="Times New Roman"/>
                <w:sz w:val="20"/>
                <w:szCs w:val="20"/>
              </w:rPr>
            </w:pPr>
            <w:r w:rsidRPr="00F25310">
              <w:rPr>
                <w:rFonts w:ascii="Times New Roman" w:hAnsi="Times New Roman" w:cs="Times New Roman"/>
                <w:sz w:val="20"/>
                <w:szCs w:val="20"/>
              </w:rPr>
              <w:t>0.6520</w:t>
            </w:r>
          </w:p>
        </w:tc>
        <w:tc>
          <w:tcPr>
            <w:tcW w:w="1300" w:type="dxa"/>
            <w:noWrap/>
            <w:vAlign w:val="center"/>
          </w:tcPr>
          <w:p w14:paraId="22E5472E" w14:textId="3422BD0F" w:rsidR="00F25310" w:rsidRPr="00F25310" w:rsidRDefault="00F25310" w:rsidP="00F25310">
            <w:pPr>
              <w:jc w:val="center"/>
              <w:rPr>
                <w:rFonts w:ascii="Times New Roman" w:hAnsi="Times New Roman" w:cs="Times New Roman"/>
                <w:sz w:val="20"/>
                <w:szCs w:val="20"/>
              </w:rPr>
            </w:pPr>
            <w:r w:rsidRPr="00F25310">
              <w:rPr>
                <w:rFonts w:ascii="Times New Roman" w:hAnsi="Times New Roman" w:cs="Times New Roman"/>
                <w:sz w:val="20"/>
                <w:szCs w:val="20"/>
              </w:rPr>
              <w:t>0.4</w:t>
            </w:r>
            <w:r w:rsidR="00141470">
              <w:rPr>
                <w:rFonts w:ascii="Times New Roman" w:hAnsi="Times New Roman" w:cs="Times New Roman"/>
                <w:sz w:val="20"/>
                <w:szCs w:val="20"/>
              </w:rPr>
              <w:t>4</w:t>
            </w:r>
          </w:p>
        </w:tc>
      </w:tr>
      <w:tr w:rsidR="00F25310" w:rsidRPr="00152DAE" w14:paraId="520F3C94" w14:textId="77777777" w:rsidTr="00762C8E">
        <w:trPr>
          <w:trHeight w:val="320"/>
        </w:trPr>
        <w:tc>
          <w:tcPr>
            <w:tcW w:w="3360" w:type="dxa"/>
            <w:noWrap/>
            <w:vAlign w:val="bottom"/>
            <w:hideMark/>
          </w:tcPr>
          <w:p w14:paraId="38C8D317" w14:textId="77777777" w:rsidR="00F25310" w:rsidRPr="00152DAE" w:rsidRDefault="00F25310" w:rsidP="00F25310">
            <w:pP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Total SFA (%)</w:t>
            </w:r>
          </w:p>
        </w:tc>
        <w:tc>
          <w:tcPr>
            <w:tcW w:w="1300" w:type="dxa"/>
            <w:noWrap/>
            <w:vAlign w:val="bottom"/>
            <w:hideMark/>
          </w:tcPr>
          <w:p w14:paraId="0B56DFB7" w14:textId="77777777" w:rsidR="00F25310" w:rsidRPr="00152DAE" w:rsidRDefault="00F25310" w:rsidP="00F25310">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46.69</w:t>
            </w:r>
          </w:p>
        </w:tc>
        <w:tc>
          <w:tcPr>
            <w:tcW w:w="1300" w:type="dxa"/>
            <w:noWrap/>
            <w:vAlign w:val="bottom"/>
            <w:hideMark/>
          </w:tcPr>
          <w:p w14:paraId="1ED13877" w14:textId="77777777" w:rsidR="00F25310" w:rsidRPr="00152DAE" w:rsidRDefault="00F25310" w:rsidP="00F25310">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45.24</w:t>
            </w:r>
          </w:p>
        </w:tc>
        <w:tc>
          <w:tcPr>
            <w:tcW w:w="1480" w:type="dxa"/>
            <w:noWrap/>
            <w:vAlign w:val="bottom"/>
            <w:hideMark/>
          </w:tcPr>
          <w:p w14:paraId="5B6FDD8F" w14:textId="77777777" w:rsidR="00F25310" w:rsidRPr="00152DAE" w:rsidRDefault="00F25310" w:rsidP="00F25310">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1.03</w:t>
            </w:r>
          </w:p>
        </w:tc>
        <w:tc>
          <w:tcPr>
            <w:tcW w:w="1300" w:type="dxa"/>
            <w:noWrap/>
            <w:vAlign w:val="bottom"/>
            <w:hideMark/>
          </w:tcPr>
          <w:p w14:paraId="6D9396DB" w14:textId="77777777" w:rsidR="00F25310" w:rsidRPr="00152DAE" w:rsidRDefault="00F25310" w:rsidP="00F25310">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0.31</w:t>
            </w:r>
          </w:p>
        </w:tc>
      </w:tr>
      <w:tr w:rsidR="00F25310" w:rsidRPr="00152DAE" w14:paraId="28155DA8" w14:textId="77777777" w:rsidTr="00762C8E">
        <w:trPr>
          <w:trHeight w:val="320"/>
        </w:trPr>
        <w:tc>
          <w:tcPr>
            <w:tcW w:w="3360" w:type="dxa"/>
            <w:noWrap/>
            <w:vAlign w:val="bottom"/>
            <w:hideMark/>
          </w:tcPr>
          <w:p w14:paraId="2D93DEB2" w14:textId="77777777" w:rsidR="00F25310" w:rsidRPr="00152DAE" w:rsidRDefault="00F25310" w:rsidP="00F25310">
            <w:pP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Total MUFA (%)</w:t>
            </w:r>
          </w:p>
        </w:tc>
        <w:tc>
          <w:tcPr>
            <w:tcW w:w="1300" w:type="dxa"/>
            <w:noWrap/>
            <w:vAlign w:val="bottom"/>
            <w:hideMark/>
          </w:tcPr>
          <w:p w14:paraId="1CD31FD8" w14:textId="77777777" w:rsidR="00F25310" w:rsidRPr="00152DAE" w:rsidRDefault="00F25310" w:rsidP="00F25310">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22.01a</w:t>
            </w:r>
          </w:p>
        </w:tc>
        <w:tc>
          <w:tcPr>
            <w:tcW w:w="1300" w:type="dxa"/>
            <w:noWrap/>
            <w:vAlign w:val="bottom"/>
            <w:hideMark/>
          </w:tcPr>
          <w:p w14:paraId="6A795864" w14:textId="77777777" w:rsidR="00F25310" w:rsidRPr="00152DAE" w:rsidRDefault="00F25310" w:rsidP="00F25310">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28.78b</w:t>
            </w:r>
          </w:p>
        </w:tc>
        <w:tc>
          <w:tcPr>
            <w:tcW w:w="1480" w:type="dxa"/>
            <w:noWrap/>
            <w:vAlign w:val="bottom"/>
            <w:hideMark/>
          </w:tcPr>
          <w:p w14:paraId="4C40D3A3" w14:textId="77777777" w:rsidR="00F25310" w:rsidRPr="00152DAE" w:rsidRDefault="00F25310" w:rsidP="00F25310">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1.04</w:t>
            </w:r>
          </w:p>
        </w:tc>
        <w:tc>
          <w:tcPr>
            <w:tcW w:w="1300" w:type="dxa"/>
            <w:noWrap/>
            <w:vAlign w:val="bottom"/>
            <w:hideMark/>
          </w:tcPr>
          <w:p w14:paraId="6E03EFDA" w14:textId="77777777" w:rsidR="00F25310" w:rsidRPr="00152DAE" w:rsidRDefault="00F25310" w:rsidP="00F25310">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&lt;0.01</w:t>
            </w:r>
          </w:p>
        </w:tc>
      </w:tr>
      <w:tr w:rsidR="00F25310" w:rsidRPr="00152DAE" w14:paraId="75FDC285" w14:textId="77777777" w:rsidTr="00762C8E">
        <w:trPr>
          <w:trHeight w:val="320"/>
        </w:trPr>
        <w:tc>
          <w:tcPr>
            <w:tcW w:w="3360" w:type="dxa"/>
            <w:noWrap/>
            <w:vAlign w:val="bottom"/>
            <w:hideMark/>
          </w:tcPr>
          <w:p w14:paraId="56B6B964" w14:textId="77777777" w:rsidR="00F25310" w:rsidRPr="00152DAE" w:rsidRDefault="00F25310" w:rsidP="00F25310">
            <w:pPr>
              <w:rPr>
                <w:rFonts w:ascii="Times New Roman" w:eastAsia="Times New Roman" w:hAnsi="Times New Roman" w:cs="Times New Roman"/>
                <w:color w:val="000000"/>
                <w:sz w:val="20"/>
                <w:szCs w:val="20"/>
                <w:lang w:val="en-US" w:eastAsia="pt-BR"/>
              </w:rPr>
            </w:pPr>
            <w:r w:rsidRPr="00152DAE">
              <w:rPr>
                <w:rFonts w:ascii="Times New Roman" w:eastAsia="Times New Roman" w:hAnsi="Times New Roman" w:cs="Times New Roman"/>
                <w:color w:val="000000"/>
                <w:sz w:val="20"/>
                <w:szCs w:val="20"/>
                <w:lang w:eastAsia="pt-BR"/>
              </w:rPr>
              <w:t>Total PUFA (%)</w:t>
            </w:r>
          </w:p>
        </w:tc>
        <w:tc>
          <w:tcPr>
            <w:tcW w:w="1300" w:type="dxa"/>
            <w:noWrap/>
            <w:vAlign w:val="bottom"/>
            <w:hideMark/>
          </w:tcPr>
          <w:p w14:paraId="3AF3167B" w14:textId="77777777" w:rsidR="00F25310" w:rsidRPr="00152DAE" w:rsidRDefault="00F25310" w:rsidP="00F25310">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30.79a</w:t>
            </w:r>
          </w:p>
        </w:tc>
        <w:tc>
          <w:tcPr>
            <w:tcW w:w="1300" w:type="dxa"/>
            <w:noWrap/>
            <w:vAlign w:val="bottom"/>
            <w:hideMark/>
          </w:tcPr>
          <w:p w14:paraId="1AB24EC4" w14:textId="77777777" w:rsidR="00F25310" w:rsidRPr="00152DAE" w:rsidRDefault="00F25310" w:rsidP="00F25310">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26.06b</w:t>
            </w:r>
          </w:p>
        </w:tc>
        <w:tc>
          <w:tcPr>
            <w:tcW w:w="1480" w:type="dxa"/>
            <w:noWrap/>
            <w:vAlign w:val="bottom"/>
            <w:hideMark/>
          </w:tcPr>
          <w:p w14:paraId="45848620" w14:textId="77777777" w:rsidR="00F25310" w:rsidRPr="00152DAE" w:rsidRDefault="00F25310" w:rsidP="00F25310">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0.55</w:t>
            </w:r>
          </w:p>
        </w:tc>
        <w:tc>
          <w:tcPr>
            <w:tcW w:w="1300" w:type="dxa"/>
            <w:noWrap/>
            <w:vAlign w:val="bottom"/>
            <w:hideMark/>
          </w:tcPr>
          <w:p w14:paraId="081A5A10" w14:textId="77777777" w:rsidR="00F25310" w:rsidRPr="00152DAE" w:rsidRDefault="00F25310" w:rsidP="00F25310">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&lt;0.01</w:t>
            </w:r>
          </w:p>
        </w:tc>
      </w:tr>
      <w:tr w:rsidR="00F25310" w:rsidRPr="00152DAE" w14:paraId="4261E7B7" w14:textId="77777777" w:rsidTr="00762C8E">
        <w:trPr>
          <w:trHeight w:val="320"/>
        </w:trPr>
        <w:tc>
          <w:tcPr>
            <w:tcW w:w="3360" w:type="dxa"/>
            <w:noWrap/>
            <w:vAlign w:val="bottom"/>
            <w:hideMark/>
          </w:tcPr>
          <w:p w14:paraId="231C56B0" w14:textId="77777777" w:rsidR="00F25310" w:rsidRPr="00152DAE" w:rsidRDefault="00F25310" w:rsidP="00F25310">
            <w:pPr>
              <w:rPr>
                <w:rFonts w:ascii="Times New Roman" w:eastAsia="Times New Roman" w:hAnsi="Times New Roman" w:cs="Times New Roman"/>
                <w:color w:val="000000"/>
                <w:sz w:val="20"/>
                <w:szCs w:val="20"/>
                <w:lang w:val="en-US" w:eastAsia="pt-BR"/>
              </w:rPr>
            </w:pPr>
            <w:r w:rsidRPr="00152DAE">
              <w:rPr>
                <w:rFonts w:ascii="Times New Roman" w:eastAsia="Times New Roman" w:hAnsi="Times New Roman" w:cs="Times New Roman"/>
                <w:color w:val="000000"/>
                <w:sz w:val="20"/>
                <w:szCs w:val="20"/>
                <w:lang w:eastAsia="pt-BR"/>
              </w:rPr>
              <w:t>Total n-3 PUFA (%)</w:t>
            </w:r>
            <w:r w:rsidRPr="00152DAE">
              <w:rPr>
                <w:rFonts w:ascii="Times New Roman" w:eastAsia="Times New Roman" w:hAnsi="Times New Roman" w:cs="Times New Roman"/>
                <w:color w:val="000000"/>
                <w:sz w:val="20"/>
                <w:szCs w:val="20"/>
                <w:vertAlign w:val="superscript"/>
                <w:lang w:val="en-US" w:eastAsia="pt-BR"/>
              </w:rPr>
              <w:t>2</w:t>
            </w:r>
          </w:p>
        </w:tc>
        <w:tc>
          <w:tcPr>
            <w:tcW w:w="1300" w:type="dxa"/>
            <w:noWrap/>
            <w:vAlign w:val="bottom"/>
            <w:hideMark/>
          </w:tcPr>
          <w:p w14:paraId="113666D9" w14:textId="77777777" w:rsidR="00F25310" w:rsidRPr="00152DAE" w:rsidRDefault="00F25310" w:rsidP="00F25310">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3.75a</w:t>
            </w:r>
          </w:p>
        </w:tc>
        <w:tc>
          <w:tcPr>
            <w:tcW w:w="1300" w:type="dxa"/>
            <w:noWrap/>
            <w:vAlign w:val="bottom"/>
            <w:hideMark/>
          </w:tcPr>
          <w:p w14:paraId="6F143C31" w14:textId="77777777" w:rsidR="00F25310" w:rsidRPr="00152DAE" w:rsidRDefault="00F25310" w:rsidP="00F25310">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2.42b</w:t>
            </w:r>
          </w:p>
        </w:tc>
        <w:tc>
          <w:tcPr>
            <w:tcW w:w="1480" w:type="dxa"/>
            <w:noWrap/>
            <w:vAlign w:val="bottom"/>
            <w:hideMark/>
          </w:tcPr>
          <w:p w14:paraId="765607D4" w14:textId="77777777" w:rsidR="00F25310" w:rsidRPr="00152DAE" w:rsidRDefault="00F25310" w:rsidP="00F25310">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0.37</w:t>
            </w:r>
          </w:p>
        </w:tc>
        <w:tc>
          <w:tcPr>
            <w:tcW w:w="1300" w:type="dxa"/>
            <w:noWrap/>
            <w:vAlign w:val="bottom"/>
            <w:hideMark/>
          </w:tcPr>
          <w:p w14:paraId="5D773CBC" w14:textId="77777777" w:rsidR="00F25310" w:rsidRPr="00152DAE" w:rsidRDefault="00F25310" w:rsidP="00F25310">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&lt;0.01</w:t>
            </w:r>
          </w:p>
        </w:tc>
      </w:tr>
      <w:tr w:rsidR="00F25310" w:rsidRPr="00152DAE" w14:paraId="29A42A26" w14:textId="77777777" w:rsidTr="00762C8E">
        <w:trPr>
          <w:trHeight w:val="320"/>
        </w:trPr>
        <w:tc>
          <w:tcPr>
            <w:tcW w:w="3360" w:type="dxa"/>
            <w:noWrap/>
            <w:vAlign w:val="bottom"/>
            <w:hideMark/>
          </w:tcPr>
          <w:p w14:paraId="41033524" w14:textId="77777777" w:rsidR="00F25310" w:rsidRPr="00152DAE" w:rsidRDefault="00F25310" w:rsidP="00F25310">
            <w:pPr>
              <w:rPr>
                <w:rFonts w:ascii="Times New Roman" w:eastAsia="Times New Roman" w:hAnsi="Times New Roman" w:cs="Times New Roman"/>
                <w:color w:val="000000"/>
                <w:sz w:val="20"/>
                <w:szCs w:val="20"/>
                <w:lang w:val="en-US" w:eastAsia="pt-BR"/>
              </w:rPr>
            </w:pPr>
            <w:r w:rsidRPr="00152DAE">
              <w:rPr>
                <w:rFonts w:ascii="Times New Roman" w:eastAsia="Times New Roman" w:hAnsi="Times New Roman" w:cs="Times New Roman"/>
                <w:color w:val="000000"/>
                <w:sz w:val="20"/>
                <w:szCs w:val="20"/>
                <w:lang w:eastAsia="pt-BR"/>
              </w:rPr>
              <w:t>Total n-6 PUFA (%)</w:t>
            </w:r>
            <w:r w:rsidRPr="00152DAE">
              <w:rPr>
                <w:rFonts w:ascii="Times New Roman" w:eastAsia="Times New Roman" w:hAnsi="Times New Roman" w:cs="Times New Roman"/>
                <w:color w:val="000000"/>
                <w:sz w:val="20"/>
                <w:szCs w:val="20"/>
                <w:vertAlign w:val="superscript"/>
                <w:lang w:val="en-US" w:eastAsia="pt-BR"/>
              </w:rPr>
              <w:t>3</w:t>
            </w:r>
          </w:p>
        </w:tc>
        <w:tc>
          <w:tcPr>
            <w:tcW w:w="1300" w:type="dxa"/>
            <w:noWrap/>
            <w:vAlign w:val="bottom"/>
            <w:hideMark/>
          </w:tcPr>
          <w:p w14:paraId="331A81DE" w14:textId="77777777" w:rsidR="00F25310" w:rsidRPr="00152DAE" w:rsidRDefault="00F25310" w:rsidP="00F25310">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27.02a</w:t>
            </w:r>
          </w:p>
        </w:tc>
        <w:tc>
          <w:tcPr>
            <w:tcW w:w="1300" w:type="dxa"/>
            <w:noWrap/>
            <w:vAlign w:val="bottom"/>
            <w:hideMark/>
          </w:tcPr>
          <w:p w14:paraId="1AF4E8AF" w14:textId="77777777" w:rsidR="00F25310" w:rsidRPr="00152DAE" w:rsidRDefault="00F25310" w:rsidP="00F25310">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23.64b</w:t>
            </w:r>
          </w:p>
        </w:tc>
        <w:tc>
          <w:tcPr>
            <w:tcW w:w="1480" w:type="dxa"/>
            <w:noWrap/>
            <w:vAlign w:val="bottom"/>
            <w:hideMark/>
          </w:tcPr>
          <w:p w14:paraId="408F3C8B" w14:textId="77777777" w:rsidR="00F25310" w:rsidRPr="00152DAE" w:rsidRDefault="00F25310" w:rsidP="00F25310">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0.67</w:t>
            </w:r>
          </w:p>
        </w:tc>
        <w:tc>
          <w:tcPr>
            <w:tcW w:w="1300" w:type="dxa"/>
            <w:noWrap/>
            <w:vAlign w:val="bottom"/>
            <w:hideMark/>
          </w:tcPr>
          <w:p w14:paraId="52127876" w14:textId="77777777" w:rsidR="00F25310" w:rsidRPr="00152DAE" w:rsidRDefault="00F25310" w:rsidP="00F25310">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&lt;0.01</w:t>
            </w:r>
          </w:p>
        </w:tc>
      </w:tr>
      <w:tr w:rsidR="00F25310" w:rsidRPr="00152DAE" w14:paraId="65AFBD40" w14:textId="77777777" w:rsidTr="00762C8E">
        <w:trPr>
          <w:trHeight w:val="320"/>
        </w:trPr>
        <w:tc>
          <w:tcPr>
            <w:tcW w:w="3360" w:type="dxa"/>
            <w:noWrap/>
            <w:vAlign w:val="bottom"/>
            <w:hideMark/>
          </w:tcPr>
          <w:p w14:paraId="19F1C122" w14:textId="77777777" w:rsidR="00F25310" w:rsidRPr="00152DAE" w:rsidRDefault="00F25310" w:rsidP="00F25310">
            <w:pPr>
              <w:rPr>
                <w:rFonts w:ascii="Times New Roman" w:eastAsia="Times New Roman" w:hAnsi="Times New Roman" w:cs="Times New Roman"/>
                <w:color w:val="000000"/>
                <w:sz w:val="20"/>
                <w:szCs w:val="20"/>
                <w:lang w:val="en-US" w:eastAsia="pt-BR"/>
              </w:rPr>
            </w:pPr>
            <w:r w:rsidRPr="00152DAE">
              <w:rPr>
                <w:rFonts w:ascii="Times New Roman" w:eastAsia="Times New Roman" w:hAnsi="Times New Roman" w:cs="Times New Roman"/>
                <w:color w:val="000000"/>
                <w:sz w:val="20"/>
                <w:szCs w:val="20"/>
                <w:lang w:eastAsia="pt-BR"/>
              </w:rPr>
              <w:t xml:space="preserve">PUFA:SFA </w:t>
            </w:r>
            <w:proofErr w:type="spellStart"/>
            <w:r w:rsidRPr="00152DAE">
              <w:rPr>
                <w:rFonts w:ascii="Times New Roman" w:eastAsia="Times New Roman" w:hAnsi="Times New Roman" w:cs="Times New Roman"/>
                <w:color w:val="000000"/>
                <w:sz w:val="20"/>
                <w:szCs w:val="20"/>
                <w:lang w:eastAsia="pt-BR"/>
              </w:rPr>
              <w:t>ratio</w:t>
            </w:r>
            <w:proofErr w:type="spellEnd"/>
            <w:r w:rsidRPr="00152DAE">
              <w:rPr>
                <w:rFonts w:ascii="Times New Roman" w:eastAsia="Times New Roman" w:hAnsi="Times New Roman" w:cs="Times New Roman"/>
                <w:color w:val="000000"/>
                <w:sz w:val="20"/>
                <w:szCs w:val="20"/>
                <w:lang w:eastAsia="pt-BR"/>
              </w:rPr>
              <w:t xml:space="preserve"> (%)</w:t>
            </w:r>
            <w:r w:rsidRPr="00152DAE">
              <w:rPr>
                <w:rFonts w:ascii="Times New Roman" w:eastAsia="Times New Roman" w:hAnsi="Times New Roman" w:cs="Times New Roman"/>
                <w:color w:val="000000"/>
                <w:sz w:val="20"/>
                <w:szCs w:val="20"/>
                <w:vertAlign w:val="superscript"/>
                <w:lang w:val="en-US" w:eastAsia="pt-BR"/>
              </w:rPr>
              <w:t>4</w:t>
            </w:r>
          </w:p>
        </w:tc>
        <w:tc>
          <w:tcPr>
            <w:tcW w:w="1300" w:type="dxa"/>
            <w:noWrap/>
            <w:vAlign w:val="bottom"/>
            <w:hideMark/>
          </w:tcPr>
          <w:p w14:paraId="6A8AFA35" w14:textId="77777777" w:rsidR="00F25310" w:rsidRPr="00152DAE" w:rsidRDefault="00F25310" w:rsidP="00F25310">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0.67a</w:t>
            </w:r>
          </w:p>
        </w:tc>
        <w:tc>
          <w:tcPr>
            <w:tcW w:w="1300" w:type="dxa"/>
            <w:noWrap/>
            <w:vAlign w:val="bottom"/>
            <w:hideMark/>
          </w:tcPr>
          <w:p w14:paraId="70ADC0AE" w14:textId="77777777" w:rsidR="00F25310" w:rsidRPr="00152DAE" w:rsidRDefault="00F25310" w:rsidP="00F25310">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0.58b</w:t>
            </w:r>
          </w:p>
        </w:tc>
        <w:tc>
          <w:tcPr>
            <w:tcW w:w="1480" w:type="dxa"/>
            <w:noWrap/>
            <w:vAlign w:val="bottom"/>
            <w:hideMark/>
          </w:tcPr>
          <w:p w14:paraId="54C5D5F6" w14:textId="77777777" w:rsidR="00F25310" w:rsidRPr="00152DAE" w:rsidRDefault="00F25310" w:rsidP="00F25310">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0.02</w:t>
            </w:r>
          </w:p>
        </w:tc>
        <w:tc>
          <w:tcPr>
            <w:tcW w:w="1300" w:type="dxa"/>
            <w:noWrap/>
            <w:vAlign w:val="bottom"/>
            <w:hideMark/>
          </w:tcPr>
          <w:p w14:paraId="44AE16DC" w14:textId="77777777" w:rsidR="00F25310" w:rsidRPr="00152DAE" w:rsidRDefault="00F25310" w:rsidP="00F25310">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&lt;0.01</w:t>
            </w:r>
          </w:p>
        </w:tc>
      </w:tr>
      <w:tr w:rsidR="00F25310" w:rsidRPr="00152DAE" w14:paraId="06165C24" w14:textId="77777777" w:rsidTr="00762C8E">
        <w:trPr>
          <w:trHeight w:val="320"/>
        </w:trPr>
        <w:tc>
          <w:tcPr>
            <w:tcW w:w="3360" w:type="dxa"/>
            <w:noWrap/>
            <w:vAlign w:val="bottom"/>
            <w:hideMark/>
          </w:tcPr>
          <w:p w14:paraId="21FC3D75" w14:textId="77777777" w:rsidR="00F25310" w:rsidRPr="00152DAE" w:rsidRDefault="00F25310" w:rsidP="00F25310">
            <w:pPr>
              <w:rPr>
                <w:rFonts w:ascii="Times New Roman" w:eastAsia="Times New Roman" w:hAnsi="Times New Roman" w:cs="Times New Roman"/>
                <w:color w:val="000000"/>
                <w:sz w:val="20"/>
                <w:szCs w:val="20"/>
                <w:lang w:val="en-US" w:eastAsia="pt-BR"/>
              </w:rPr>
            </w:pPr>
            <w:r w:rsidRPr="00152DAE">
              <w:rPr>
                <w:rFonts w:ascii="Times New Roman" w:eastAsia="Times New Roman" w:hAnsi="Times New Roman" w:cs="Times New Roman"/>
                <w:color w:val="000000"/>
                <w:sz w:val="20"/>
                <w:szCs w:val="20"/>
                <w:lang w:eastAsia="pt-BR"/>
              </w:rPr>
              <w:t xml:space="preserve">n-6:n-3 PUFA </w:t>
            </w:r>
            <w:proofErr w:type="spellStart"/>
            <w:r w:rsidRPr="00152DAE">
              <w:rPr>
                <w:rFonts w:ascii="Times New Roman" w:eastAsia="Times New Roman" w:hAnsi="Times New Roman" w:cs="Times New Roman"/>
                <w:color w:val="000000"/>
                <w:sz w:val="20"/>
                <w:szCs w:val="20"/>
                <w:lang w:eastAsia="pt-BR"/>
              </w:rPr>
              <w:t>ratio</w:t>
            </w:r>
            <w:proofErr w:type="spellEnd"/>
            <w:r w:rsidRPr="00152DAE">
              <w:rPr>
                <w:rFonts w:ascii="Times New Roman" w:eastAsia="Times New Roman" w:hAnsi="Times New Roman" w:cs="Times New Roman"/>
                <w:color w:val="000000"/>
                <w:sz w:val="20"/>
                <w:szCs w:val="20"/>
                <w:vertAlign w:val="superscript"/>
                <w:lang w:val="en-US" w:eastAsia="pt-BR"/>
              </w:rPr>
              <w:t>5</w:t>
            </w:r>
          </w:p>
        </w:tc>
        <w:tc>
          <w:tcPr>
            <w:tcW w:w="1300" w:type="dxa"/>
            <w:noWrap/>
            <w:vAlign w:val="bottom"/>
            <w:hideMark/>
          </w:tcPr>
          <w:p w14:paraId="64CE78FC" w14:textId="77777777" w:rsidR="00F25310" w:rsidRPr="00152DAE" w:rsidRDefault="00F25310" w:rsidP="00F25310">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8.51a</w:t>
            </w:r>
          </w:p>
        </w:tc>
        <w:tc>
          <w:tcPr>
            <w:tcW w:w="1300" w:type="dxa"/>
            <w:noWrap/>
            <w:vAlign w:val="bottom"/>
            <w:hideMark/>
          </w:tcPr>
          <w:p w14:paraId="60044053" w14:textId="77777777" w:rsidR="00F25310" w:rsidRPr="00152DAE" w:rsidRDefault="00F25310" w:rsidP="00F25310">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9.9b</w:t>
            </w:r>
          </w:p>
        </w:tc>
        <w:tc>
          <w:tcPr>
            <w:tcW w:w="1480" w:type="dxa"/>
            <w:noWrap/>
            <w:vAlign w:val="bottom"/>
            <w:hideMark/>
          </w:tcPr>
          <w:p w14:paraId="1E2495C2" w14:textId="77777777" w:rsidR="00F25310" w:rsidRPr="00152DAE" w:rsidRDefault="00F25310" w:rsidP="00F25310">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0.5</w:t>
            </w:r>
          </w:p>
        </w:tc>
        <w:tc>
          <w:tcPr>
            <w:tcW w:w="1300" w:type="dxa"/>
            <w:noWrap/>
            <w:vAlign w:val="bottom"/>
            <w:hideMark/>
          </w:tcPr>
          <w:p w14:paraId="7C91F2A3" w14:textId="77777777" w:rsidR="00F25310" w:rsidRPr="00152DAE" w:rsidRDefault="00F25310" w:rsidP="00F25310">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&lt;0.05</w:t>
            </w:r>
          </w:p>
        </w:tc>
      </w:tr>
      <w:tr w:rsidR="00F25310" w:rsidRPr="00152DAE" w14:paraId="7487513C" w14:textId="77777777" w:rsidTr="00762C8E">
        <w:trPr>
          <w:trHeight w:val="320"/>
        </w:trPr>
        <w:tc>
          <w:tcPr>
            <w:tcW w:w="3360" w:type="dxa"/>
            <w:tcBorders>
              <w:top w:val="nil"/>
              <w:left w:val="nil"/>
              <w:bottom w:val="single" w:sz="4" w:space="0" w:color="auto"/>
              <w:right w:val="nil"/>
            </w:tcBorders>
            <w:noWrap/>
            <w:vAlign w:val="bottom"/>
            <w:hideMark/>
          </w:tcPr>
          <w:p w14:paraId="22D98D8C" w14:textId="77777777" w:rsidR="00F25310" w:rsidRPr="00152DAE" w:rsidRDefault="00F25310" w:rsidP="00F25310">
            <w:pPr>
              <w:rPr>
                <w:rFonts w:ascii="Times New Roman" w:eastAsia="Times New Roman" w:hAnsi="Times New Roman" w:cs="Times New Roman"/>
                <w:color w:val="000000"/>
                <w:sz w:val="20"/>
                <w:szCs w:val="20"/>
                <w:lang w:val="en-US" w:eastAsia="pt-BR"/>
              </w:rPr>
            </w:pPr>
            <w:proofErr w:type="spellStart"/>
            <w:r w:rsidRPr="00152DAE">
              <w:rPr>
                <w:rFonts w:ascii="Times New Roman" w:eastAsia="Times New Roman" w:hAnsi="Times New Roman" w:cs="Times New Roman"/>
                <w:color w:val="000000"/>
                <w:sz w:val="20"/>
                <w:szCs w:val="20"/>
                <w:lang w:eastAsia="pt-BR"/>
              </w:rPr>
              <w:t>Atherogenic</w:t>
            </w:r>
            <w:proofErr w:type="spellEnd"/>
            <w:r w:rsidRPr="00152DAE">
              <w:rPr>
                <w:rFonts w:ascii="Times New Roman" w:eastAsia="Times New Roman" w:hAnsi="Times New Roman" w:cs="Times New Roman"/>
                <w:color w:val="000000"/>
                <w:sz w:val="20"/>
                <w:szCs w:val="20"/>
                <w:lang w:eastAsia="pt-BR"/>
              </w:rPr>
              <w:t xml:space="preserve"> index</w:t>
            </w:r>
            <w:r w:rsidRPr="00152DAE">
              <w:rPr>
                <w:rFonts w:ascii="Times New Roman" w:eastAsia="Times New Roman" w:hAnsi="Times New Roman" w:cs="Times New Roman"/>
                <w:color w:val="000000"/>
                <w:sz w:val="20"/>
                <w:szCs w:val="20"/>
                <w:vertAlign w:val="superscript"/>
                <w:lang w:val="en-US" w:eastAsia="pt-BR"/>
              </w:rPr>
              <w:t>6</w:t>
            </w:r>
          </w:p>
        </w:tc>
        <w:tc>
          <w:tcPr>
            <w:tcW w:w="1300" w:type="dxa"/>
            <w:tcBorders>
              <w:top w:val="nil"/>
              <w:left w:val="nil"/>
              <w:bottom w:val="single" w:sz="4" w:space="0" w:color="auto"/>
              <w:right w:val="nil"/>
            </w:tcBorders>
            <w:noWrap/>
            <w:vAlign w:val="bottom"/>
            <w:hideMark/>
          </w:tcPr>
          <w:p w14:paraId="0F17FDBE" w14:textId="77777777" w:rsidR="00F25310" w:rsidRPr="00152DAE" w:rsidRDefault="00F25310" w:rsidP="00F25310">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0,45a</w:t>
            </w:r>
          </w:p>
        </w:tc>
        <w:tc>
          <w:tcPr>
            <w:tcW w:w="1300" w:type="dxa"/>
            <w:tcBorders>
              <w:top w:val="nil"/>
              <w:left w:val="nil"/>
              <w:bottom w:val="single" w:sz="4" w:space="0" w:color="auto"/>
              <w:right w:val="nil"/>
            </w:tcBorders>
            <w:noWrap/>
            <w:vAlign w:val="bottom"/>
            <w:hideMark/>
          </w:tcPr>
          <w:p w14:paraId="266E193F" w14:textId="77777777" w:rsidR="00F25310" w:rsidRPr="00152DAE" w:rsidRDefault="00F25310" w:rsidP="00F25310">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0.49b</w:t>
            </w:r>
          </w:p>
        </w:tc>
        <w:tc>
          <w:tcPr>
            <w:tcW w:w="1480" w:type="dxa"/>
            <w:tcBorders>
              <w:top w:val="nil"/>
              <w:left w:val="nil"/>
              <w:bottom w:val="single" w:sz="4" w:space="0" w:color="auto"/>
              <w:right w:val="nil"/>
            </w:tcBorders>
            <w:noWrap/>
            <w:vAlign w:val="bottom"/>
            <w:hideMark/>
          </w:tcPr>
          <w:p w14:paraId="68CB5AB4" w14:textId="77777777" w:rsidR="00F25310" w:rsidRPr="00152DAE" w:rsidRDefault="00F25310" w:rsidP="00F25310">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0.18</w:t>
            </w:r>
          </w:p>
        </w:tc>
        <w:tc>
          <w:tcPr>
            <w:tcW w:w="1300" w:type="dxa"/>
            <w:tcBorders>
              <w:top w:val="nil"/>
              <w:left w:val="nil"/>
              <w:bottom w:val="single" w:sz="4" w:space="0" w:color="auto"/>
              <w:right w:val="nil"/>
            </w:tcBorders>
            <w:noWrap/>
            <w:vAlign w:val="bottom"/>
            <w:hideMark/>
          </w:tcPr>
          <w:p w14:paraId="5C639CE8" w14:textId="77777777" w:rsidR="00F25310" w:rsidRPr="00152DAE" w:rsidRDefault="00F25310" w:rsidP="00F25310">
            <w:pPr>
              <w:jc w:val="center"/>
              <w:rPr>
                <w:rFonts w:ascii="Times New Roman" w:eastAsia="Times New Roman" w:hAnsi="Times New Roman" w:cs="Times New Roman"/>
                <w:color w:val="000000"/>
                <w:sz w:val="20"/>
                <w:szCs w:val="20"/>
                <w:lang w:eastAsia="pt-BR"/>
              </w:rPr>
            </w:pPr>
            <w:r w:rsidRPr="00152DAE">
              <w:rPr>
                <w:rFonts w:ascii="Times New Roman" w:eastAsia="Times New Roman" w:hAnsi="Times New Roman" w:cs="Times New Roman"/>
                <w:color w:val="000000"/>
                <w:sz w:val="20"/>
                <w:szCs w:val="20"/>
                <w:lang w:eastAsia="pt-BR"/>
              </w:rPr>
              <w:t>&lt;0.01</w:t>
            </w:r>
          </w:p>
        </w:tc>
      </w:tr>
    </w:tbl>
    <w:p w14:paraId="06446CA7" w14:textId="77777777" w:rsidR="00762C8E" w:rsidRPr="00152DAE" w:rsidRDefault="00762C8E" w:rsidP="00762C8E">
      <w:pPr>
        <w:rPr>
          <w:rFonts w:ascii="Times New Roman" w:hAnsi="Times New Roman" w:cs="Times New Roman"/>
          <w:color w:val="000000" w:themeColor="text1"/>
          <w:sz w:val="20"/>
          <w:szCs w:val="20"/>
          <w:lang w:val="en-US"/>
        </w:rPr>
      </w:pPr>
      <w:r w:rsidRPr="00152DAE">
        <w:rPr>
          <w:rFonts w:ascii="Times New Roman" w:hAnsi="Times New Roman" w:cs="Times New Roman"/>
          <w:sz w:val="20"/>
          <w:szCs w:val="20"/>
          <w:vertAlign w:val="superscript"/>
          <w:lang w:val="en-US"/>
        </w:rPr>
        <w:t>1</w:t>
      </w:r>
      <w:r w:rsidRPr="00152DAE">
        <w:rPr>
          <w:rFonts w:ascii="Times New Roman" w:hAnsi="Times New Roman" w:cs="Times New Roman"/>
          <w:sz w:val="20"/>
          <w:szCs w:val="20"/>
          <w:lang w:val="en-US"/>
        </w:rPr>
        <w:t xml:space="preserve"> SEM = standard error of the least square means.</w:t>
      </w:r>
    </w:p>
    <w:p w14:paraId="0A08EDE8" w14:textId="77777777" w:rsidR="00762C8E" w:rsidRPr="00152DAE" w:rsidRDefault="00762C8E" w:rsidP="00762C8E">
      <w:pPr>
        <w:rPr>
          <w:rFonts w:ascii="Times New Roman" w:hAnsi="Times New Roman" w:cs="Times New Roman"/>
          <w:sz w:val="20"/>
          <w:szCs w:val="20"/>
        </w:rPr>
      </w:pPr>
      <w:r w:rsidRPr="00152DAE">
        <w:rPr>
          <w:rFonts w:ascii="Times New Roman" w:hAnsi="Times New Roman" w:cs="Times New Roman"/>
          <w:sz w:val="20"/>
          <w:szCs w:val="20"/>
          <w:vertAlign w:val="superscript"/>
        </w:rPr>
        <w:t>2</w:t>
      </w:r>
      <w:r w:rsidRPr="00152DAE">
        <w:rPr>
          <w:rFonts w:ascii="Times New Roman" w:hAnsi="Times New Roman" w:cs="Times New Roman"/>
          <w:sz w:val="20"/>
          <w:szCs w:val="20"/>
        </w:rPr>
        <w:t xml:space="preserve"> Total n-3 PUFA = {[C18:3 n-3] + [C20:5 n-3] + [C22:6 n-3]}.</w:t>
      </w:r>
    </w:p>
    <w:p w14:paraId="139B8958" w14:textId="77777777" w:rsidR="00762C8E" w:rsidRPr="00152DAE" w:rsidRDefault="00762C8E" w:rsidP="00762C8E">
      <w:pPr>
        <w:rPr>
          <w:rFonts w:ascii="Times New Roman" w:hAnsi="Times New Roman" w:cs="Times New Roman"/>
          <w:sz w:val="20"/>
          <w:szCs w:val="20"/>
        </w:rPr>
      </w:pPr>
      <w:r w:rsidRPr="00152DAE">
        <w:rPr>
          <w:rFonts w:ascii="Times New Roman" w:hAnsi="Times New Roman" w:cs="Times New Roman"/>
          <w:sz w:val="20"/>
          <w:szCs w:val="20"/>
          <w:vertAlign w:val="superscript"/>
        </w:rPr>
        <w:t>3</w:t>
      </w:r>
      <w:r w:rsidRPr="00152DAE">
        <w:rPr>
          <w:rFonts w:ascii="Times New Roman" w:hAnsi="Times New Roman" w:cs="Times New Roman"/>
          <w:sz w:val="20"/>
          <w:szCs w:val="20"/>
        </w:rPr>
        <w:t xml:space="preserve"> Total n-6 PUFA = C18:2 n-6.</w:t>
      </w:r>
    </w:p>
    <w:p w14:paraId="50F0A0F3" w14:textId="77777777" w:rsidR="00762C8E" w:rsidRPr="00152DAE" w:rsidRDefault="00762C8E" w:rsidP="00762C8E">
      <w:pPr>
        <w:rPr>
          <w:rFonts w:ascii="Times New Roman" w:hAnsi="Times New Roman" w:cs="Times New Roman"/>
          <w:sz w:val="20"/>
          <w:szCs w:val="20"/>
        </w:rPr>
      </w:pPr>
      <w:r w:rsidRPr="00152DAE">
        <w:rPr>
          <w:rFonts w:ascii="Times New Roman" w:hAnsi="Times New Roman" w:cs="Times New Roman"/>
          <w:sz w:val="20"/>
          <w:szCs w:val="20"/>
          <w:vertAlign w:val="superscript"/>
        </w:rPr>
        <w:t>5</w:t>
      </w:r>
      <w:r w:rsidRPr="00152DAE">
        <w:rPr>
          <w:rFonts w:ascii="Times New Roman" w:hAnsi="Times New Roman" w:cs="Times New Roman"/>
          <w:sz w:val="20"/>
          <w:szCs w:val="20"/>
        </w:rPr>
        <w:t xml:space="preserve">4PUFA:SFA </w:t>
      </w:r>
      <w:proofErr w:type="spellStart"/>
      <w:r w:rsidRPr="00152DAE">
        <w:rPr>
          <w:rFonts w:ascii="Times New Roman" w:hAnsi="Times New Roman" w:cs="Times New Roman"/>
          <w:sz w:val="20"/>
          <w:szCs w:val="20"/>
        </w:rPr>
        <w:t>ratio</w:t>
      </w:r>
      <w:proofErr w:type="spellEnd"/>
      <w:r w:rsidRPr="00152DAE">
        <w:rPr>
          <w:rFonts w:ascii="Times New Roman" w:hAnsi="Times New Roman" w:cs="Times New Roman"/>
          <w:sz w:val="20"/>
          <w:szCs w:val="20"/>
        </w:rPr>
        <w:t xml:space="preserve"> = total PUFA/total SFA.</w:t>
      </w:r>
    </w:p>
    <w:p w14:paraId="3A5B7C05" w14:textId="77777777" w:rsidR="00762C8E" w:rsidRPr="00152DAE" w:rsidRDefault="00762C8E" w:rsidP="00762C8E">
      <w:pPr>
        <w:rPr>
          <w:rFonts w:ascii="Times New Roman" w:hAnsi="Times New Roman" w:cs="Times New Roman"/>
          <w:sz w:val="20"/>
          <w:szCs w:val="20"/>
        </w:rPr>
      </w:pPr>
      <w:r w:rsidRPr="00152DAE">
        <w:rPr>
          <w:rFonts w:ascii="Times New Roman" w:hAnsi="Times New Roman" w:cs="Times New Roman"/>
          <w:sz w:val="20"/>
          <w:szCs w:val="20"/>
          <w:vertAlign w:val="superscript"/>
        </w:rPr>
        <w:t>5</w:t>
      </w:r>
      <w:r w:rsidRPr="00152DAE">
        <w:rPr>
          <w:rFonts w:ascii="Times New Roman" w:hAnsi="Times New Roman" w:cs="Times New Roman"/>
          <w:sz w:val="20"/>
          <w:szCs w:val="20"/>
        </w:rPr>
        <w:t xml:space="preserve"> </w:t>
      </w:r>
      <w:r w:rsidRPr="00152DAE">
        <w:rPr>
          <w:rFonts w:ascii="Times New Roman" w:hAnsi="Times New Roman" w:cs="Times New Roman"/>
          <w:sz w:val="20"/>
          <w:szCs w:val="20"/>
          <w:lang w:val="en-US"/>
        </w:rPr>
        <w:t>Σ</w:t>
      </w:r>
      <w:r w:rsidRPr="00152DAE">
        <w:rPr>
          <w:rFonts w:ascii="Times New Roman" w:hAnsi="Times New Roman" w:cs="Times New Roman"/>
          <w:sz w:val="20"/>
          <w:szCs w:val="20"/>
        </w:rPr>
        <w:t xml:space="preserve"> n-6/</w:t>
      </w:r>
      <w:r w:rsidRPr="00152DAE">
        <w:rPr>
          <w:rFonts w:ascii="Times New Roman" w:hAnsi="Times New Roman" w:cs="Times New Roman"/>
          <w:sz w:val="20"/>
          <w:szCs w:val="20"/>
          <w:lang w:val="en-US"/>
        </w:rPr>
        <w:t>Σ</w:t>
      </w:r>
      <w:r w:rsidRPr="00152DAE">
        <w:rPr>
          <w:rFonts w:ascii="Times New Roman" w:hAnsi="Times New Roman" w:cs="Times New Roman"/>
          <w:sz w:val="20"/>
          <w:szCs w:val="20"/>
        </w:rPr>
        <w:t xml:space="preserve"> n-3 PUFA </w:t>
      </w:r>
      <w:proofErr w:type="spellStart"/>
      <w:r w:rsidRPr="00152DAE">
        <w:rPr>
          <w:rFonts w:ascii="Times New Roman" w:hAnsi="Times New Roman" w:cs="Times New Roman"/>
          <w:sz w:val="20"/>
          <w:szCs w:val="20"/>
        </w:rPr>
        <w:t>ratio</w:t>
      </w:r>
      <w:proofErr w:type="spellEnd"/>
      <w:r w:rsidRPr="00152DAE">
        <w:rPr>
          <w:rFonts w:ascii="Times New Roman" w:hAnsi="Times New Roman" w:cs="Times New Roman"/>
          <w:sz w:val="20"/>
          <w:szCs w:val="20"/>
        </w:rPr>
        <w:t>.</w:t>
      </w:r>
    </w:p>
    <w:p w14:paraId="62B19B50" w14:textId="77777777" w:rsidR="00762C8E" w:rsidRPr="00152DAE" w:rsidRDefault="00762C8E" w:rsidP="00762C8E">
      <w:pPr>
        <w:rPr>
          <w:rFonts w:ascii="Times New Roman" w:hAnsi="Times New Roman" w:cs="Times New Roman"/>
          <w:sz w:val="20"/>
          <w:szCs w:val="20"/>
          <w:lang w:val="en-US"/>
        </w:rPr>
      </w:pPr>
      <w:r w:rsidRPr="00152DAE">
        <w:rPr>
          <w:rFonts w:ascii="Times New Roman" w:hAnsi="Times New Roman" w:cs="Times New Roman"/>
          <w:sz w:val="20"/>
          <w:szCs w:val="20"/>
          <w:vertAlign w:val="superscript"/>
          <w:lang w:val="en-US"/>
        </w:rPr>
        <w:t>6</w:t>
      </w:r>
      <w:r w:rsidRPr="00152DAE">
        <w:rPr>
          <w:rFonts w:ascii="Times New Roman" w:hAnsi="Times New Roman" w:cs="Times New Roman"/>
          <w:sz w:val="20"/>
          <w:szCs w:val="20"/>
          <w:lang w:val="en-US"/>
        </w:rPr>
        <w:t xml:space="preserve"> Atherogenic index = (4 × [C14:0]) + (C16:0)</w:t>
      </w:r>
      <w:proofErr w:type="gramStart"/>
      <w:r w:rsidRPr="00152DAE">
        <w:rPr>
          <w:rFonts w:ascii="Times New Roman" w:hAnsi="Times New Roman" w:cs="Times New Roman"/>
          <w:sz w:val="20"/>
          <w:szCs w:val="20"/>
          <w:lang w:val="en-US"/>
        </w:rPr>
        <w:t>/(</w:t>
      </w:r>
      <w:proofErr w:type="gramEnd"/>
      <w:r w:rsidRPr="00152DAE">
        <w:rPr>
          <w:rFonts w:ascii="Times New Roman" w:hAnsi="Times New Roman" w:cs="Times New Roman"/>
          <w:sz w:val="20"/>
          <w:szCs w:val="20"/>
          <w:lang w:val="en-US"/>
        </w:rPr>
        <w:t>total MUFA] + [total</w:t>
      </w:r>
    </w:p>
    <w:p w14:paraId="52A0418D" w14:textId="77777777" w:rsidR="00762C8E" w:rsidRPr="00152DAE" w:rsidRDefault="00762C8E" w:rsidP="00762C8E">
      <w:pPr>
        <w:rPr>
          <w:rFonts w:ascii="Times New Roman" w:hAnsi="Times New Roman" w:cs="Times New Roman"/>
          <w:sz w:val="20"/>
          <w:szCs w:val="20"/>
          <w:lang w:val="en-US"/>
        </w:rPr>
      </w:pPr>
      <w:r w:rsidRPr="00152DAE">
        <w:rPr>
          <w:rFonts w:ascii="Times New Roman" w:hAnsi="Times New Roman" w:cs="Times New Roman"/>
          <w:sz w:val="20"/>
          <w:szCs w:val="20"/>
          <w:lang w:val="en-US"/>
        </w:rPr>
        <w:t xml:space="preserve">PUFA]), where brackets indicate concentrations (Ulbricht and Southgate, 1991). </w:t>
      </w:r>
    </w:p>
    <w:p w14:paraId="68FF90DE" w14:textId="77777777" w:rsidR="00762C8E" w:rsidRPr="00152DAE" w:rsidRDefault="00762C8E" w:rsidP="00762C8E">
      <w:pPr>
        <w:rPr>
          <w:rFonts w:ascii="Times New Roman" w:hAnsi="Times New Roman" w:cs="Times New Roman"/>
          <w:sz w:val="20"/>
          <w:szCs w:val="20"/>
          <w:lang w:val="en-US"/>
        </w:rPr>
      </w:pPr>
      <w:r w:rsidRPr="00152DAE">
        <w:rPr>
          <w:rFonts w:ascii="Times New Roman" w:hAnsi="Times New Roman" w:cs="Times New Roman"/>
          <w:sz w:val="20"/>
          <w:szCs w:val="20"/>
          <w:lang w:val="en-US"/>
        </w:rPr>
        <w:t>a-b Within a row, values without a common superscript differ (P ≤ 0.05) or tended to differ (0.05 &lt; P ≤ 0.10) using Student’s t test.</w:t>
      </w:r>
    </w:p>
    <w:p w14:paraId="2F657BE7" w14:textId="77777777" w:rsidR="00762C8E" w:rsidRPr="00152DAE" w:rsidRDefault="00762C8E" w:rsidP="00762C8E">
      <w:pPr>
        <w:rPr>
          <w:rFonts w:ascii="Times New Roman" w:hAnsi="Times New Roman" w:cs="Times New Roman"/>
          <w:sz w:val="20"/>
          <w:szCs w:val="20"/>
          <w:lang w:val="en-US"/>
        </w:rPr>
      </w:pPr>
    </w:p>
    <w:p w14:paraId="5EA1CF83" w14:textId="77777777" w:rsidR="00762C8E" w:rsidRPr="00152DAE" w:rsidRDefault="00762C8E" w:rsidP="008B4B61">
      <w:pPr>
        <w:spacing w:line="360" w:lineRule="auto"/>
        <w:jc w:val="both"/>
        <w:rPr>
          <w:rFonts w:ascii="Times New Roman" w:hAnsi="Times New Roman" w:cs="Times New Roman"/>
          <w:b/>
          <w:bCs/>
          <w:sz w:val="20"/>
          <w:szCs w:val="20"/>
          <w:lang w:val="en-US"/>
        </w:rPr>
      </w:pPr>
    </w:p>
    <w:p w14:paraId="00A2B22E" w14:textId="77777777" w:rsidR="00762C8E" w:rsidRPr="00152DAE" w:rsidRDefault="00762C8E" w:rsidP="008B4B61">
      <w:pPr>
        <w:spacing w:line="360" w:lineRule="auto"/>
        <w:jc w:val="both"/>
        <w:rPr>
          <w:rFonts w:ascii="Times New Roman" w:hAnsi="Times New Roman" w:cs="Times New Roman"/>
          <w:b/>
          <w:bCs/>
          <w:sz w:val="20"/>
          <w:szCs w:val="20"/>
          <w:lang w:val="en-US"/>
        </w:rPr>
      </w:pPr>
    </w:p>
    <w:p w14:paraId="179483C4" w14:textId="77777777" w:rsidR="00DD4B15" w:rsidRDefault="00DD4B15" w:rsidP="008B4B61">
      <w:pPr>
        <w:spacing w:line="360" w:lineRule="auto"/>
        <w:jc w:val="both"/>
        <w:rPr>
          <w:rFonts w:ascii="Times New Roman" w:hAnsi="Times New Roman" w:cs="Times New Roman"/>
          <w:b/>
          <w:bCs/>
          <w:sz w:val="20"/>
          <w:szCs w:val="20"/>
          <w:lang w:val="en-US"/>
        </w:rPr>
      </w:pPr>
    </w:p>
    <w:p w14:paraId="1FFF8C45" w14:textId="77777777" w:rsidR="00DD4B15" w:rsidRDefault="00DD4B15" w:rsidP="008B4B61">
      <w:pPr>
        <w:spacing w:line="360" w:lineRule="auto"/>
        <w:jc w:val="both"/>
        <w:rPr>
          <w:rFonts w:ascii="Times New Roman" w:hAnsi="Times New Roman" w:cs="Times New Roman"/>
          <w:b/>
          <w:bCs/>
          <w:sz w:val="20"/>
          <w:szCs w:val="20"/>
          <w:lang w:val="en-US"/>
        </w:rPr>
      </w:pPr>
    </w:p>
    <w:p w14:paraId="1E393A6F" w14:textId="77777777" w:rsidR="00DD4B15" w:rsidRDefault="00DD4B15" w:rsidP="008B4B61">
      <w:pPr>
        <w:spacing w:line="360" w:lineRule="auto"/>
        <w:jc w:val="both"/>
        <w:rPr>
          <w:rFonts w:ascii="Times New Roman" w:hAnsi="Times New Roman" w:cs="Times New Roman"/>
          <w:b/>
          <w:bCs/>
          <w:sz w:val="20"/>
          <w:szCs w:val="20"/>
          <w:lang w:val="en-US"/>
        </w:rPr>
      </w:pPr>
    </w:p>
    <w:p w14:paraId="13B5ACAB" w14:textId="77777777" w:rsidR="00DD4B15" w:rsidRDefault="00DD4B15" w:rsidP="008B4B61">
      <w:pPr>
        <w:spacing w:line="360" w:lineRule="auto"/>
        <w:jc w:val="both"/>
        <w:rPr>
          <w:rFonts w:ascii="Times New Roman" w:hAnsi="Times New Roman" w:cs="Times New Roman"/>
          <w:b/>
          <w:bCs/>
          <w:sz w:val="20"/>
          <w:szCs w:val="20"/>
          <w:lang w:val="en-US"/>
        </w:rPr>
      </w:pPr>
    </w:p>
    <w:p w14:paraId="181B7A13" w14:textId="77777777" w:rsidR="00DD4B15" w:rsidRDefault="00DD4B15" w:rsidP="008B4B61">
      <w:pPr>
        <w:spacing w:line="360" w:lineRule="auto"/>
        <w:jc w:val="both"/>
        <w:rPr>
          <w:rFonts w:ascii="Times New Roman" w:hAnsi="Times New Roman" w:cs="Times New Roman"/>
          <w:b/>
          <w:bCs/>
          <w:sz w:val="20"/>
          <w:szCs w:val="20"/>
          <w:lang w:val="en-US"/>
        </w:rPr>
      </w:pPr>
    </w:p>
    <w:p w14:paraId="7A9B6781" w14:textId="77777777" w:rsidR="00DD4B15" w:rsidRDefault="00DD4B15" w:rsidP="008B4B61">
      <w:pPr>
        <w:spacing w:line="360" w:lineRule="auto"/>
        <w:jc w:val="both"/>
        <w:rPr>
          <w:rFonts w:ascii="Times New Roman" w:hAnsi="Times New Roman" w:cs="Times New Roman"/>
          <w:b/>
          <w:bCs/>
          <w:sz w:val="20"/>
          <w:szCs w:val="20"/>
          <w:lang w:val="en-US"/>
        </w:rPr>
      </w:pPr>
    </w:p>
    <w:p w14:paraId="176D411A" w14:textId="77777777" w:rsidR="00DD4B15" w:rsidRDefault="00DD4B15" w:rsidP="008B4B61">
      <w:pPr>
        <w:spacing w:line="360" w:lineRule="auto"/>
        <w:jc w:val="both"/>
        <w:rPr>
          <w:rFonts w:ascii="Times New Roman" w:hAnsi="Times New Roman" w:cs="Times New Roman"/>
          <w:b/>
          <w:bCs/>
          <w:sz w:val="20"/>
          <w:szCs w:val="20"/>
          <w:lang w:val="en-US"/>
        </w:rPr>
      </w:pPr>
    </w:p>
    <w:p w14:paraId="75C876AB" w14:textId="77777777" w:rsidR="00DD4B15" w:rsidRDefault="00DD4B15" w:rsidP="008B4B61">
      <w:pPr>
        <w:spacing w:line="360" w:lineRule="auto"/>
        <w:jc w:val="both"/>
        <w:rPr>
          <w:rFonts w:ascii="Times New Roman" w:hAnsi="Times New Roman" w:cs="Times New Roman"/>
          <w:b/>
          <w:bCs/>
          <w:sz w:val="20"/>
          <w:szCs w:val="20"/>
          <w:lang w:val="en-US"/>
        </w:rPr>
      </w:pPr>
    </w:p>
    <w:p w14:paraId="35280190" w14:textId="77777777" w:rsidR="00DD4B15" w:rsidRDefault="00DD4B15" w:rsidP="008B4B61">
      <w:pPr>
        <w:spacing w:line="360" w:lineRule="auto"/>
        <w:jc w:val="both"/>
        <w:rPr>
          <w:rFonts w:ascii="Times New Roman" w:hAnsi="Times New Roman" w:cs="Times New Roman"/>
          <w:b/>
          <w:bCs/>
          <w:sz w:val="20"/>
          <w:szCs w:val="20"/>
          <w:lang w:val="en-US"/>
        </w:rPr>
      </w:pPr>
    </w:p>
    <w:p w14:paraId="27B58ACE" w14:textId="267D6F6A" w:rsidR="00493BA0" w:rsidRPr="00152DAE" w:rsidRDefault="00762C8E" w:rsidP="008B4B61">
      <w:pPr>
        <w:spacing w:line="360" w:lineRule="auto"/>
        <w:jc w:val="both"/>
        <w:rPr>
          <w:rFonts w:ascii="Times New Roman" w:eastAsia="Times New Roman" w:hAnsi="Times New Roman" w:cs="Times New Roman"/>
          <w:sz w:val="20"/>
          <w:szCs w:val="20"/>
          <w:lang w:val="en-US"/>
        </w:rPr>
      </w:pPr>
      <w:r w:rsidRPr="00152DAE">
        <w:rPr>
          <w:rFonts w:ascii="Times New Roman" w:hAnsi="Times New Roman" w:cs="Times New Roman"/>
          <w:b/>
          <w:bCs/>
          <w:sz w:val="20"/>
          <w:szCs w:val="20"/>
          <w:lang w:val="en-US"/>
        </w:rPr>
        <w:t xml:space="preserve">Table </w:t>
      </w:r>
      <w:r w:rsidR="00152DAE">
        <w:rPr>
          <w:rFonts w:ascii="Times New Roman" w:hAnsi="Times New Roman" w:cs="Times New Roman"/>
          <w:b/>
          <w:bCs/>
          <w:sz w:val="20"/>
          <w:szCs w:val="20"/>
          <w:lang w:val="en-US"/>
        </w:rPr>
        <w:t>S</w:t>
      </w:r>
      <w:r w:rsidRPr="00152DAE">
        <w:rPr>
          <w:rFonts w:ascii="Times New Roman" w:hAnsi="Times New Roman" w:cs="Times New Roman"/>
          <w:b/>
          <w:bCs/>
          <w:sz w:val="20"/>
          <w:szCs w:val="20"/>
          <w:lang w:val="en-US"/>
        </w:rPr>
        <w:t>3</w:t>
      </w:r>
      <w:r w:rsidR="00493BA0" w:rsidRPr="00152DAE">
        <w:rPr>
          <w:rFonts w:ascii="Times New Roman" w:hAnsi="Times New Roman" w:cs="Times New Roman"/>
          <w:b/>
          <w:bCs/>
          <w:sz w:val="20"/>
          <w:szCs w:val="20"/>
          <w:lang w:val="en-US"/>
        </w:rPr>
        <w:t>.</w:t>
      </w:r>
      <w:r w:rsidR="00493BA0" w:rsidRPr="00152DAE">
        <w:rPr>
          <w:rFonts w:ascii="Times New Roman" w:hAnsi="Times New Roman" w:cs="Times New Roman"/>
          <w:sz w:val="20"/>
          <w:szCs w:val="20"/>
          <w:lang w:val="en-US"/>
        </w:rPr>
        <w:t xml:space="preserve"> </w:t>
      </w:r>
      <w:r w:rsidR="008B4B61" w:rsidRPr="00152DAE">
        <w:rPr>
          <w:rFonts w:ascii="Times New Roman" w:eastAsia="Times New Roman" w:hAnsi="Times New Roman" w:cs="Times New Roman"/>
          <w:sz w:val="20"/>
          <w:szCs w:val="20"/>
          <w:lang w:val="en-US"/>
        </w:rPr>
        <w:t xml:space="preserve">Transcription factors associated identified from the functional annotation analysis by </w:t>
      </w:r>
      <w:proofErr w:type="spellStart"/>
      <w:r w:rsidR="008B4B61" w:rsidRPr="00152DAE">
        <w:rPr>
          <w:rFonts w:ascii="Times New Roman" w:eastAsia="Times New Roman" w:hAnsi="Times New Roman" w:cs="Times New Roman"/>
          <w:sz w:val="20"/>
          <w:szCs w:val="20"/>
          <w:highlight w:val="white"/>
          <w:lang w:val="en-US"/>
        </w:rPr>
        <w:t>MetaCore</w:t>
      </w:r>
      <w:proofErr w:type="spellEnd"/>
      <w:r w:rsidR="008B4B61" w:rsidRPr="00152DAE">
        <w:rPr>
          <w:rFonts w:ascii="Times New Roman" w:eastAsia="Times New Roman" w:hAnsi="Times New Roman" w:cs="Times New Roman"/>
          <w:sz w:val="20"/>
          <w:szCs w:val="20"/>
          <w:highlight w:val="white"/>
          <w:lang w:val="en-US"/>
        </w:rPr>
        <w:t xml:space="preserve"> (Clarivate Analytics) [</w:t>
      </w:r>
      <w:hyperlink r:id="rId4">
        <w:r w:rsidR="008B4B61" w:rsidRPr="00152DAE">
          <w:rPr>
            <w:rFonts w:ascii="Times New Roman" w:eastAsia="Times New Roman" w:hAnsi="Times New Roman" w:cs="Times New Roman"/>
            <w:sz w:val="20"/>
            <w:szCs w:val="20"/>
            <w:highlight w:val="white"/>
            <w:lang w:val="en-US"/>
          </w:rPr>
          <w:t>https://portal.genego.com/</w:t>
        </w:r>
      </w:hyperlink>
      <w:r w:rsidR="008B4B61" w:rsidRPr="00152DAE">
        <w:rPr>
          <w:rFonts w:ascii="Times New Roman" w:eastAsia="Times New Roman" w:hAnsi="Times New Roman" w:cs="Times New Roman"/>
          <w:sz w:val="20"/>
          <w:szCs w:val="20"/>
          <w:highlight w:val="white"/>
          <w:lang w:val="en-US"/>
        </w:rPr>
        <w:t>]</w:t>
      </w:r>
      <w:r w:rsidR="008B4B61" w:rsidRPr="00152DAE">
        <w:rPr>
          <w:rFonts w:ascii="Times New Roman" w:eastAsia="Times New Roman" w:hAnsi="Times New Roman" w:cs="Times New Roman"/>
          <w:sz w:val="20"/>
          <w:szCs w:val="20"/>
          <w:lang w:val="en-US"/>
        </w:rPr>
        <w:t xml:space="preserve"> from the list of differentially expressed genes of liver tissue of </w:t>
      </w:r>
      <w:proofErr w:type="spellStart"/>
      <w:r w:rsidR="008B4B61" w:rsidRPr="00152DAE">
        <w:rPr>
          <w:rFonts w:ascii="Times New Roman" w:eastAsia="Times New Roman" w:hAnsi="Times New Roman" w:cs="Times New Roman"/>
          <w:sz w:val="20"/>
          <w:szCs w:val="20"/>
          <w:lang w:val="en-US"/>
        </w:rPr>
        <w:t>immunocastrated</w:t>
      </w:r>
      <w:proofErr w:type="spellEnd"/>
      <w:r w:rsidR="008B4B61" w:rsidRPr="00152DAE">
        <w:rPr>
          <w:rFonts w:ascii="Times New Roman" w:eastAsia="Times New Roman" w:hAnsi="Times New Roman" w:cs="Times New Roman"/>
          <w:sz w:val="20"/>
          <w:szCs w:val="20"/>
          <w:lang w:val="en-US"/>
        </w:rPr>
        <w:t xml:space="preserve"> male pigs fed with two different soybean oil proportions in the diet (SOY1.5: 1.5 % and SOY3.0: 3.0 % of soybean oil).</w:t>
      </w:r>
    </w:p>
    <w:tbl>
      <w:tblPr>
        <w:tblW w:w="9270" w:type="dxa"/>
        <w:tblInd w:w="19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2550"/>
        <w:gridCol w:w="3690"/>
        <w:gridCol w:w="3030"/>
      </w:tblGrid>
      <w:tr w:rsidR="008B4B61" w:rsidRPr="00152DAE" w14:paraId="50F581B4" w14:textId="77777777" w:rsidTr="008B4B61">
        <w:trPr>
          <w:trHeight w:val="515"/>
        </w:trPr>
        <w:tc>
          <w:tcPr>
            <w:tcW w:w="2550" w:type="dxa"/>
            <w:tcBorders>
              <w:top w:val="single" w:sz="4" w:space="0" w:color="auto"/>
              <w:left w:val="nil"/>
              <w:bottom w:val="single" w:sz="8" w:space="0" w:color="000000"/>
              <w:right w:val="nil"/>
            </w:tcBorders>
            <w:shd w:val="clear" w:color="auto" w:fill="auto"/>
            <w:tcMar>
              <w:top w:w="100" w:type="dxa"/>
              <w:left w:w="80" w:type="dxa"/>
              <w:bottom w:w="100" w:type="dxa"/>
              <w:right w:w="80" w:type="dxa"/>
            </w:tcMar>
          </w:tcPr>
          <w:p w14:paraId="77CC930F" w14:textId="77777777" w:rsidR="008B4B61" w:rsidRPr="00152DAE" w:rsidRDefault="008B4B61" w:rsidP="002C0AB8">
            <w:pPr>
              <w:spacing w:before="240" w:line="360" w:lineRule="auto"/>
              <w:ind w:left="60"/>
              <w:jc w:val="center"/>
              <w:rPr>
                <w:rFonts w:ascii="Times New Roman" w:eastAsia="Times New Roman" w:hAnsi="Times New Roman" w:cs="Times New Roman"/>
                <w:b/>
                <w:sz w:val="20"/>
                <w:szCs w:val="20"/>
              </w:rPr>
            </w:pPr>
            <w:r w:rsidRPr="00152DAE">
              <w:rPr>
                <w:rFonts w:ascii="Times New Roman" w:eastAsia="Times New Roman" w:hAnsi="Times New Roman" w:cs="Times New Roman"/>
                <w:b/>
                <w:sz w:val="20"/>
                <w:szCs w:val="20"/>
              </w:rPr>
              <w:t>Transcription factor</w:t>
            </w:r>
          </w:p>
        </w:tc>
        <w:tc>
          <w:tcPr>
            <w:tcW w:w="3690" w:type="dxa"/>
            <w:tcBorders>
              <w:top w:val="single" w:sz="4" w:space="0" w:color="auto"/>
              <w:left w:val="nil"/>
              <w:bottom w:val="single" w:sz="8" w:space="0" w:color="000000"/>
              <w:right w:val="nil"/>
            </w:tcBorders>
            <w:shd w:val="clear" w:color="auto" w:fill="auto"/>
            <w:tcMar>
              <w:top w:w="100" w:type="dxa"/>
              <w:left w:w="80" w:type="dxa"/>
              <w:bottom w:w="100" w:type="dxa"/>
              <w:right w:w="80" w:type="dxa"/>
            </w:tcMar>
          </w:tcPr>
          <w:p w14:paraId="7E32AD80" w14:textId="77777777" w:rsidR="008B4B61" w:rsidRPr="00152DAE" w:rsidRDefault="008B4B61" w:rsidP="002C0AB8">
            <w:pPr>
              <w:spacing w:before="240" w:line="360" w:lineRule="auto"/>
              <w:ind w:left="60"/>
              <w:jc w:val="center"/>
              <w:rPr>
                <w:rFonts w:ascii="Times New Roman" w:eastAsia="Times New Roman" w:hAnsi="Times New Roman" w:cs="Times New Roman"/>
                <w:b/>
                <w:sz w:val="20"/>
                <w:szCs w:val="20"/>
              </w:rPr>
            </w:pPr>
            <w:r w:rsidRPr="00152DAE">
              <w:rPr>
                <w:rFonts w:ascii="Times New Roman" w:eastAsia="Times New Roman" w:hAnsi="Times New Roman" w:cs="Times New Roman"/>
                <w:b/>
                <w:sz w:val="20"/>
                <w:szCs w:val="20"/>
              </w:rPr>
              <w:t>Description</w:t>
            </w:r>
          </w:p>
        </w:tc>
        <w:tc>
          <w:tcPr>
            <w:tcW w:w="3030" w:type="dxa"/>
            <w:tcBorders>
              <w:top w:val="single" w:sz="4" w:space="0" w:color="auto"/>
              <w:left w:val="nil"/>
              <w:bottom w:val="single" w:sz="8" w:space="0" w:color="000000"/>
              <w:right w:val="nil"/>
            </w:tcBorders>
            <w:shd w:val="clear" w:color="auto" w:fill="auto"/>
            <w:tcMar>
              <w:top w:w="100" w:type="dxa"/>
              <w:left w:w="80" w:type="dxa"/>
              <w:bottom w:w="100" w:type="dxa"/>
              <w:right w:w="80" w:type="dxa"/>
            </w:tcMar>
          </w:tcPr>
          <w:p w14:paraId="7937138A" w14:textId="77777777" w:rsidR="008B4B61" w:rsidRPr="00152DAE" w:rsidRDefault="008B4B61" w:rsidP="002C0AB8">
            <w:pPr>
              <w:spacing w:before="240" w:line="360" w:lineRule="auto"/>
              <w:ind w:left="60"/>
              <w:jc w:val="center"/>
              <w:rPr>
                <w:rFonts w:ascii="Times New Roman" w:eastAsia="Times New Roman" w:hAnsi="Times New Roman" w:cs="Times New Roman"/>
                <w:b/>
                <w:sz w:val="20"/>
                <w:szCs w:val="20"/>
              </w:rPr>
            </w:pPr>
            <w:r w:rsidRPr="00152DAE">
              <w:rPr>
                <w:rFonts w:ascii="Times New Roman" w:eastAsia="Times New Roman" w:hAnsi="Times New Roman" w:cs="Times New Roman"/>
                <w:b/>
                <w:sz w:val="20"/>
                <w:szCs w:val="20"/>
              </w:rPr>
              <w:t>Reference</w:t>
            </w:r>
          </w:p>
        </w:tc>
      </w:tr>
      <w:tr w:rsidR="008B4B61" w:rsidRPr="00152DAE" w14:paraId="6ED19B72" w14:textId="77777777" w:rsidTr="002C0AB8">
        <w:trPr>
          <w:trHeight w:val="1460"/>
        </w:trPr>
        <w:tc>
          <w:tcPr>
            <w:tcW w:w="2550" w:type="dxa"/>
            <w:tcBorders>
              <w:top w:val="nil"/>
              <w:left w:val="nil"/>
              <w:bottom w:val="single" w:sz="8" w:space="0" w:color="000000"/>
              <w:right w:val="nil"/>
            </w:tcBorders>
            <w:shd w:val="clear" w:color="auto" w:fill="auto"/>
            <w:tcMar>
              <w:top w:w="100" w:type="dxa"/>
              <w:left w:w="80" w:type="dxa"/>
              <w:bottom w:w="100" w:type="dxa"/>
              <w:right w:w="80" w:type="dxa"/>
            </w:tcMar>
          </w:tcPr>
          <w:p w14:paraId="757DB7DF" w14:textId="77777777" w:rsidR="008B4B61" w:rsidRPr="00152DAE" w:rsidRDefault="008B4B61" w:rsidP="002C0AB8">
            <w:pPr>
              <w:spacing w:line="360" w:lineRule="auto"/>
              <w:ind w:left="60"/>
              <w:jc w:val="center"/>
              <w:rPr>
                <w:rFonts w:ascii="Times New Roman" w:eastAsia="Times New Roman" w:hAnsi="Times New Roman" w:cs="Times New Roman"/>
                <w:b/>
                <w:sz w:val="20"/>
                <w:szCs w:val="20"/>
              </w:rPr>
            </w:pPr>
            <w:r w:rsidRPr="00152DAE">
              <w:rPr>
                <w:rFonts w:ascii="Times New Roman" w:eastAsia="Times New Roman" w:hAnsi="Times New Roman" w:cs="Times New Roman"/>
                <w:b/>
                <w:sz w:val="20"/>
                <w:szCs w:val="20"/>
              </w:rPr>
              <w:t>T3Rbeta / RXR-alpha, RXRA</w:t>
            </w:r>
          </w:p>
          <w:p w14:paraId="7303CBE9" w14:textId="77777777" w:rsidR="008B4B61" w:rsidRPr="00152DAE" w:rsidRDefault="008B4B61" w:rsidP="002C0AB8">
            <w:pPr>
              <w:spacing w:line="360" w:lineRule="auto"/>
              <w:ind w:left="60"/>
              <w:jc w:val="center"/>
              <w:rPr>
                <w:rFonts w:ascii="Times New Roman" w:eastAsia="Times New Roman" w:hAnsi="Times New Roman" w:cs="Times New Roman"/>
                <w:sz w:val="20"/>
                <w:szCs w:val="20"/>
              </w:rPr>
            </w:pPr>
            <w:proofErr w:type="spellStart"/>
            <w:r w:rsidRPr="00152DAE">
              <w:rPr>
                <w:rFonts w:ascii="Times New Roman" w:eastAsia="Times New Roman" w:hAnsi="Times New Roman" w:cs="Times New Roman"/>
                <w:sz w:val="20"/>
                <w:szCs w:val="20"/>
                <w:highlight w:val="white"/>
              </w:rPr>
              <w:t>retinoid</w:t>
            </w:r>
            <w:proofErr w:type="spellEnd"/>
            <w:r w:rsidRPr="00152DAE">
              <w:rPr>
                <w:rFonts w:ascii="Times New Roman" w:eastAsia="Times New Roman" w:hAnsi="Times New Roman" w:cs="Times New Roman"/>
                <w:sz w:val="20"/>
                <w:szCs w:val="20"/>
                <w:highlight w:val="white"/>
              </w:rPr>
              <w:t xml:space="preserve"> X receptor alpha</w:t>
            </w:r>
          </w:p>
        </w:tc>
        <w:tc>
          <w:tcPr>
            <w:tcW w:w="3690" w:type="dxa"/>
            <w:tcBorders>
              <w:top w:val="nil"/>
              <w:left w:val="nil"/>
              <w:bottom w:val="single" w:sz="8" w:space="0" w:color="000000"/>
              <w:right w:val="nil"/>
            </w:tcBorders>
            <w:shd w:val="clear" w:color="auto" w:fill="auto"/>
            <w:tcMar>
              <w:top w:w="100" w:type="dxa"/>
              <w:left w:w="80" w:type="dxa"/>
              <w:bottom w:w="100" w:type="dxa"/>
              <w:right w:w="80" w:type="dxa"/>
            </w:tcMar>
          </w:tcPr>
          <w:p w14:paraId="73B2AB0B" w14:textId="77777777" w:rsidR="008B4B61" w:rsidRPr="00152DAE" w:rsidRDefault="008B4B61" w:rsidP="002C0AB8">
            <w:pPr>
              <w:spacing w:before="240" w:line="360" w:lineRule="auto"/>
              <w:ind w:left="60"/>
              <w:jc w:val="both"/>
              <w:rPr>
                <w:rFonts w:ascii="Times New Roman" w:eastAsia="Times New Roman" w:hAnsi="Times New Roman" w:cs="Times New Roman"/>
                <w:sz w:val="20"/>
                <w:szCs w:val="20"/>
                <w:lang w:val="en-US"/>
              </w:rPr>
            </w:pPr>
            <w:r w:rsidRPr="00152DAE">
              <w:rPr>
                <w:rFonts w:ascii="Times New Roman" w:eastAsia="Times New Roman" w:hAnsi="Times New Roman" w:cs="Times New Roman"/>
                <w:sz w:val="20"/>
                <w:szCs w:val="20"/>
                <w:lang w:val="en-US"/>
              </w:rPr>
              <w:t>Along with PPAR</w:t>
            </w:r>
            <w:r w:rsidRPr="00152DAE">
              <w:rPr>
                <w:rFonts w:ascii="Times New Roman" w:eastAsia="Times New Roman" w:hAnsi="Times New Roman" w:cs="Times New Roman"/>
                <w:sz w:val="20"/>
                <w:szCs w:val="20"/>
              </w:rPr>
              <w:t>α</w:t>
            </w:r>
            <w:r w:rsidRPr="00152DAE">
              <w:rPr>
                <w:rFonts w:ascii="Times New Roman" w:eastAsia="Times New Roman" w:hAnsi="Times New Roman" w:cs="Times New Roman"/>
                <w:sz w:val="20"/>
                <w:szCs w:val="20"/>
                <w:lang w:val="en-US"/>
              </w:rPr>
              <w:t>, it represses the transcriptional activity of HNF4</w:t>
            </w:r>
            <w:r w:rsidRPr="00152DAE">
              <w:rPr>
                <w:rFonts w:ascii="Times New Roman" w:eastAsia="Times New Roman" w:hAnsi="Times New Roman" w:cs="Times New Roman"/>
                <w:sz w:val="20"/>
                <w:szCs w:val="20"/>
              </w:rPr>
              <w:t>α</w:t>
            </w:r>
            <w:r w:rsidRPr="00152DAE">
              <w:rPr>
                <w:rFonts w:ascii="Times New Roman" w:eastAsia="Times New Roman" w:hAnsi="Times New Roman" w:cs="Times New Roman"/>
                <w:sz w:val="20"/>
                <w:szCs w:val="20"/>
                <w:lang w:val="en-US"/>
              </w:rPr>
              <w:t>.</w:t>
            </w:r>
          </w:p>
        </w:tc>
        <w:tc>
          <w:tcPr>
            <w:tcW w:w="3030" w:type="dxa"/>
            <w:tcBorders>
              <w:top w:val="nil"/>
              <w:left w:val="nil"/>
              <w:bottom w:val="nil"/>
              <w:right w:val="nil"/>
            </w:tcBorders>
            <w:shd w:val="clear" w:color="auto" w:fill="auto"/>
            <w:tcMar>
              <w:top w:w="100" w:type="dxa"/>
              <w:left w:w="80" w:type="dxa"/>
              <w:bottom w:w="100" w:type="dxa"/>
              <w:right w:w="80" w:type="dxa"/>
            </w:tcMar>
          </w:tcPr>
          <w:p w14:paraId="2858B983" w14:textId="77777777" w:rsidR="008B4B61" w:rsidRPr="00152DAE" w:rsidRDefault="00141470" w:rsidP="002C0AB8">
            <w:pPr>
              <w:spacing w:before="240" w:line="360" w:lineRule="auto"/>
              <w:ind w:left="60"/>
              <w:jc w:val="center"/>
              <w:rPr>
                <w:rFonts w:ascii="Times New Roman" w:eastAsia="Times New Roman" w:hAnsi="Times New Roman" w:cs="Times New Roman"/>
                <w:sz w:val="20"/>
                <w:szCs w:val="20"/>
              </w:rPr>
            </w:pPr>
            <w:hyperlink r:id="rId5">
              <w:r w:rsidR="008B4B61" w:rsidRPr="00152DAE">
                <w:rPr>
                  <w:rFonts w:ascii="Times New Roman" w:eastAsia="Times New Roman" w:hAnsi="Times New Roman" w:cs="Times New Roman"/>
                  <w:sz w:val="20"/>
                  <w:szCs w:val="20"/>
                </w:rPr>
                <w:t>10.1016/j.metabol.2021.154705</w:t>
              </w:r>
            </w:hyperlink>
          </w:p>
        </w:tc>
      </w:tr>
      <w:tr w:rsidR="008B4B61" w:rsidRPr="00152DAE" w14:paraId="10D6EF56" w14:textId="77777777" w:rsidTr="002C0AB8">
        <w:trPr>
          <w:trHeight w:val="1655"/>
        </w:trPr>
        <w:tc>
          <w:tcPr>
            <w:tcW w:w="2550" w:type="dxa"/>
            <w:tcBorders>
              <w:top w:val="nil"/>
              <w:left w:val="nil"/>
              <w:bottom w:val="single" w:sz="8" w:space="0" w:color="000000"/>
              <w:right w:val="nil"/>
            </w:tcBorders>
            <w:shd w:val="clear" w:color="auto" w:fill="auto"/>
            <w:tcMar>
              <w:top w:w="100" w:type="dxa"/>
              <w:left w:w="80" w:type="dxa"/>
              <w:bottom w:w="100" w:type="dxa"/>
              <w:right w:w="80" w:type="dxa"/>
            </w:tcMar>
          </w:tcPr>
          <w:p w14:paraId="7A4561D7" w14:textId="77777777" w:rsidR="008B4B61" w:rsidRPr="00152DAE" w:rsidRDefault="008B4B61" w:rsidP="002C0AB8">
            <w:pPr>
              <w:spacing w:before="240" w:line="360" w:lineRule="auto"/>
              <w:ind w:left="60"/>
              <w:jc w:val="center"/>
              <w:rPr>
                <w:rFonts w:ascii="Times New Roman" w:eastAsia="Times New Roman" w:hAnsi="Times New Roman" w:cs="Times New Roman"/>
                <w:b/>
                <w:i/>
                <w:sz w:val="20"/>
                <w:szCs w:val="20"/>
                <w:lang w:val="en-US"/>
              </w:rPr>
            </w:pPr>
            <w:r w:rsidRPr="00152DAE">
              <w:rPr>
                <w:rFonts w:ascii="Times New Roman" w:eastAsia="Times New Roman" w:hAnsi="Times New Roman" w:cs="Times New Roman"/>
                <w:b/>
                <w:i/>
                <w:sz w:val="20"/>
                <w:szCs w:val="20"/>
                <w:lang w:val="en-US"/>
              </w:rPr>
              <w:t>HNF1-beta</w:t>
            </w:r>
          </w:p>
          <w:p w14:paraId="52C77801" w14:textId="77777777" w:rsidR="008B4B61" w:rsidRPr="00152DAE" w:rsidRDefault="008B4B61" w:rsidP="002C0AB8">
            <w:pPr>
              <w:spacing w:line="360" w:lineRule="auto"/>
              <w:ind w:left="60"/>
              <w:jc w:val="center"/>
              <w:rPr>
                <w:rFonts w:ascii="Times New Roman" w:eastAsia="Times New Roman" w:hAnsi="Times New Roman" w:cs="Times New Roman"/>
                <w:sz w:val="20"/>
                <w:szCs w:val="20"/>
                <w:lang w:val="en-US"/>
              </w:rPr>
            </w:pPr>
            <w:r w:rsidRPr="00152DAE">
              <w:rPr>
                <w:rFonts w:ascii="Times New Roman" w:eastAsia="Verdana" w:hAnsi="Times New Roman" w:cs="Times New Roman"/>
                <w:sz w:val="20"/>
                <w:szCs w:val="20"/>
                <w:highlight w:val="white"/>
                <w:lang w:val="en-US"/>
              </w:rPr>
              <w:t>HNF1 homeobox B</w:t>
            </w:r>
          </w:p>
        </w:tc>
        <w:tc>
          <w:tcPr>
            <w:tcW w:w="3690" w:type="dxa"/>
            <w:tcBorders>
              <w:top w:val="nil"/>
              <w:left w:val="nil"/>
              <w:bottom w:val="single" w:sz="8" w:space="0" w:color="000000"/>
              <w:right w:val="nil"/>
            </w:tcBorders>
            <w:shd w:val="clear" w:color="auto" w:fill="auto"/>
            <w:tcMar>
              <w:top w:w="100" w:type="dxa"/>
              <w:left w:w="80" w:type="dxa"/>
              <w:bottom w:w="100" w:type="dxa"/>
              <w:right w:w="80" w:type="dxa"/>
            </w:tcMar>
          </w:tcPr>
          <w:p w14:paraId="4953A4CA" w14:textId="77777777" w:rsidR="008B4B61" w:rsidRPr="00152DAE" w:rsidRDefault="008B4B61" w:rsidP="002C0AB8">
            <w:pPr>
              <w:spacing w:before="240" w:line="360" w:lineRule="auto"/>
              <w:ind w:left="60"/>
              <w:jc w:val="both"/>
              <w:rPr>
                <w:rFonts w:ascii="Times New Roman" w:eastAsia="Times New Roman" w:hAnsi="Times New Roman" w:cs="Times New Roman"/>
                <w:sz w:val="20"/>
                <w:szCs w:val="20"/>
                <w:lang w:val="en-US"/>
              </w:rPr>
            </w:pPr>
            <w:r w:rsidRPr="00152DAE">
              <w:rPr>
                <w:rFonts w:ascii="Times New Roman" w:eastAsia="Times New Roman" w:hAnsi="Times New Roman" w:cs="Times New Roman"/>
                <w:sz w:val="20"/>
                <w:szCs w:val="20"/>
                <w:lang w:val="en-US"/>
              </w:rPr>
              <w:t xml:space="preserve">It may be involved in the inhibition of canonical </w:t>
            </w:r>
            <w:proofErr w:type="spellStart"/>
            <w:r w:rsidRPr="00152DAE">
              <w:rPr>
                <w:rFonts w:ascii="Times New Roman" w:eastAsia="Times New Roman" w:hAnsi="Times New Roman" w:cs="Times New Roman"/>
                <w:sz w:val="20"/>
                <w:szCs w:val="20"/>
                <w:lang w:val="en-US"/>
              </w:rPr>
              <w:t>Wnt</w:t>
            </w:r>
            <w:proofErr w:type="spellEnd"/>
            <w:r w:rsidRPr="00152DAE">
              <w:rPr>
                <w:rFonts w:ascii="Times New Roman" w:eastAsia="Times New Roman" w:hAnsi="Times New Roman" w:cs="Times New Roman"/>
                <w:sz w:val="20"/>
                <w:szCs w:val="20"/>
                <w:lang w:val="en-US"/>
              </w:rPr>
              <w:t xml:space="preserve"> signaling as it competes with the binding of </w:t>
            </w:r>
            <w:r w:rsidRPr="00152DAE">
              <w:rPr>
                <w:rFonts w:ascii="Times New Roman" w:eastAsia="Times New Roman" w:hAnsi="Times New Roman" w:cs="Times New Roman"/>
                <w:sz w:val="20"/>
                <w:szCs w:val="20"/>
              </w:rPr>
              <w:t>β</w:t>
            </w:r>
            <w:r w:rsidRPr="00152DAE">
              <w:rPr>
                <w:rFonts w:ascii="Times New Roman" w:eastAsia="Times New Roman" w:hAnsi="Times New Roman" w:cs="Times New Roman"/>
                <w:sz w:val="20"/>
                <w:szCs w:val="20"/>
                <w:lang w:val="en-US"/>
              </w:rPr>
              <w:t>-catenin/LEF complexes. It is also related to the regulation of liver, kidney, pancreas and other epithelial organs.</w:t>
            </w:r>
          </w:p>
        </w:tc>
        <w:tc>
          <w:tcPr>
            <w:tcW w:w="3030" w:type="dxa"/>
            <w:tcBorders>
              <w:top w:val="single" w:sz="8" w:space="0" w:color="000000"/>
              <w:left w:val="nil"/>
              <w:bottom w:val="single" w:sz="8" w:space="0" w:color="000000"/>
              <w:right w:val="nil"/>
            </w:tcBorders>
            <w:shd w:val="clear" w:color="auto" w:fill="auto"/>
            <w:tcMar>
              <w:top w:w="100" w:type="dxa"/>
              <w:left w:w="80" w:type="dxa"/>
              <w:bottom w:w="100" w:type="dxa"/>
              <w:right w:w="80" w:type="dxa"/>
            </w:tcMar>
          </w:tcPr>
          <w:p w14:paraId="28E5BED6" w14:textId="77777777" w:rsidR="008B4B61" w:rsidRPr="00152DAE" w:rsidRDefault="008B4B61" w:rsidP="002C0AB8">
            <w:pPr>
              <w:spacing w:before="240" w:line="360" w:lineRule="auto"/>
              <w:ind w:left="60"/>
              <w:jc w:val="center"/>
              <w:rPr>
                <w:rFonts w:ascii="Times New Roman" w:eastAsia="Times New Roman" w:hAnsi="Times New Roman" w:cs="Times New Roman"/>
                <w:sz w:val="20"/>
                <w:szCs w:val="20"/>
              </w:rPr>
            </w:pPr>
            <w:r w:rsidRPr="00152DAE">
              <w:rPr>
                <w:rFonts w:ascii="Times New Roman" w:eastAsia="Times New Roman" w:hAnsi="Times New Roman" w:cs="Times New Roman"/>
                <w:sz w:val="20"/>
                <w:szCs w:val="20"/>
              </w:rPr>
              <w:t>10.1073 / pnas.1909452116</w:t>
            </w:r>
          </w:p>
        </w:tc>
      </w:tr>
      <w:tr w:rsidR="008B4B61" w:rsidRPr="00152DAE" w14:paraId="23A0FEF2" w14:textId="77777777" w:rsidTr="002C0AB8">
        <w:trPr>
          <w:trHeight w:val="2375"/>
        </w:trPr>
        <w:tc>
          <w:tcPr>
            <w:tcW w:w="2550" w:type="dxa"/>
            <w:tcBorders>
              <w:top w:val="nil"/>
              <w:left w:val="nil"/>
              <w:bottom w:val="single" w:sz="8" w:space="0" w:color="000000"/>
              <w:right w:val="nil"/>
            </w:tcBorders>
            <w:shd w:val="clear" w:color="auto" w:fill="auto"/>
            <w:tcMar>
              <w:top w:w="100" w:type="dxa"/>
              <w:left w:w="80" w:type="dxa"/>
              <w:bottom w:w="100" w:type="dxa"/>
              <w:right w:w="80" w:type="dxa"/>
            </w:tcMar>
          </w:tcPr>
          <w:p w14:paraId="20A876AF" w14:textId="77777777" w:rsidR="008B4B61" w:rsidRPr="00152DAE" w:rsidRDefault="008B4B61" w:rsidP="002C0AB8">
            <w:pPr>
              <w:spacing w:before="240" w:line="360" w:lineRule="auto"/>
              <w:ind w:left="60"/>
              <w:jc w:val="center"/>
              <w:rPr>
                <w:rFonts w:ascii="Times New Roman" w:eastAsia="Times New Roman" w:hAnsi="Times New Roman" w:cs="Times New Roman"/>
                <w:b/>
                <w:i/>
                <w:sz w:val="20"/>
                <w:szCs w:val="20"/>
              </w:rPr>
            </w:pPr>
            <w:r w:rsidRPr="00152DAE">
              <w:rPr>
                <w:rFonts w:ascii="Times New Roman" w:eastAsia="Times New Roman" w:hAnsi="Times New Roman" w:cs="Times New Roman"/>
                <w:b/>
                <w:i/>
                <w:sz w:val="20"/>
                <w:szCs w:val="20"/>
              </w:rPr>
              <w:t xml:space="preserve">E2F1 - E2F1/DP1 </w:t>
            </w:r>
            <w:proofErr w:type="spellStart"/>
            <w:r w:rsidRPr="00152DAE">
              <w:rPr>
                <w:rFonts w:ascii="Times New Roman" w:eastAsia="Times New Roman" w:hAnsi="Times New Roman" w:cs="Times New Roman"/>
                <w:b/>
                <w:i/>
                <w:sz w:val="20"/>
                <w:szCs w:val="20"/>
              </w:rPr>
              <w:t>complex</w:t>
            </w:r>
            <w:proofErr w:type="spellEnd"/>
          </w:p>
          <w:p w14:paraId="79DDD324" w14:textId="77777777" w:rsidR="008B4B61" w:rsidRPr="00152DAE" w:rsidRDefault="008B4B61" w:rsidP="002C0AB8">
            <w:pPr>
              <w:spacing w:line="360" w:lineRule="auto"/>
              <w:ind w:left="60"/>
              <w:jc w:val="center"/>
              <w:rPr>
                <w:rFonts w:ascii="Times New Roman" w:eastAsia="Times New Roman" w:hAnsi="Times New Roman" w:cs="Times New Roman"/>
                <w:sz w:val="20"/>
                <w:szCs w:val="20"/>
                <w:highlight w:val="white"/>
              </w:rPr>
            </w:pPr>
            <w:r w:rsidRPr="00152DAE">
              <w:rPr>
                <w:rFonts w:ascii="Times New Roman" w:eastAsia="Times New Roman" w:hAnsi="Times New Roman" w:cs="Times New Roman"/>
                <w:sz w:val="20"/>
                <w:szCs w:val="20"/>
                <w:highlight w:val="white"/>
              </w:rPr>
              <w:t xml:space="preserve">E2F </w:t>
            </w:r>
            <w:proofErr w:type="spellStart"/>
            <w:r w:rsidRPr="00152DAE">
              <w:rPr>
                <w:rFonts w:ascii="Times New Roman" w:eastAsia="Times New Roman" w:hAnsi="Times New Roman" w:cs="Times New Roman"/>
                <w:sz w:val="20"/>
                <w:szCs w:val="20"/>
                <w:highlight w:val="white"/>
              </w:rPr>
              <w:t>transcription</w:t>
            </w:r>
            <w:proofErr w:type="spellEnd"/>
            <w:r w:rsidRPr="00152DAE">
              <w:rPr>
                <w:rFonts w:ascii="Times New Roman" w:eastAsia="Times New Roman" w:hAnsi="Times New Roman" w:cs="Times New Roman"/>
                <w:sz w:val="20"/>
                <w:szCs w:val="20"/>
                <w:highlight w:val="white"/>
              </w:rPr>
              <w:t xml:space="preserve"> </w:t>
            </w:r>
          </w:p>
          <w:p w14:paraId="4DF9F56D" w14:textId="77777777" w:rsidR="008B4B61" w:rsidRPr="00152DAE" w:rsidRDefault="008B4B61" w:rsidP="002C0AB8">
            <w:pPr>
              <w:spacing w:line="360" w:lineRule="auto"/>
              <w:ind w:left="60"/>
              <w:jc w:val="center"/>
              <w:rPr>
                <w:rFonts w:ascii="Times New Roman" w:eastAsia="Times New Roman" w:hAnsi="Times New Roman" w:cs="Times New Roman"/>
                <w:sz w:val="20"/>
                <w:szCs w:val="20"/>
              </w:rPr>
            </w:pPr>
            <w:r w:rsidRPr="00152DAE">
              <w:rPr>
                <w:rFonts w:ascii="Times New Roman" w:eastAsia="Times New Roman" w:hAnsi="Times New Roman" w:cs="Times New Roman"/>
                <w:sz w:val="20"/>
                <w:szCs w:val="20"/>
                <w:highlight w:val="white"/>
              </w:rPr>
              <w:t>factor 1</w:t>
            </w:r>
          </w:p>
        </w:tc>
        <w:tc>
          <w:tcPr>
            <w:tcW w:w="3690" w:type="dxa"/>
            <w:tcBorders>
              <w:top w:val="nil"/>
              <w:left w:val="nil"/>
              <w:bottom w:val="single" w:sz="8" w:space="0" w:color="000000"/>
              <w:right w:val="nil"/>
            </w:tcBorders>
            <w:shd w:val="clear" w:color="auto" w:fill="auto"/>
            <w:tcMar>
              <w:top w:w="100" w:type="dxa"/>
              <w:left w:w="80" w:type="dxa"/>
              <w:bottom w:w="100" w:type="dxa"/>
              <w:right w:w="80" w:type="dxa"/>
            </w:tcMar>
          </w:tcPr>
          <w:p w14:paraId="09493F6D" w14:textId="77777777" w:rsidR="008B4B61" w:rsidRPr="00152DAE" w:rsidRDefault="008B4B61" w:rsidP="002C0AB8">
            <w:pPr>
              <w:spacing w:before="240" w:line="360" w:lineRule="auto"/>
              <w:ind w:left="60"/>
              <w:jc w:val="both"/>
              <w:rPr>
                <w:rFonts w:ascii="Times New Roman" w:eastAsia="Times New Roman" w:hAnsi="Times New Roman" w:cs="Times New Roman"/>
                <w:sz w:val="20"/>
                <w:szCs w:val="20"/>
                <w:lang w:val="en-US"/>
              </w:rPr>
            </w:pPr>
            <w:r w:rsidRPr="00152DAE">
              <w:rPr>
                <w:rFonts w:ascii="Times New Roman" w:eastAsia="Times New Roman" w:hAnsi="Times New Roman" w:cs="Times New Roman"/>
                <w:sz w:val="20"/>
                <w:szCs w:val="20"/>
                <w:lang w:val="en-US"/>
              </w:rPr>
              <w:t>Important in lipogenesis, it is also the progression of the cell cycle and induction of apoptosis in case of DNA damage. During the initial phase of adipogenesis, it can trigger PPAR</w:t>
            </w:r>
            <w:r w:rsidRPr="00152DAE">
              <w:rPr>
                <w:rFonts w:ascii="Times New Roman" w:eastAsia="Times New Roman" w:hAnsi="Times New Roman" w:cs="Times New Roman"/>
                <w:sz w:val="20"/>
                <w:szCs w:val="20"/>
              </w:rPr>
              <w:t>γ</w:t>
            </w:r>
            <w:r w:rsidRPr="00152DAE">
              <w:rPr>
                <w:rFonts w:ascii="Times New Roman" w:eastAsia="Times New Roman" w:hAnsi="Times New Roman" w:cs="Times New Roman"/>
                <w:sz w:val="20"/>
                <w:szCs w:val="20"/>
                <w:lang w:val="en-US"/>
              </w:rPr>
              <w:t xml:space="preserve"> expression. When dysregulated, it activates cytoplasmic Ras/mitogen-activated protein (MAPK) signaling cascades.</w:t>
            </w:r>
          </w:p>
        </w:tc>
        <w:tc>
          <w:tcPr>
            <w:tcW w:w="3030" w:type="dxa"/>
            <w:tcBorders>
              <w:top w:val="nil"/>
              <w:left w:val="nil"/>
              <w:bottom w:val="single" w:sz="8" w:space="0" w:color="000000"/>
              <w:right w:val="nil"/>
            </w:tcBorders>
            <w:shd w:val="clear" w:color="auto" w:fill="auto"/>
            <w:tcMar>
              <w:top w:w="100" w:type="dxa"/>
              <w:left w:w="80" w:type="dxa"/>
              <w:bottom w:w="100" w:type="dxa"/>
              <w:right w:w="80" w:type="dxa"/>
            </w:tcMar>
          </w:tcPr>
          <w:p w14:paraId="5A12F07E" w14:textId="77777777" w:rsidR="008B4B61" w:rsidRPr="00152DAE" w:rsidRDefault="00141470" w:rsidP="002C0AB8">
            <w:pPr>
              <w:spacing w:before="240" w:line="360" w:lineRule="auto"/>
              <w:rPr>
                <w:rFonts w:ascii="Times New Roman" w:eastAsia="Times New Roman" w:hAnsi="Times New Roman" w:cs="Times New Roman"/>
                <w:sz w:val="20"/>
                <w:szCs w:val="20"/>
              </w:rPr>
            </w:pPr>
            <w:hyperlink r:id="rId6">
              <w:r w:rsidR="008B4B61" w:rsidRPr="00152DAE">
                <w:rPr>
                  <w:rFonts w:ascii="Times New Roman" w:eastAsia="Times New Roman" w:hAnsi="Times New Roman" w:cs="Times New Roman"/>
                  <w:sz w:val="20"/>
                  <w:szCs w:val="20"/>
                </w:rPr>
                <w:t>(1)10.1016/j.anndiagpath.2019.01.002</w:t>
              </w:r>
            </w:hyperlink>
            <w:hyperlink r:id="rId7">
              <w:r w:rsidR="008B4B61" w:rsidRPr="00152DAE">
                <w:rPr>
                  <w:rFonts w:ascii="Times New Roman" w:hAnsi="Times New Roman" w:cs="Times New Roman"/>
                  <w:sz w:val="20"/>
                  <w:szCs w:val="20"/>
                </w:rPr>
                <w:t xml:space="preserve"> </w:t>
              </w:r>
            </w:hyperlink>
            <w:hyperlink r:id="rId8">
              <w:r w:rsidR="008B4B61" w:rsidRPr="00152DAE">
                <w:rPr>
                  <w:rFonts w:ascii="Times New Roman" w:eastAsia="Times New Roman" w:hAnsi="Times New Roman" w:cs="Times New Roman"/>
                  <w:sz w:val="20"/>
                  <w:szCs w:val="20"/>
                </w:rPr>
                <w:t>(2)10.1016/S1534-5807(02)00190-9</w:t>
              </w:r>
            </w:hyperlink>
          </w:p>
        </w:tc>
      </w:tr>
      <w:tr w:rsidR="008B4B61" w:rsidRPr="00152DAE" w14:paraId="6D69391A" w14:textId="77777777" w:rsidTr="002C0AB8">
        <w:trPr>
          <w:trHeight w:val="468"/>
        </w:trPr>
        <w:tc>
          <w:tcPr>
            <w:tcW w:w="2550" w:type="dxa"/>
            <w:tcBorders>
              <w:top w:val="nil"/>
              <w:left w:val="nil"/>
              <w:bottom w:val="single" w:sz="8" w:space="0" w:color="000000"/>
              <w:right w:val="nil"/>
            </w:tcBorders>
            <w:shd w:val="clear" w:color="auto" w:fill="auto"/>
            <w:tcMar>
              <w:top w:w="100" w:type="dxa"/>
              <w:left w:w="80" w:type="dxa"/>
              <w:bottom w:w="100" w:type="dxa"/>
              <w:right w:w="80" w:type="dxa"/>
            </w:tcMar>
          </w:tcPr>
          <w:p w14:paraId="72615657" w14:textId="77777777" w:rsidR="008B4B61" w:rsidRPr="00152DAE" w:rsidRDefault="008B4B61" w:rsidP="002C0AB8">
            <w:pPr>
              <w:spacing w:before="240" w:line="360" w:lineRule="auto"/>
              <w:ind w:left="60"/>
              <w:jc w:val="center"/>
              <w:rPr>
                <w:rFonts w:ascii="Times New Roman" w:eastAsia="Times New Roman" w:hAnsi="Times New Roman" w:cs="Times New Roman"/>
                <w:b/>
                <w:i/>
                <w:sz w:val="20"/>
                <w:szCs w:val="20"/>
              </w:rPr>
            </w:pPr>
            <w:r w:rsidRPr="00152DAE">
              <w:rPr>
                <w:rFonts w:ascii="Times New Roman" w:eastAsia="Times New Roman" w:hAnsi="Times New Roman" w:cs="Times New Roman"/>
                <w:b/>
                <w:i/>
                <w:sz w:val="20"/>
                <w:szCs w:val="20"/>
              </w:rPr>
              <w:t>ESR1 (nuclear)</w:t>
            </w:r>
          </w:p>
          <w:p w14:paraId="1B3A2BF0" w14:textId="77777777" w:rsidR="008B4B61" w:rsidRPr="00152DAE" w:rsidRDefault="008B4B61" w:rsidP="002C0AB8">
            <w:pPr>
              <w:spacing w:line="360" w:lineRule="auto"/>
              <w:ind w:left="60"/>
              <w:jc w:val="center"/>
              <w:rPr>
                <w:rFonts w:ascii="Times New Roman" w:eastAsia="Times New Roman" w:hAnsi="Times New Roman" w:cs="Times New Roman"/>
                <w:sz w:val="20"/>
                <w:szCs w:val="20"/>
              </w:rPr>
            </w:pPr>
            <w:r w:rsidRPr="00152DAE">
              <w:rPr>
                <w:rFonts w:ascii="Times New Roman" w:eastAsia="Times New Roman" w:hAnsi="Times New Roman" w:cs="Times New Roman"/>
                <w:sz w:val="20"/>
                <w:szCs w:val="20"/>
                <w:highlight w:val="white"/>
              </w:rPr>
              <w:t>estrogen receptor 1</w:t>
            </w:r>
          </w:p>
        </w:tc>
        <w:tc>
          <w:tcPr>
            <w:tcW w:w="3690" w:type="dxa"/>
            <w:tcBorders>
              <w:top w:val="nil"/>
              <w:left w:val="nil"/>
              <w:bottom w:val="single" w:sz="8" w:space="0" w:color="000000"/>
              <w:right w:val="nil"/>
            </w:tcBorders>
            <w:shd w:val="clear" w:color="auto" w:fill="auto"/>
            <w:tcMar>
              <w:top w:w="100" w:type="dxa"/>
              <w:left w:w="80" w:type="dxa"/>
              <w:bottom w:w="100" w:type="dxa"/>
              <w:right w:w="80" w:type="dxa"/>
            </w:tcMar>
          </w:tcPr>
          <w:p w14:paraId="21B4520F" w14:textId="77777777" w:rsidR="008B4B61" w:rsidRPr="00152DAE" w:rsidRDefault="008B4B61" w:rsidP="002C0AB8">
            <w:pPr>
              <w:spacing w:before="240" w:line="360" w:lineRule="auto"/>
              <w:ind w:left="60"/>
              <w:jc w:val="both"/>
              <w:rPr>
                <w:rFonts w:ascii="Times New Roman" w:eastAsia="Times New Roman" w:hAnsi="Times New Roman" w:cs="Times New Roman"/>
                <w:sz w:val="20"/>
                <w:szCs w:val="20"/>
                <w:lang w:val="en-US"/>
              </w:rPr>
            </w:pPr>
            <w:r w:rsidRPr="00152DAE">
              <w:rPr>
                <w:rFonts w:ascii="Times New Roman" w:eastAsia="Times New Roman" w:hAnsi="Times New Roman" w:cs="Times New Roman"/>
                <w:sz w:val="20"/>
                <w:szCs w:val="20"/>
                <w:lang w:val="en-US"/>
              </w:rPr>
              <w:t>It is crucial for liver lipid and carbohydrate metabolism. Its impaired function can lead to obesity and metabolic dysfunction.</w:t>
            </w:r>
          </w:p>
        </w:tc>
        <w:tc>
          <w:tcPr>
            <w:tcW w:w="3030" w:type="dxa"/>
            <w:tcBorders>
              <w:top w:val="nil"/>
              <w:left w:val="nil"/>
              <w:bottom w:val="single" w:sz="8" w:space="0" w:color="000000"/>
              <w:right w:val="nil"/>
            </w:tcBorders>
            <w:shd w:val="clear" w:color="auto" w:fill="auto"/>
            <w:tcMar>
              <w:top w:w="100" w:type="dxa"/>
              <w:left w:w="80" w:type="dxa"/>
              <w:bottom w:w="100" w:type="dxa"/>
              <w:right w:w="80" w:type="dxa"/>
            </w:tcMar>
          </w:tcPr>
          <w:p w14:paraId="1DBCC1F3" w14:textId="77777777" w:rsidR="008B4B61" w:rsidRPr="00152DAE" w:rsidRDefault="00141470" w:rsidP="002C0AB8">
            <w:pPr>
              <w:spacing w:before="240" w:line="360" w:lineRule="auto"/>
              <w:ind w:left="60"/>
              <w:jc w:val="center"/>
              <w:rPr>
                <w:rFonts w:ascii="Times New Roman" w:eastAsia="Times New Roman" w:hAnsi="Times New Roman" w:cs="Times New Roman"/>
                <w:sz w:val="20"/>
                <w:szCs w:val="20"/>
              </w:rPr>
            </w:pPr>
            <w:hyperlink r:id="rId9">
              <w:r w:rsidR="008B4B61" w:rsidRPr="00152DAE">
                <w:rPr>
                  <w:rFonts w:ascii="Times New Roman" w:eastAsia="Times New Roman" w:hAnsi="Times New Roman" w:cs="Times New Roman"/>
                  <w:sz w:val="20"/>
                  <w:szCs w:val="20"/>
                </w:rPr>
                <w:t>10.1016/j.mce.2019.04.005</w:t>
              </w:r>
            </w:hyperlink>
          </w:p>
        </w:tc>
      </w:tr>
      <w:tr w:rsidR="008B4B61" w:rsidRPr="00152DAE" w14:paraId="1497BFA2" w14:textId="77777777" w:rsidTr="002C0AB8">
        <w:trPr>
          <w:trHeight w:val="1415"/>
        </w:trPr>
        <w:tc>
          <w:tcPr>
            <w:tcW w:w="2550" w:type="dxa"/>
            <w:tcBorders>
              <w:top w:val="nil"/>
              <w:left w:val="nil"/>
              <w:bottom w:val="single" w:sz="8" w:space="0" w:color="000000"/>
              <w:right w:val="nil"/>
            </w:tcBorders>
            <w:shd w:val="clear" w:color="auto" w:fill="auto"/>
            <w:tcMar>
              <w:top w:w="100" w:type="dxa"/>
              <w:left w:w="80" w:type="dxa"/>
              <w:bottom w:w="100" w:type="dxa"/>
              <w:right w:w="80" w:type="dxa"/>
            </w:tcMar>
          </w:tcPr>
          <w:p w14:paraId="78C092A1" w14:textId="77777777" w:rsidR="008B4B61" w:rsidRPr="00152DAE" w:rsidRDefault="008B4B61" w:rsidP="002C0AB8">
            <w:pPr>
              <w:spacing w:before="240" w:line="360" w:lineRule="auto"/>
              <w:ind w:left="60"/>
              <w:jc w:val="center"/>
              <w:rPr>
                <w:rFonts w:ascii="Times New Roman" w:eastAsia="Times New Roman" w:hAnsi="Times New Roman" w:cs="Times New Roman"/>
                <w:b/>
                <w:i/>
                <w:sz w:val="20"/>
                <w:szCs w:val="20"/>
                <w:lang w:val="en-US"/>
              </w:rPr>
            </w:pPr>
            <w:r w:rsidRPr="00152DAE">
              <w:rPr>
                <w:rFonts w:ascii="Times New Roman" w:eastAsia="Times New Roman" w:hAnsi="Times New Roman" w:cs="Times New Roman"/>
                <w:b/>
                <w:i/>
                <w:sz w:val="20"/>
                <w:szCs w:val="20"/>
                <w:lang w:val="en-US"/>
              </w:rPr>
              <w:t>STAT3</w:t>
            </w:r>
          </w:p>
          <w:p w14:paraId="0EC611D1" w14:textId="77777777" w:rsidR="008B4B61" w:rsidRPr="00152DAE" w:rsidRDefault="008B4B61" w:rsidP="002C0AB8">
            <w:pPr>
              <w:spacing w:line="360" w:lineRule="auto"/>
              <w:ind w:left="60"/>
              <w:jc w:val="center"/>
              <w:rPr>
                <w:rFonts w:ascii="Times New Roman" w:eastAsia="Times New Roman" w:hAnsi="Times New Roman" w:cs="Times New Roman"/>
                <w:sz w:val="20"/>
                <w:szCs w:val="20"/>
                <w:lang w:val="en-US"/>
              </w:rPr>
            </w:pPr>
            <w:r w:rsidRPr="00152DAE">
              <w:rPr>
                <w:rFonts w:ascii="Times New Roman" w:eastAsia="Times New Roman" w:hAnsi="Times New Roman" w:cs="Times New Roman"/>
                <w:sz w:val="20"/>
                <w:szCs w:val="20"/>
                <w:highlight w:val="white"/>
                <w:lang w:val="en-US"/>
              </w:rPr>
              <w:t>signal transducer and activator of transcription 3</w:t>
            </w:r>
          </w:p>
        </w:tc>
        <w:tc>
          <w:tcPr>
            <w:tcW w:w="3690" w:type="dxa"/>
            <w:tcBorders>
              <w:top w:val="nil"/>
              <w:left w:val="nil"/>
              <w:bottom w:val="single" w:sz="8" w:space="0" w:color="000000"/>
              <w:right w:val="nil"/>
            </w:tcBorders>
            <w:shd w:val="clear" w:color="auto" w:fill="auto"/>
            <w:tcMar>
              <w:top w:w="100" w:type="dxa"/>
              <w:left w:w="80" w:type="dxa"/>
              <w:bottom w:w="100" w:type="dxa"/>
              <w:right w:w="80" w:type="dxa"/>
            </w:tcMar>
          </w:tcPr>
          <w:p w14:paraId="5FA644FB" w14:textId="77777777" w:rsidR="008B4B61" w:rsidRPr="00152DAE" w:rsidRDefault="008B4B61" w:rsidP="002C0AB8">
            <w:pPr>
              <w:spacing w:before="240" w:line="360" w:lineRule="auto"/>
              <w:ind w:left="60"/>
              <w:jc w:val="both"/>
              <w:rPr>
                <w:rFonts w:ascii="Times New Roman" w:eastAsia="Times New Roman" w:hAnsi="Times New Roman" w:cs="Times New Roman"/>
                <w:sz w:val="20"/>
                <w:szCs w:val="20"/>
                <w:lang w:val="en-US"/>
              </w:rPr>
            </w:pPr>
            <w:r w:rsidRPr="00152DAE">
              <w:rPr>
                <w:rFonts w:ascii="Times New Roman" w:eastAsia="Times New Roman" w:hAnsi="Times New Roman" w:cs="Times New Roman"/>
                <w:sz w:val="20"/>
                <w:szCs w:val="20"/>
                <w:lang w:val="en-US"/>
              </w:rPr>
              <w:t>Fundamental in cell growth and apoptosis, it can be activated in response to various cytokines and growth factors, including EGF, IFNs, IL5, IL6, LIF, HGF, and BMP2.</w:t>
            </w:r>
          </w:p>
        </w:tc>
        <w:tc>
          <w:tcPr>
            <w:tcW w:w="3030" w:type="dxa"/>
            <w:tcBorders>
              <w:top w:val="nil"/>
              <w:left w:val="nil"/>
              <w:bottom w:val="single" w:sz="8" w:space="0" w:color="000000"/>
              <w:right w:val="nil"/>
            </w:tcBorders>
            <w:shd w:val="clear" w:color="auto" w:fill="auto"/>
            <w:tcMar>
              <w:top w:w="100" w:type="dxa"/>
              <w:left w:w="80" w:type="dxa"/>
              <w:bottom w:w="100" w:type="dxa"/>
              <w:right w:w="80" w:type="dxa"/>
            </w:tcMar>
          </w:tcPr>
          <w:p w14:paraId="08B14B05" w14:textId="77777777" w:rsidR="008B4B61" w:rsidRPr="00152DAE" w:rsidRDefault="008B4B61" w:rsidP="002C0AB8">
            <w:pPr>
              <w:spacing w:before="240" w:line="360" w:lineRule="auto"/>
              <w:ind w:left="60"/>
              <w:jc w:val="center"/>
              <w:rPr>
                <w:rFonts w:ascii="Times New Roman" w:eastAsia="Times New Roman" w:hAnsi="Times New Roman" w:cs="Times New Roman"/>
                <w:sz w:val="20"/>
                <w:szCs w:val="20"/>
              </w:rPr>
            </w:pPr>
            <w:proofErr w:type="spellStart"/>
            <w:r w:rsidRPr="00152DAE">
              <w:rPr>
                <w:rFonts w:ascii="Times New Roman" w:eastAsia="Times New Roman" w:hAnsi="Times New Roman" w:cs="Times New Roman"/>
                <w:sz w:val="20"/>
                <w:szCs w:val="20"/>
              </w:rPr>
              <w:t>Stelzer</w:t>
            </w:r>
            <w:proofErr w:type="spellEnd"/>
            <w:r w:rsidRPr="00152DAE">
              <w:rPr>
                <w:rFonts w:ascii="Times New Roman" w:eastAsia="Times New Roman" w:hAnsi="Times New Roman" w:cs="Times New Roman"/>
                <w:sz w:val="20"/>
                <w:szCs w:val="20"/>
              </w:rPr>
              <w:t>, G. et al. 2016</w:t>
            </w:r>
          </w:p>
        </w:tc>
      </w:tr>
      <w:tr w:rsidR="008B4B61" w:rsidRPr="00F25310" w14:paraId="65CF9DC9" w14:textId="77777777" w:rsidTr="002C0AB8">
        <w:trPr>
          <w:trHeight w:val="1895"/>
        </w:trPr>
        <w:tc>
          <w:tcPr>
            <w:tcW w:w="2550" w:type="dxa"/>
            <w:tcBorders>
              <w:top w:val="nil"/>
              <w:left w:val="nil"/>
              <w:bottom w:val="single" w:sz="8" w:space="0" w:color="000000"/>
              <w:right w:val="nil"/>
            </w:tcBorders>
            <w:shd w:val="clear" w:color="auto" w:fill="FFFFFF"/>
            <w:tcMar>
              <w:top w:w="100" w:type="dxa"/>
              <w:left w:w="80" w:type="dxa"/>
              <w:bottom w:w="100" w:type="dxa"/>
              <w:right w:w="80" w:type="dxa"/>
            </w:tcMar>
          </w:tcPr>
          <w:p w14:paraId="1C9F61E7" w14:textId="77777777" w:rsidR="008B4B61" w:rsidRPr="00152DAE" w:rsidRDefault="00141470" w:rsidP="002C0AB8">
            <w:pPr>
              <w:spacing w:before="240" w:line="360" w:lineRule="auto"/>
              <w:ind w:left="60"/>
              <w:jc w:val="center"/>
              <w:rPr>
                <w:rFonts w:ascii="Times New Roman" w:eastAsia="Times New Roman" w:hAnsi="Times New Roman" w:cs="Times New Roman"/>
                <w:b/>
                <w:i/>
                <w:sz w:val="20"/>
                <w:szCs w:val="20"/>
              </w:rPr>
            </w:pPr>
            <w:hyperlink r:id="rId10">
              <w:r w:rsidR="008B4B61" w:rsidRPr="00152DAE">
                <w:rPr>
                  <w:rFonts w:ascii="Times New Roman" w:eastAsia="Times New Roman" w:hAnsi="Times New Roman" w:cs="Times New Roman"/>
                  <w:b/>
                  <w:i/>
                  <w:sz w:val="20"/>
                  <w:szCs w:val="20"/>
                </w:rPr>
                <w:t>KLF6</w:t>
              </w:r>
            </w:hyperlink>
          </w:p>
          <w:p w14:paraId="297B894D" w14:textId="77777777" w:rsidR="008B4B61" w:rsidRPr="00152DAE" w:rsidRDefault="008B4B61" w:rsidP="002C0AB8">
            <w:pPr>
              <w:spacing w:line="360" w:lineRule="auto"/>
              <w:ind w:left="60"/>
              <w:jc w:val="center"/>
              <w:rPr>
                <w:rFonts w:ascii="Times New Roman" w:eastAsia="Times New Roman" w:hAnsi="Times New Roman" w:cs="Times New Roman"/>
                <w:sz w:val="20"/>
                <w:szCs w:val="20"/>
              </w:rPr>
            </w:pPr>
            <w:r w:rsidRPr="00152DAE">
              <w:rPr>
                <w:rFonts w:ascii="Times New Roman" w:eastAsia="Times New Roman" w:hAnsi="Times New Roman" w:cs="Times New Roman"/>
                <w:sz w:val="20"/>
                <w:szCs w:val="20"/>
                <w:highlight w:val="white"/>
              </w:rPr>
              <w:t>Kruppel like factor 6</w:t>
            </w:r>
          </w:p>
        </w:tc>
        <w:tc>
          <w:tcPr>
            <w:tcW w:w="3690" w:type="dxa"/>
            <w:tcBorders>
              <w:top w:val="nil"/>
              <w:left w:val="nil"/>
              <w:bottom w:val="single" w:sz="8" w:space="0" w:color="000000"/>
              <w:right w:val="nil"/>
            </w:tcBorders>
            <w:shd w:val="clear" w:color="auto" w:fill="auto"/>
            <w:tcMar>
              <w:top w:w="100" w:type="dxa"/>
              <w:left w:w="80" w:type="dxa"/>
              <w:bottom w:w="100" w:type="dxa"/>
              <w:right w:w="80" w:type="dxa"/>
            </w:tcMar>
          </w:tcPr>
          <w:p w14:paraId="034F1329" w14:textId="77777777" w:rsidR="008B4B61" w:rsidRPr="00152DAE" w:rsidRDefault="008B4B61" w:rsidP="002C0AB8">
            <w:pPr>
              <w:spacing w:before="240" w:line="360" w:lineRule="auto"/>
              <w:ind w:left="60"/>
              <w:jc w:val="both"/>
              <w:rPr>
                <w:rFonts w:ascii="Times New Roman" w:eastAsia="Times New Roman" w:hAnsi="Times New Roman" w:cs="Times New Roman"/>
                <w:sz w:val="20"/>
                <w:szCs w:val="20"/>
                <w:lang w:val="en-US"/>
              </w:rPr>
            </w:pPr>
            <w:r w:rsidRPr="00152DAE">
              <w:rPr>
                <w:rFonts w:ascii="Times New Roman" w:eastAsia="Times New Roman" w:hAnsi="Times New Roman" w:cs="Times New Roman"/>
                <w:sz w:val="20"/>
                <w:szCs w:val="20"/>
                <w:lang w:val="en-US"/>
              </w:rPr>
              <w:t>Co-regulates lipid homeostasis. A study performed with KLF6 knockdown revealed pathways associated to lipid homeostasis (cholesterol and triacylglycerol biosynthesis) which are down-regulated genes, in addition to SREBF1 and SREBF2.</w:t>
            </w:r>
          </w:p>
        </w:tc>
        <w:tc>
          <w:tcPr>
            <w:tcW w:w="3030" w:type="dxa"/>
            <w:tcBorders>
              <w:top w:val="nil"/>
              <w:left w:val="nil"/>
              <w:bottom w:val="single" w:sz="8" w:space="0" w:color="000000"/>
              <w:right w:val="nil"/>
            </w:tcBorders>
            <w:shd w:val="clear" w:color="auto" w:fill="auto"/>
            <w:tcMar>
              <w:top w:w="100" w:type="dxa"/>
              <w:left w:w="80" w:type="dxa"/>
              <w:bottom w:w="100" w:type="dxa"/>
              <w:right w:w="80" w:type="dxa"/>
            </w:tcMar>
          </w:tcPr>
          <w:p w14:paraId="0B9ECA9D" w14:textId="77777777" w:rsidR="008B4B61" w:rsidRPr="00152DAE" w:rsidRDefault="00DD4B15" w:rsidP="002C0AB8">
            <w:pPr>
              <w:spacing w:before="240" w:line="360" w:lineRule="auto"/>
              <w:ind w:left="60"/>
              <w:jc w:val="center"/>
              <w:rPr>
                <w:rFonts w:ascii="Times New Roman" w:eastAsia="Times New Roman" w:hAnsi="Times New Roman" w:cs="Times New Roman"/>
                <w:sz w:val="20"/>
                <w:szCs w:val="20"/>
                <w:lang w:val="en-US"/>
              </w:rPr>
            </w:pPr>
            <w:hyperlink r:id="rId11">
              <w:r w:rsidR="008B4B61" w:rsidRPr="00152DAE">
                <w:rPr>
                  <w:rFonts w:ascii="Times New Roman" w:eastAsia="Times New Roman" w:hAnsi="Times New Roman" w:cs="Times New Roman"/>
                  <w:sz w:val="20"/>
                  <w:szCs w:val="20"/>
                  <w:lang w:val="en-US"/>
                </w:rPr>
                <w:t>https://www.nature.com/articles/s41467-019-09116-x</w:t>
              </w:r>
            </w:hyperlink>
          </w:p>
        </w:tc>
      </w:tr>
      <w:tr w:rsidR="008B4B61" w:rsidRPr="00152DAE" w14:paraId="29260CFA" w14:textId="77777777" w:rsidTr="002C0AB8">
        <w:trPr>
          <w:trHeight w:val="1295"/>
        </w:trPr>
        <w:tc>
          <w:tcPr>
            <w:tcW w:w="2550" w:type="dxa"/>
            <w:tcBorders>
              <w:top w:val="nil"/>
              <w:left w:val="nil"/>
              <w:bottom w:val="single" w:sz="8" w:space="0" w:color="000000"/>
              <w:right w:val="nil"/>
            </w:tcBorders>
            <w:shd w:val="clear" w:color="auto" w:fill="auto"/>
            <w:tcMar>
              <w:top w:w="100" w:type="dxa"/>
              <w:left w:w="80" w:type="dxa"/>
              <w:bottom w:w="100" w:type="dxa"/>
              <w:right w:w="80" w:type="dxa"/>
            </w:tcMar>
          </w:tcPr>
          <w:p w14:paraId="68E5140E" w14:textId="77777777" w:rsidR="008B4B61" w:rsidRPr="00152DAE" w:rsidRDefault="008B4B61" w:rsidP="002C0AB8">
            <w:pPr>
              <w:spacing w:before="240" w:line="360" w:lineRule="auto"/>
              <w:ind w:left="60"/>
              <w:jc w:val="center"/>
              <w:rPr>
                <w:rFonts w:ascii="Times New Roman" w:eastAsia="Times New Roman" w:hAnsi="Times New Roman" w:cs="Times New Roman"/>
                <w:b/>
                <w:i/>
                <w:sz w:val="20"/>
                <w:szCs w:val="20"/>
              </w:rPr>
            </w:pPr>
            <w:r w:rsidRPr="00152DAE">
              <w:rPr>
                <w:rFonts w:ascii="Times New Roman" w:eastAsia="Times New Roman" w:hAnsi="Times New Roman" w:cs="Times New Roman"/>
                <w:b/>
                <w:i/>
                <w:sz w:val="20"/>
                <w:szCs w:val="20"/>
              </w:rPr>
              <w:t>SMAD3</w:t>
            </w:r>
          </w:p>
          <w:p w14:paraId="373F4B28" w14:textId="77777777" w:rsidR="008B4B61" w:rsidRPr="00152DAE" w:rsidRDefault="008B4B61" w:rsidP="002C0AB8">
            <w:pPr>
              <w:spacing w:line="360" w:lineRule="auto"/>
              <w:ind w:left="60"/>
              <w:jc w:val="center"/>
              <w:rPr>
                <w:rFonts w:ascii="Times New Roman" w:eastAsia="Times New Roman" w:hAnsi="Times New Roman" w:cs="Times New Roman"/>
                <w:sz w:val="20"/>
                <w:szCs w:val="20"/>
              </w:rPr>
            </w:pPr>
            <w:r w:rsidRPr="00152DAE">
              <w:rPr>
                <w:rFonts w:ascii="Times New Roman" w:eastAsia="Times New Roman" w:hAnsi="Times New Roman" w:cs="Times New Roman"/>
                <w:sz w:val="20"/>
                <w:szCs w:val="20"/>
                <w:highlight w:val="white"/>
              </w:rPr>
              <w:t>SMAD family member 3</w:t>
            </w:r>
          </w:p>
        </w:tc>
        <w:tc>
          <w:tcPr>
            <w:tcW w:w="3690" w:type="dxa"/>
            <w:tcBorders>
              <w:top w:val="nil"/>
              <w:left w:val="nil"/>
              <w:bottom w:val="single" w:sz="8" w:space="0" w:color="000000"/>
              <w:right w:val="nil"/>
            </w:tcBorders>
            <w:shd w:val="clear" w:color="auto" w:fill="auto"/>
            <w:tcMar>
              <w:top w:w="100" w:type="dxa"/>
              <w:left w:w="80" w:type="dxa"/>
              <w:bottom w:w="100" w:type="dxa"/>
              <w:right w:w="80" w:type="dxa"/>
            </w:tcMar>
          </w:tcPr>
          <w:p w14:paraId="123310DB" w14:textId="77777777" w:rsidR="008B4B61" w:rsidRPr="00152DAE" w:rsidRDefault="008B4B61" w:rsidP="002C0AB8">
            <w:pPr>
              <w:spacing w:before="240" w:line="360" w:lineRule="auto"/>
              <w:ind w:left="60"/>
              <w:jc w:val="both"/>
              <w:rPr>
                <w:rFonts w:ascii="Times New Roman" w:eastAsia="Times New Roman" w:hAnsi="Times New Roman" w:cs="Times New Roman"/>
                <w:sz w:val="20"/>
                <w:szCs w:val="20"/>
                <w:lang w:val="en-US"/>
              </w:rPr>
            </w:pPr>
            <w:r w:rsidRPr="00152DAE">
              <w:rPr>
                <w:rFonts w:ascii="Times New Roman" w:eastAsia="Times New Roman" w:hAnsi="Times New Roman" w:cs="Times New Roman"/>
                <w:sz w:val="20"/>
                <w:szCs w:val="20"/>
                <w:lang w:val="en-US"/>
              </w:rPr>
              <w:t>Activated in liver fibrosis. Involved in intracellular TGF-</w:t>
            </w:r>
            <w:r w:rsidRPr="00152DAE">
              <w:rPr>
                <w:rFonts w:ascii="Times New Roman" w:eastAsia="Times New Roman" w:hAnsi="Times New Roman" w:cs="Times New Roman"/>
                <w:sz w:val="20"/>
                <w:szCs w:val="20"/>
              </w:rPr>
              <w:t>β</w:t>
            </w:r>
            <w:r w:rsidRPr="00152DAE">
              <w:rPr>
                <w:rFonts w:ascii="Times New Roman" w:eastAsia="Times New Roman" w:hAnsi="Times New Roman" w:cs="Times New Roman"/>
                <w:sz w:val="20"/>
                <w:szCs w:val="20"/>
                <w:lang w:val="en-US"/>
              </w:rPr>
              <w:t xml:space="preserve"> signaling, body development, homeostasis and metabolism.</w:t>
            </w:r>
          </w:p>
        </w:tc>
        <w:tc>
          <w:tcPr>
            <w:tcW w:w="3030" w:type="dxa"/>
            <w:tcBorders>
              <w:top w:val="nil"/>
              <w:left w:val="nil"/>
              <w:bottom w:val="single" w:sz="8" w:space="0" w:color="000000"/>
              <w:right w:val="nil"/>
            </w:tcBorders>
            <w:shd w:val="clear" w:color="auto" w:fill="auto"/>
            <w:tcMar>
              <w:top w:w="100" w:type="dxa"/>
              <w:left w:w="80" w:type="dxa"/>
              <w:bottom w:w="100" w:type="dxa"/>
              <w:right w:w="80" w:type="dxa"/>
            </w:tcMar>
          </w:tcPr>
          <w:p w14:paraId="4C1A546F" w14:textId="77777777" w:rsidR="008B4B61" w:rsidRPr="00152DAE" w:rsidRDefault="00141470" w:rsidP="002C0AB8">
            <w:pPr>
              <w:spacing w:before="240" w:line="360" w:lineRule="auto"/>
              <w:ind w:left="60"/>
              <w:jc w:val="center"/>
              <w:rPr>
                <w:rFonts w:ascii="Times New Roman" w:eastAsia="Times New Roman" w:hAnsi="Times New Roman" w:cs="Times New Roman"/>
                <w:sz w:val="20"/>
                <w:szCs w:val="20"/>
              </w:rPr>
            </w:pPr>
            <w:hyperlink r:id="rId12">
              <w:r w:rsidR="008B4B61" w:rsidRPr="00152DAE">
                <w:rPr>
                  <w:rFonts w:ascii="Times New Roman" w:eastAsia="Times New Roman" w:hAnsi="Times New Roman" w:cs="Times New Roman"/>
                  <w:sz w:val="20"/>
                  <w:szCs w:val="20"/>
                </w:rPr>
                <w:t>10.1369/0022155415627681</w:t>
              </w:r>
            </w:hyperlink>
          </w:p>
        </w:tc>
      </w:tr>
      <w:tr w:rsidR="008B4B61" w:rsidRPr="00F25310" w14:paraId="555986D5" w14:textId="77777777" w:rsidTr="002C0AB8">
        <w:trPr>
          <w:trHeight w:val="1895"/>
        </w:trPr>
        <w:tc>
          <w:tcPr>
            <w:tcW w:w="2550" w:type="dxa"/>
            <w:tcBorders>
              <w:top w:val="nil"/>
              <w:left w:val="nil"/>
              <w:bottom w:val="single" w:sz="8" w:space="0" w:color="000000"/>
              <w:right w:val="nil"/>
            </w:tcBorders>
            <w:shd w:val="clear" w:color="auto" w:fill="auto"/>
            <w:tcMar>
              <w:top w:w="100" w:type="dxa"/>
              <w:left w:w="80" w:type="dxa"/>
              <w:bottom w:w="100" w:type="dxa"/>
              <w:right w:w="80" w:type="dxa"/>
            </w:tcMar>
          </w:tcPr>
          <w:p w14:paraId="33CCA6D1" w14:textId="77777777" w:rsidR="008B4B61" w:rsidRPr="00152DAE" w:rsidRDefault="008B4B61" w:rsidP="002C0AB8">
            <w:pPr>
              <w:spacing w:line="360" w:lineRule="auto"/>
              <w:rPr>
                <w:rFonts w:ascii="Times New Roman" w:eastAsia="Times New Roman" w:hAnsi="Times New Roman" w:cs="Times New Roman"/>
                <w:b/>
                <w:sz w:val="20"/>
                <w:szCs w:val="20"/>
                <w:lang w:val="en-US"/>
              </w:rPr>
            </w:pPr>
          </w:p>
          <w:p w14:paraId="4D286B27" w14:textId="77777777" w:rsidR="008B4B61" w:rsidRPr="00152DAE" w:rsidRDefault="008B4B61" w:rsidP="002C0AB8">
            <w:pPr>
              <w:spacing w:line="360" w:lineRule="auto"/>
              <w:jc w:val="center"/>
              <w:rPr>
                <w:rFonts w:ascii="Times New Roman" w:eastAsia="Times New Roman" w:hAnsi="Times New Roman" w:cs="Times New Roman"/>
                <w:b/>
                <w:i/>
                <w:sz w:val="20"/>
                <w:szCs w:val="20"/>
                <w:lang w:val="en-US"/>
              </w:rPr>
            </w:pPr>
            <w:r w:rsidRPr="00152DAE">
              <w:rPr>
                <w:rFonts w:ascii="Times New Roman" w:eastAsia="Times New Roman" w:hAnsi="Times New Roman" w:cs="Times New Roman"/>
                <w:b/>
                <w:i/>
                <w:sz w:val="20"/>
                <w:szCs w:val="20"/>
                <w:lang w:val="en-US"/>
              </w:rPr>
              <w:t>SOX9</w:t>
            </w:r>
          </w:p>
          <w:p w14:paraId="22A39F18" w14:textId="77777777" w:rsidR="008B4B61" w:rsidRPr="00152DAE" w:rsidRDefault="008B4B61" w:rsidP="002C0AB8">
            <w:pPr>
              <w:spacing w:line="360" w:lineRule="auto"/>
              <w:ind w:left="60"/>
              <w:jc w:val="center"/>
              <w:rPr>
                <w:rFonts w:ascii="Times New Roman" w:eastAsia="Times New Roman" w:hAnsi="Times New Roman" w:cs="Times New Roman"/>
                <w:sz w:val="20"/>
                <w:szCs w:val="20"/>
                <w:lang w:val="en-US"/>
              </w:rPr>
            </w:pPr>
            <w:r w:rsidRPr="00152DAE">
              <w:rPr>
                <w:rFonts w:ascii="Times New Roman" w:eastAsia="Times New Roman" w:hAnsi="Times New Roman" w:cs="Times New Roman"/>
                <w:sz w:val="20"/>
                <w:szCs w:val="20"/>
                <w:highlight w:val="white"/>
                <w:lang w:val="en-US"/>
              </w:rPr>
              <w:t>SRY-box transcription factor 9</w:t>
            </w:r>
          </w:p>
        </w:tc>
        <w:tc>
          <w:tcPr>
            <w:tcW w:w="3690" w:type="dxa"/>
            <w:tcBorders>
              <w:top w:val="nil"/>
              <w:left w:val="nil"/>
              <w:bottom w:val="single" w:sz="8" w:space="0" w:color="000000"/>
              <w:right w:val="nil"/>
            </w:tcBorders>
            <w:shd w:val="clear" w:color="auto" w:fill="auto"/>
            <w:tcMar>
              <w:top w:w="100" w:type="dxa"/>
              <w:left w:w="80" w:type="dxa"/>
              <w:bottom w:w="100" w:type="dxa"/>
              <w:right w:w="80" w:type="dxa"/>
            </w:tcMar>
          </w:tcPr>
          <w:p w14:paraId="7A1B3315" w14:textId="77777777" w:rsidR="008B4B61" w:rsidRPr="00152DAE" w:rsidRDefault="008B4B61" w:rsidP="002C0AB8">
            <w:pPr>
              <w:spacing w:before="240" w:line="360" w:lineRule="auto"/>
              <w:ind w:left="60"/>
              <w:jc w:val="both"/>
              <w:rPr>
                <w:rFonts w:ascii="Times New Roman" w:eastAsia="Times New Roman" w:hAnsi="Times New Roman" w:cs="Times New Roman"/>
                <w:sz w:val="20"/>
                <w:szCs w:val="20"/>
                <w:lang w:val="en-US"/>
              </w:rPr>
            </w:pPr>
            <w:r w:rsidRPr="00152DAE">
              <w:rPr>
                <w:rFonts w:ascii="Times New Roman" w:eastAsia="Times New Roman" w:hAnsi="Times New Roman" w:cs="Times New Roman"/>
                <w:sz w:val="20"/>
                <w:szCs w:val="20"/>
                <w:lang w:val="en-US"/>
              </w:rPr>
              <w:t xml:space="preserve">FOXO transcription factors (FOXO1 and FOXO3) promote SOX9 expression when lipid levels are low and thus induce chondrogenic compromise, suppressing fatty acid oxidation. Furthermore, SOX9 may be related to inhibition of </w:t>
            </w:r>
            <w:proofErr w:type="spellStart"/>
            <w:r w:rsidRPr="00152DAE">
              <w:rPr>
                <w:rFonts w:ascii="Times New Roman" w:eastAsia="Times New Roman" w:hAnsi="Times New Roman" w:cs="Times New Roman"/>
                <w:sz w:val="20"/>
                <w:szCs w:val="20"/>
                <w:lang w:val="en-US"/>
              </w:rPr>
              <w:t>Wnt</w:t>
            </w:r>
            <w:proofErr w:type="spellEnd"/>
            <w:r w:rsidRPr="00152DAE">
              <w:rPr>
                <w:rFonts w:ascii="Times New Roman" w:eastAsia="Times New Roman" w:hAnsi="Times New Roman" w:cs="Times New Roman"/>
                <w:sz w:val="20"/>
                <w:szCs w:val="20"/>
                <w:lang w:val="en-US"/>
              </w:rPr>
              <w:t xml:space="preserve"> signaling.</w:t>
            </w:r>
          </w:p>
        </w:tc>
        <w:tc>
          <w:tcPr>
            <w:tcW w:w="3030" w:type="dxa"/>
            <w:tcBorders>
              <w:top w:val="nil"/>
              <w:left w:val="nil"/>
              <w:bottom w:val="single" w:sz="8" w:space="0" w:color="000000"/>
              <w:right w:val="nil"/>
            </w:tcBorders>
            <w:shd w:val="clear" w:color="auto" w:fill="auto"/>
            <w:tcMar>
              <w:top w:w="100" w:type="dxa"/>
              <w:left w:w="80" w:type="dxa"/>
              <w:bottom w:w="100" w:type="dxa"/>
              <w:right w:w="80" w:type="dxa"/>
            </w:tcMar>
          </w:tcPr>
          <w:p w14:paraId="0083A4E5" w14:textId="77777777" w:rsidR="008B4B61" w:rsidRPr="00152DAE" w:rsidRDefault="00DD4B15" w:rsidP="002C0AB8">
            <w:pPr>
              <w:spacing w:before="240" w:line="360" w:lineRule="auto"/>
              <w:ind w:left="60"/>
              <w:jc w:val="center"/>
              <w:rPr>
                <w:rFonts w:ascii="Times New Roman" w:eastAsia="Times New Roman" w:hAnsi="Times New Roman" w:cs="Times New Roman"/>
                <w:sz w:val="20"/>
                <w:szCs w:val="20"/>
                <w:lang w:val="en-US"/>
              </w:rPr>
            </w:pPr>
            <w:hyperlink r:id="rId13">
              <w:r w:rsidR="008B4B61" w:rsidRPr="00152DAE">
                <w:rPr>
                  <w:rFonts w:ascii="Times New Roman" w:eastAsia="Times New Roman" w:hAnsi="Times New Roman" w:cs="Times New Roman"/>
                  <w:sz w:val="20"/>
                  <w:szCs w:val="20"/>
                  <w:lang w:val="en-US"/>
                </w:rPr>
                <w:t xml:space="preserve">(1) </w:t>
              </w:r>
              <w:proofErr w:type="spellStart"/>
              <w:r w:rsidR="008B4B61" w:rsidRPr="00152DAE">
                <w:rPr>
                  <w:rFonts w:ascii="Times New Roman" w:eastAsia="Times New Roman" w:hAnsi="Times New Roman" w:cs="Times New Roman"/>
                  <w:sz w:val="20"/>
                  <w:szCs w:val="20"/>
                  <w:lang w:val="en-US"/>
                </w:rPr>
                <w:t>Stelzer</w:t>
              </w:r>
              <w:proofErr w:type="spellEnd"/>
              <w:r w:rsidR="008B4B61" w:rsidRPr="00152DAE">
                <w:rPr>
                  <w:rFonts w:ascii="Times New Roman" w:eastAsia="Times New Roman" w:hAnsi="Times New Roman" w:cs="Times New Roman"/>
                  <w:sz w:val="20"/>
                  <w:szCs w:val="20"/>
                  <w:lang w:val="en-US"/>
                </w:rPr>
                <w:t>, G. et al. 2016 (2)10.1002 / dvdy.22046</w:t>
              </w:r>
            </w:hyperlink>
          </w:p>
        </w:tc>
      </w:tr>
      <w:tr w:rsidR="008B4B61" w:rsidRPr="00152DAE" w14:paraId="062F9A9C" w14:textId="77777777" w:rsidTr="002C0AB8">
        <w:trPr>
          <w:trHeight w:val="473"/>
        </w:trPr>
        <w:tc>
          <w:tcPr>
            <w:tcW w:w="2550" w:type="dxa"/>
            <w:tcBorders>
              <w:top w:val="nil"/>
              <w:left w:val="nil"/>
              <w:bottom w:val="single" w:sz="8" w:space="0" w:color="000000"/>
              <w:right w:val="nil"/>
            </w:tcBorders>
            <w:shd w:val="clear" w:color="auto" w:fill="auto"/>
            <w:tcMar>
              <w:top w:w="100" w:type="dxa"/>
              <w:left w:w="80" w:type="dxa"/>
              <w:bottom w:w="100" w:type="dxa"/>
              <w:right w:w="80" w:type="dxa"/>
            </w:tcMar>
          </w:tcPr>
          <w:p w14:paraId="66968892" w14:textId="77777777" w:rsidR="008B4B61" w:rsidRPr="00152DAE" w:rsidRDefault="008B4B61" w:rsidP="002C0AB8">
            <w:pPr>
              <w:spacing w:before="240" w:line="360" w:lineRule="auto"/>
              <w:ind w:left="60"/>
              <w:jc w:val="center"/>
              <w:rPr>
                <w:rFonts w:ascii="Times New Roman" w:eastAsia="Times New Roman" w:hAnsi="Times New Roman" w:cs="Times New Roman"/>
                <w:b/>
                <w:i/>
                <w:sz w:val="20"/>
                <w:szCs w:val="20"/>
              </w:rPr>
            </w:pPr>
            <w:r w:rsidRPr="00152DAE">
              <w:rPr>
                <w:rFonts w:ascii="Times New Roman" w:eastAsia="Times New Roman" w:hAnsi="Times New Roman" w:cs="Times New Roman"/>
                <w:b/>
                <w:i/>
                <w:sz w:val="20"/>
                <w:szCs w:val="20"/>
              </w:rPr>
              <w:t>RXRA</w:t>
            </w:r>
          </w:p>
          <w:p w14:paraId="3802439F" w14:textId="77777777" w:rsidR="008B4B61" w:rsidRPr="00152DAE" w:rsidRDefault="008B4B61" w:rsidP="002C0AB8">
            <w:pPr>
              <w:spacing w:line="360" w:lineRule="auto"/>
              <w:ind w:left="60"/>
              <w:jc w:val="center"/>
              <w:rPr>
                <w:rFonts w:ascii="Times New Roman" w:eastAsia="Times New Roman" w:hAnsi="Times New Roman" w:cs="Times New Roman"/>
                <w:sz w:val="20"/>
                <w:szCs w:val="20"/>
              </w:rPr>
            </w:pPr>
            <w:r w:rsidRPr="00152DAE">
              <w:rPr>
                <w:rFonts w:ascii="Times New Roman" w:eastAsia="Times New Roman" w:hAnsi="Times New Roman" w:cs="Times New Roman"/>
                <w:sz w:val="20"/>
                <w:szCs w:val="20"/>
                <w:highlight w:val="white"/>
              </w:rPr>
              <w:t>retinoid X receptor alpha</w:t>
            </w:r>
          </w:p>
        </w:tc>
        <w:tc>
          <w:tcPr>
            <w:tcW w:w="3690" w:type="dxa"/>
            <w:tcBorders>
              <w:top w:val="nil"/>
              <w:left w:val="nil"/>
              <w:bottom w:val="single" w:sz="8" w:space="0" w:color="000000"/>
              <w:right w:val="nil"/>
            </w:tcBorders>
            <w:shd w:val="clear" w:color="auto" w:fill="auto"/>
            <w:tcMar>
              <w:top w:w="100" w:type="dxa"/>
              <w:left w:w="80" w:type="dxa"/>
              <w:bottom w:w="100" w:type="dxa"/>
              <w:right w:w="80" w:type="dxa"/>
            </w:tcMar>
          </w:tcPr>
          <w:p w14:paraId="49E90AE5" w14:textId="77777777" w:rsidR="008B4B61" w:rsidRPr="00152DAE" w:rsidRDefault="008B4B61" w:rsidP="002C0AB8">
            <w:pPr>
              <w:spacing w:before="240" w:line="360" w:lineRule="auto"/>
              <w:ind w:left="60"/>
              <w:jc w:val="both"/>
              <w:rPr>
                <w:rFonts w:ascii="Times New Roman" w:eastAsia="Times New Roman" w:hAnsi="Times New Roman" w:cs="Times New Roman"/>
                <w:sz w:val="20"/>
                <w:szCs w:val="20"/>
                <w:lang w:val="en-US"/>
              </w:rPr>
            </w:pPr>
            <w:r w:rsidRPr="00152DAE">
              <w:rPr>
                <w:rFonts w:ascii="Times New Roman" w:eastAsia="Times New Roman" w:hAnsi="Times New Roman" w:cs="Times New Roman"/>
                <w:sz w:val="20"/>
                <w:szCs w:val="20"/>
                <w:lang w:val="en-US"/>
              </w:rPr>
              <w:t xml:space="preserve">Related to </w:t>
            </w:r>
            <w:proofErr w:type="spellStart"/>
            <w:r w:rsidRPr="00152DAE">
              <w:rPr>
                <w:rFonts w:ascii="Times New Roman" w:eastAsia="Times New Roman" w:hAnsi="Times New Roman" w:cs="Times New Roman"/>
                <w:sz w:val="20"/>
                <w:szCs w:val="20"/>
                <w:lang w:val="en-US"/>
              </w:rPr>
              <w:t>adipogenic</w:t>
            </w:r>
            <w:proofErr w:type="spellEnd"/>
            <w:r w:rsidRPr="00152DAE">
              <w:rPr>
                <w:rFonts w:ascii="Times New Roman" w:eastAsia="Times New Roman" w:hAnsi="Times New Roman" w:cs="Times New Roman"/>
                <w:sz w:val="20"/>
                <w:szCs w:val="20"/>
                <w:lang w:val="en-US"/>
              </w:rPr>
              <w:t xml:space="preserve"> / lipogenic regulation. The SNPs ENHO, RXRA and LXRA were linked to epistatic interactions in dyslipidemia and myocardial infarction.</w:t>
            </w:r>
          </w:p>
        </w:tc>
        <w:tc>
          <w:tcPr>
            <w:tcW w:w="3030" w:type="dxa"/>
            <w:tcBorders>
              <w:top w:val="nil"/>
              <w:left w:val="nil"/>
              <w:bottom w:val="single" w:sz="8" w:space="0" w:color="000000"/>
              <w:right w:val="nil"/>
            </w:tcBorders>
            <w:shd w:val="clear" w:color="auto" w:fill="auto"/>
            <w:tcMar>
              <w:top w:w="100" w:type="dxa"/>
              <w:left w:w="80" w:type="dxa"/>
              <w:bottom w:w="100" w:type="dxa"/>
              <w:right w:w="80" w:type="dxa"/>
            </w:tcMar>
          </w:tcPr>
          <w:p w14:paraId="0C53CEC2" w14:textId="77777777" w:rsidR="008B4B61" w:rsidRPr="00152DAE" w:rsidRDefault="008B4B61" w:rsidP="002C0AB8">
            <w:pPr>
              <w:spacing w:before="240" w:line="360" w:lineRule="auto"/>
              <w:ind w:left="60"/>
              <w:jc w:val="center"/>
              <w:rPr>
                <w:rFonts w:ascii="Times New Roman" w:eastAsia="Times New Roman" w:hAnsi="Times New Roman" w:cs="Times New Roman"/>
                <w:sz w:val="20"/>
                <w:szCs w:val="20"/>
              </w:rPr>
            </w:pPr>
            <w:r w:rsidRPr="00152DAE">
              <w:rPr>
                <w:rFonts w:ascii="Times New Roman" w:eastAsia="Times New Roman" w:hAnsi="Times New Roman" w:cs="Times New Roman"/>
                <w:sz w:val="20"/>
                <w:szCs w:val="20"/>
              </w:rPr>
              <w:t>10.1186 / s12881-018-0708-4</w:t>
            </w:r>
          </w:p>
        </w:tc>
      </w:tr>
      <w:tr w:rsidR="008B4B61" w:rsidRPr="00152DAE" w14:paraId="58E43B78" w14:textId="77777777" w:rsidTr="002C0AB8">
        <w:trPr>
          <w:trHeight w:val="935"/>
        </w:trPr>
        <w:tc>
          <w:tcPr>
            <w:tcW w:w="2550" w:type="dxa"/>
            <w:tcBorders>
              <w:top w:val="nil"/>
              <w:left w:val="nil"/>
              <w:bottom w:val="single" w:sz="8" w:space="0" w:color="000000"/>
              <w:right w:val="nil"/>
            </w:tcBorders>
            <w:shd w:val="clear" w:color="auto" w:fill="auto"/>
            <w:tcMar>
              <w:top w:w="100" w:type="dxa"/>
              <w:left w:w="80" w:type="dxa"/>
              <w:bottom w:w="100" w:type="dxa"/>
              <w:right w:w="80" w:type="dxa"/>
            </w:tcMar>
          </w:tcPr>
          <w:p w14:paraId="6B4AF3A3" w14:textId="77777777" w:rsidR="008B4B61" w:rsidRPr="00152DAE" w:rsidRDefault="008B4B61" w:rsidP="002C0AB8">
            <w:pPr>
              <w:spacing w:before="240" w:line="360" w:lineRule="auto"/>
              <w:ind w:left="60"/>
              <w:jc w:val="center"/>
              <w:rPr>
                <w:rFonts w:ascii="Times New Roman" w:eastAsia="Times New Roman" w:hAnsi="Times New Roman" w:cs="Times New Roman"/>
                <w:b/>
                <w:i/>
                <w:sz w:val="20"/>
                <w:szCs w:val="20"/>
                <w:lang w:val="en-US"/>
              </w:rPr>
            </w:pPr>
            <w:r w:rsidRPr="00152DAE">
              <w:rPr>
                <w:rFonts w:ascii="Times New Roman" w:eastAsia="Times New Roman" w:hAnsi="Times New Roman" w:cs="Times New Roman"/>
                <w:b/>
                <w:i/>
                <w:sz w:val="20"/>
                <w:szCs w:val="20"/>
                <w:lang w:val="en-US"/>
              </w:rPr>
              <w:t>TCF8</w:t>
            </w:r>
          </w:p>
          <w:p w14:paraId="3571B16C" w14:textId="77777777" w:rsidR="008B4B61" w:rsidRPr="00152DAE" w:rsidRDefault="008B4B61" w:rsidP="002C0AB8">
            <w:pPr>
              <w:spacing w:line="360" w:lineRule="auto"/>
              <w:ind w:left="60"/>
              <w:jc w:val="center"/>
              <w:rPr>
                <w:rFonts w:ascii="Times New Roman" w:eastAsia="Times New Roman" w:hAnsi="Times New Roman" w:cs="Times New Roman"/>
                <w:sz w:val="20"/>
                <w:szCs w:val="20"/>
                <w:lang w:val="en-US"/>
              </w:rPr>
            </w:pPr>
            <w:r w:rsidRPr="00152DAE">
              <w:rPr>
                <w:rFonts w:ascii="Times New Roman" w:eastAsia="Times New Roman" w:hAnsi="Times New Roman" w:cs="Times New Roman"/>
                <w:sz w:val="20"/>
                <w:szCs w:val="20"/>
                <w:highlight w:val="white"/>
                <w:lang w:val="en-US"/>
              </w:rPr>
              <w:t>zinc finger E-box binding homeobox 1</w:t>
            </w:r>
          </w:p>
        </w:tc>
        <w:tc>
          <w:tcPr>
            <w:tcW w:w="3690" w:type="dxa"/>
            <w:tcBorders>
              <w:top w:val="nil"/>
              <w:left w:val="nil"/>
              <w:bottom w:val="single" w:sz="8" w:space="0" w:color="000000"/>
              <w:right w:val="nil"/>
            </w:tcBorders>
            <w:shd w:val="clear" w:color="auto" w:fill="auto"/>
            <w:tcMar>
              <w:top w:w="100" w:type="dxa"/>
              <w:left w:w="80" w:type="dxa"/>
              <w:bottom w:w="100" w:type="dxa"/>
              <w:right w:w="80" w:type="dxa"/>
            </w:tcMar>
          </w:tcPr>
          <w:p w14:paraId="65B043CA" w14:textId="77777777" w:rsidR="008B4B61" w:rsidRPr="00152DAE" w:rsidRDefault="008B4B61" w:rsidP="002C0AB8">
            <w:pPr>
              <w:spacing w:before="240" w:line="360" w:lineRule="auto"/>
              <w:ind w:left="60"/>
              <w:jc w:val="both"/>
              <w:rPr>
                <w:rFonts w:ascii="Times New Roman" w:eastAsia="Times New Roman" w:hAnsi="Times New Roman" w:cs="Times New Roman"/>
                <w:sz w:val="20"/>
                <w:szCs w:val="20"/>
                <w:lang w:val="en-US"/>
              </w:rPr>
            </w:pPr>
            <w:r w:rsidRPr="00152DAE">
              <w:rPr>
                <w:rFonts w:ascii="Times New Roman" w:eastAsia="Times New Roman" w:hAnsi="Times New Roman" w:cs="Times New Roman"/>
                <w:sz w:val="20"/>
                <w:szCs w:val="20"/>
                <w:lang w:val="en-US"/>
              </w:rPr>
              <w:t>It regulates endothelial invasion and may negatively regulate pathological angiogenesis.</w:t>
            </w:r>
          </w:p>
        </w:tc>
        <w:tc>
          <w:tcPr>
            <w:tcW w:w="3030" w:type="dxa"/>
            <w:tcBorders>
              <w:top w:val="nil"/>
              <w:left w:val="nil"/>
              <w:bottom w:val="single" w:sz="8" w:space="0" w:color="000000"/>
              <w:right w:val="nil"/>
            </w:tcBorders>
            <w:shd w:val="clear" w:color="auto" w:fill="auto"/>
            <w:tcMar>
              <w:top w:w="100" w:type="dxa"/>
              <w:left w:w="80" w:type="dxa"/>
              <w:bottom w:w="100" w:type="dxa"/>
              <w:right w:w="80" w:type="dxa"/>
            </w:tcMar>
          </w:tcPr>
          <w:p w14:paraId="36258821" w14:textId="77777777" w:rsidR="008B4B61" w:rsidRPr="00152DAE" w:rsidRDefault="00141470" w:rsidP="002C0AB8">
            <w:pPr>
              <w:spacing w:before="240" w:line="360" w:lineRule="auto"/>
              <w:ind w:left="60"/>
              <w:jc w:val="center"/>
              <w:rPr>
                <w:rFonts w:ascii="Times New Roman" w:eastAsia="Times New Roman" w:hAnsi="Times New Roman" w:cs="Times New Roman"/>
                <w:sz w:val="20"/>
                <w:szCs w:val="20"/>
              </w:rPr>
            </w:pPr>
            <w:hyperlink r:id="rId14">
              <w:r w:rsidR="008B4B61" w:rsidRPr="00152DAE">
                <w:rPr>
                  <w:rFonts w:ascii="Times New Roman" w:eastAsia="Times New Roman" w:hAnsi="Times New Roman" w:cs="Times New Roman"/>
                  <w:sz w:val="20"/>
                  <w:szCs w:val="20"/>
                </w:rPr>
                <w:t>10.1016/j.bbrc.2008.12.101</w:t>
              </w:r>
            </w:hyperlink>
          </w:p>
        </w:tc>
      </w:tr>
      <w:tr w:rsidR="008B4B61" w:rsidRPr="00152DAE" w14:paraId="2BA0E7B4" w14:textId="77777777" w:rsidTr="002C0AB8">
        <w:trPr>
          <w:trHeight w:val="740"/>
        </w:trPr>
        <w:tc>
          <w:tcPr>
            <w:tcW w:w="2550" w:type="dxa"/>
            <w:tcBorders>
              <w:top w:val="nil"/>
              <w:left w:val="nil"/>
              <w:bottom w:val="nil"/>
              <w:right w:val="nil"/>
            </w:tcBorders>
            <w:shd w:val="clear" w:color="auto" w:fill="auto"/>
            <w:tcMar>
              <w:top w:w="100" w:type="dxa"/>
              <w:left w:w="80" w:type="dxa"/>
              <w:bottom w:w="100" w:type="dxa"/>
              <w:right w:w="80" w:type="dxa"/>
            </w:tcMar>
          </w:tcPr>
          <w:p w14:paraId="46CA507F" w14:textId="77777777" w:rsidR="008B4B61" w:rsidRPr="00152DAE" w:rsidRDefault="008B4B61" w:rsidP="002C0AB8">
            <w:pPr>
              <w:spacing w:line="360" w:lineRule="auto"/>
              <w:ind w:left="60"/>
              <w:jc w:val="center"/>
              <w:rPr>
                <w:rFonts w:ascii="Times New Roman" w:eastAsia="Times New Roman" w:hAnsi="Times New Roman" w:cs="Times New Roman"/>
                <w:b/>
                <w:sz w:val="20"/>
                <w:szCs w:val="20"/>
                <w:lang w:val="en-US"/>
              </w:rPr>
            </w:pPr>
          </w:p>
          <w:p w14:paraId="5A7EF32C" w14:textId="77777777" w:rsidR="008B4B61" w:rsidRPr="00152DAE" w:rsidRDefault="008B4B61" w:rsidP="002C0AB8">
            <w:pPr>
              <w:spacing w:line="360" w:lineRule="auto"/>
              <w:ind w:left="60"/>
              <w:jc w:val="center"/>
              <w:rPr>
                <w:rFonts w:ascii="Times New Roman" w:eastAsia="Times New Roman" w:hAnsi="Times New Roman" w:cs="Times New Roman"/>
                <w:b/>
                <w:i/>
                <w:sz w:val="20"/>
                <w:szCs w:val="20"/>
                <w:lang w:val="en-US"/>
              </w:rPr>
            </w:pPr>
            <w:r w:rsidRPr="00152DAE">
              <w:rPr>
                <w:rFonts w:ascii="Times New Roman" w:eastAsia="Times New Roman" w:hAnsi="Times New Roman" w:cs="Times New Roman"/>
                <w:b/>
                <w:i/>
                <w:sz w:val="20"/>
                <w:szCs w:val="20"/>
                <w:lang w:val="en-US"/>
              </w:rPr>
              <w:t>TSHZ1</w:t>
            </w:r>
          </w:p>
          <w:p w14:paraId="5343D36C" w14:textId="77777777" w:rsidR="008B4B61" w:rsidRPr="00152DAE" w:rsidRDefault="008B4B61" w:rsidP="002C0AB8">
            <w:pPr>
              <w:spacing w:line="360" w:lineRule="auto"/>
              <w:ind w:left="60"/>
              <w:jc w:val="center"/>
              <w:rPr>
                <w:rFonts w:ascii="Times New Roman" w:eastAsia="Times New Roman" w:hAnsi="Times New Roman" w:cs="Times New Roman"/>
                <w:sz w:val="20"/>
                <w:szCs w:val="20"/>
                <w:lang w:val="en-US"/>
              </w:rPr>
            </w:pPr>
            <w:proofErr w:type="spellStart"/>
            <w:r w:rsidRPr="00152DAE">
              <w:rPr>
                <w:rFonts w:ascii="Times New Roman" w:eastAsia="Times New Roman" w:hAnsi="Times New Roman" w:cs="Times New Roman"/>
                <w:sz w:val="20"/>
                <w:szCs w:val="20"/>
                <w:highlight w:val="white"/>
                <w:lang w:val="en-US"/>
              </w:rPr>
              <w:t>teashirt</w:t>
            </w:r>
            <w:proofErr w:type="spellEnd"/>
            <w:r w:rsidRPr="00152DAE">
              <w:rPr>
                <w:rFonts w:ascii="Times New Roman" w:eastAsia="Times New Roman" w:hAnsi="Times New Roman" w:cs="Times New Roman"/>
                <w:sz w:val="20"/>
                <w:szCs w:val="20"/>
                <w:highlight w:val="white"/>
                <w:lang w:val="en-US"/>
              </w:rPr>
              <w:t xml:space="preserve"> zinc finger homeobox 1</w:t>
            </w:r>
          </w:p>
        </w:tc>
        <w:tc>
          <w:tcPr>
            <w:tcW w:w="3690" w:type="dxa"/>
            <w:tcBorders>
              <w:top w:val="nil"/>
              <w:left w:val="nil"/>
              <w:bottom w:val="nil"/>
              <w:right w:val="nil"/>
            </w:tcBorders>
            <w:shd w:val="clear" w:color="auto" w:fill="auto"/>
            <w:tcMar>
              <w:top w:w="100" w:type="dxa"/>
              <w:left w:w="80" w:type="dxa"/>
              <w:bottom w:w="100" w:type="dxa"/>
              <w:right w:w="80" w:type="dxa"/>
            </w:tcMar>
          </w:tcPr>
          <w:p w14:paraId="6C12BA69" w14:textId="77777777" w:rsidR="008B4B61" w:rsidRPr="00152DAE" w:rsidRDefault="008B4B61" w:rsidP="002C0AB8">
            <w:pPr>
              <w:spacing w:before="240" w:line="360" w:lineRule="auto"/>
              <w:ind w:left="60"/>
              <w:jc w:val="both"/>
              <w:rPr>
                <w:rFonts w:ascii="Times New Roman" w:eastAsia="Times New Roman" w:hAnsi="Times New Roman" w:cs="Times New Roman"/>
                <w:sz w:val="20"/>
                <w:szCs w:val="20"/>
                <w:lang w:val="en-US"/>
              </w:rPr>
            </w:pPr>
            <w:r w:rsidRPr="00152DAE">
              <w:rPr>
                <w:rFonts w:ascii="Times New Roman" w:eastAsia="Times New Roman" w:hAnsi="Times New Roman" w:cs="Times New Roman"/>
                <w:sz w:val="20"/>
                <w:szCs w:val="20"/>
                <w:lang w:val="en-US"/>
              </w:rPr>
              <w:t>It may be related to transcriptional regulation of the developmental processes.</w:t>
            </w:r>
          </w:p>
        </w:tc>
        <w:tc>
          <w:tcPr>
            <w:tcW w:w="3030" w:type="dxa"/>
            <w:tcBorders>
              <w:top w:val="nil"/>
              <w:left w:val="nil"/>
              <w:bottom w:val="nil"/>
              <w:right w:val="nil"/>
            </w:tcBorders>
            <w:shd w:val="clear" w:color="auto" w:fill="auto"/>
            <w:tcMar>
              <w:top w:w="100" w:type="dxa"/>
              <w:left w:w="80" w:type="dxa"/>
              <w:bottom w:w="100" w:type="dxa"/>
              <w:right w:w="80" w:type="dxa"/>
            </w:tcMar>
          </w:tcPr>
          <w:p w14:paraId="258648BB" w14:textId="77777777" w:rsidR="008B4B61" w:rsidRPr="00152DAE" w:rsidRDefault="008B4B61" w:rsidP="002C0AB8">
            <w:pPr>
              <w:spacing w:before="240" w:line="360" w:lineRule="auto"/>
              <w:ind w:left="60"/>
              <w:jc w:val="center"/>
              <w:rPr>
                <w:rFonts w:ascii="Times New Roman" w:eastAsia="Times New Roman" w:hAnsi="Times New Roman" w:cs="Times New Roman"/>
                <w:sz w:val="20"/>
                <w:szCs w:val="20"/>
              </w:rPr>
            </w:pPr>
            <w:proofErr w:type="spellStart"/>
            <w:r w:rsidRPr="00152DAE">
              <w:rPr>
                <w:rFonts w:ascii="Times New Roman" w:eastAsia="Times New Roman" w:hAnsi="Times New Roman" w:cs="Times New Roman"/>
                <w:sz w:val="20"/>
                <w:szCs w:val="20"/>
              </w:rPr>
              <w:t>Stelzer</w:t>
            </w:r>
            <w:proofErr w:type="spellEnd"/>
            <w:r w:rsidRPr="00152DAE">
              <w:rPr>
                <w:rFonts w:ascii="Times New Roman" w:eastAsia="Times New Roman" w:hAnsi="Times New Roman" w:cs="Times New Roman"/>
                <w:sz w:val="20"/>
                <w:szCs w:val="20"/>
              </w:rPr>
              <w:t>, G. et al. 2016</w:t>
            </w:r>
          </w:p>
        </w:tc>
      </w:tr>
      <w:tr w:rsidR="008B4B61" w:rsidRPr="00152DAE" w14:paraId="500A6879" w14:textId="77777777" w:rsidTr="002C0AB8">
        <w:trPr>
          <w:trHeight w:val="935"/>
        </w:trPr>
        <w:tc>
          <w:tcPr>
            <w:tcW w:w="2550" w:type="dxa"/>
            <w:tcBorders>
              <w:top w:val="single" w:sz="8" w:space="0" w:color="000000"/>
              <w:left w:val="nil"/>
              <w:bottom w:val="single" w:sz="8" w:space="0" w:color="000000"/>
              <w:right w:val="nil"/>
            </w:tcBorders>
            <w:shd w:val="clear" w:color="auto" w:fill="FFFFFF"/>
            <w:tcMar>
              <w:top w:w="100" w:type="dxa"/>
              <w:left w:w="80" w:type="dxa"/>
              <w:bottom w:w="100" w:type="dxa"/>
              <w:right w:w="80" w:type="dxa"/>
            </w:tcMar>
          </w:tcPr>
          <w:p w14:paraId="56E5BFF4" w14:textId="77777777" w:rsidR="008B4B61" w:rsidRPr="00152DAE" w:rsidRDefault="008B4B61" w:rsidP="002C0AB8">
            <w:pPr>
              <w:spacing w:before="240" w:line="360" w:lineRule="auto"/>
              <w:ind w:left="60"/>
              <w:jc w:val="center"/>
              <w:rPr>
                <w:rFonts w:ascii="Times New Roman" w:eastAsia="Times New Roman" w:hAnsi="Times New Roman" w:cs="Times New Roman"/>
                <w:b/>
                <w:i/>
                <w:sz w:val="20"/>
                <w:szCs w:val="20"/>
                <w:lang w:val="en-US"/>
              </w:rPr>
            </w:pPr>
            <w:r w:rsidRPr="00152DAE">
              <w:rPr>
                <w:rFonts w:ascii="Times New Roman" w:eastAsia="Times New Roman" w:hAnsi="Times New Roman" w:cs="Times New Roman"/>
                <w:b/>
                <w:i/>
                <w:sz w:val="20"/>
                <w:szCs w:val="20"/>
                <w:lang w:val="en-US"/>
              </w:rPr>
              <w:t>TCF(LEF)</w:t>
            </w:r>
          </w:p>
          <w:p w14:paraId="4701CC21" w14:textId="77777777" w:rsidR="008B4B61" w:rsidRPr="00152DAE" w:rsidRDefault="008B4B61" w:rsidP="002C0AB8">
            <w:pPr>
              <w:spacing w:line="360" w:lineRule="auto"/>
              <w:ind w:left="60"/>
              <w:jc w:val="center"/>
              <w:rPr>
                <w:rFonts w:ascii="Times New Roman" w:eastAsia="Times New Roman" w:hAnsi="Times New Roman" w:cs="Times New Roman"/>
                <w:sz w:val="20"/>
                <w:szCs w:val="20"/>
                <w:lang w:val="en-US"/>
              </w:rPr>
            </w:pPr>
            <w:r w:rsidRPr="00152DAE">
              <w:rPr>
                <w:rFonts w:ascii="Times New Roman" w:eastAsia="Times New Roman" w:hAnsi="Times New Roman" w:cs="Times New Roman"/>
                <w:sz w:val="20"/>
                <w:szCs w:val="20"/>
                <w:highlight w:val="white"/>
                <w:lang w:val="en-US"/>
              </w:rPr>
              <w:t>lymphoid enhancer binding factor 1</w:t>
            </w:r>
          </w:p>
        </w:tc>
        <w:tc>
          <w:tcPr>
            <w:tcW w:w="3690" w:type="dxa"/>
            <w:tcBorders>
              <w:top w:val="single" w:sz="8" w:space="0" w:color="000000"/>
              <w:left w:val="nil"/>
              <w:bottom w:val="single" w:sz="8" w:space="0" w:color="000000"/>
              <w:right w:val="nil"/>
            </w:tcBorders>
            <w:shd w:val="clear" w:color="auto" w:fill="auto"/>
            <w:tcMar>
              <w:top w:w="100" w:type="dxa"/>
              <w:left w:w="80" w:type="dxa"/>
              <w:bottom w:w="100" w:type="dxa"/>
              <w:right w:w="80" w:type="dxa"/>
            </w:tcMar>
          </w:tcPr>
          <w:p w14:paraId="2B00FBAF" w14:textId="77777777" w:rsidR="008B4B61" w:rsidRPr="00152DAE" w:rsidRDefault="008B4B61" w:rsidP="002C0AB8">
            <w:pPr>
              <w:spacing w:before="240" w:line="360" w:lineRule="auto"/>
              <w:ind w:left="60"/>
              <w:jc w:val="both"/>
              <w:rPr>
                <w:rFonts w:ascii="Times New Roman" w:eastAsia="Times New Roman" w:hAnsi="Times New Roman" w:cs="Times New Roman"/>
                <w:sz w:val="20"/>
                <w:szCs w:val="20"/>
                <w:lang w:val="en-US"/>
              </w:rPr>
            </w:pPr>
            <w:r w:rsidRPr="00152DAE">
              <w:rPr>
                <w:rFonts w:ascii="Times New Roman" w:eastAsia="Times New Roman" w:hAnsi="Times New Roman" w:cs="Times New Roman"/>
                <w:sz w:val="20"/>
                <w:szCs w:val="20"/>
                <w:lang w:val="en-US"/>
              </w:rPr>
              <w:t xml:space="preserve">In the nucleus, it binds to </w:t>
            </w:r>
            <w:r w:rsidRPr="00152DAE">
              <w:rPr>
                <w:rFonts w:ascii="Times New Roman" w:eastAsia="Times New Roman" w:hAnsi="Times New Roman" w:cs="Times New Roman"/>
                <w:sz w:val="20"/>
                <w:szCs w:val="20"/>
              </w:rPr>
              <w:t>β</w:t>
            </w:r>
            <w:r w:rsidRPr="00152DAE">
              <w:rPr>
                <w:rFonts w:ascii="Times New Roman" w:eastAsia="Times New Roman" w:hAnsi="Times New Roman" w:cs="Times New Roman"/>
                <w:sz w:val="20"/>
                <w:szCs w:val="20"/>
                <w:lang w:val="en-US"/>
              </w:rPr>
              <w:t xml:space="preserve">-catenin and can activate transcription of </w:t>
            </w:r>
            <w:proofErr w:type="spellStart"/>
            <w:r w:rsidRPr="00152DAE">
              <w:rPr>
                <w:rFonts w:ascii="Times New Roman" w:eastAsia="Times New Roman" w:hAnsi="Times New Roman" w:cs="Times New Roman"/>
                <w:sz w:val="20"/>
                <w:szCs w:val="20"/>
                <w:lang w:val="en-US"/>
              </w:rPr>
              <w:t>Wnt</w:t>
            </w:r>
            <w:proofErr w:type="spellEnd"/>
            <w:r w:rsidRPr="00152DAE">
              <w:rPr>
                <w:rFonts w:ascii="Times New Roman" w:eastAsia="Times New Roman" w:hAnsi="Times New Roman" w:cs="Times New Roman"/>
                <w:sz w:val="20"/>
                <w:szCs w:val="20"/>
                <w:lang w:val="en-US"/>
              </w:rPr>
              <w:t xml:space="preserve"> target genes.</w:t>
            </w:r>
          </w:p>
        </w:tc>
        <w:tc>
          <w:tcPr>
            <w:tcW w:w="3030" w:type="dxa"/>
            <w:tcBorders>
              <w:top w:val="single" w:sz="8" w:space="0" w:color="000000"/>
              <w:left w:val="nil"/>
              <w:bottom w:val="single" w:sz="8" w:space="0" w:color="000000"/>
              <w:right w:val="nil"/>
            </w:tcBorders>
            <w:shd w:val="clear" w:color="auto" w:fill="auto"/>
            <w:tcMar>
              <w:top w:w="100" w:type="dxa"/>
              <w:left w:w="80" w:type="dxa"/>
              <w:bottom w:w="100" w:type="dxa"/>
              <w:right w:w="80" w:type="dxa"/>
            </w:tcMar>
          </w:tcPr>
          <w:p w14:paraId="5FC43F6A" w14:textId="77777777" w:rsidR="008B4B61" w:rsidRPr="00152DAE" w:rsidRDefault="008B4B61" w:rsidP="002C0AB8">
            <w:pPr>
              <w:spacing w:before="240" w:line="360" w:lineRule="auto"/>
              <w:ind w:left="60"/>
              <w:jc w:val="center"/>
              <w:rPr>
                <w:rFonts w:ascii="Times New Roman" w:eastAsia="Times New Roman" w:hAnsi="Times New Roman" w:cs="Times New Roman"/>
                <w:sz w:val="20"/>
                <w:szCs w:val="20"/>
              </w:rPr>
            </w:pPr>
            <w:r w:rsidRPr="00152DAE">
              <w:rPr>
                <w:rFonts w:ascii="Times New Roman" w:eastAsia="Times New Roman" w:hAnsi="Times New Roman" w:cs="Times New Roman"/>
                <w:sz w:val="20"/>
                <w:szCs w:val="20"/>
              </w:rPr>
              <w:t>10.15252 / embj.201798873</w:t>
            </w:r>
          </w:p>
          <w:p w14:paraId="06C1B35B" w14:textId="77777777" w:rsidR="008B4B61" w:rsidRPr="00152DAE" w:rsidRDefault="008B4B61" w:rsidP="002C0AB8">
            <w:pPr>
              <w:spacing w:before="240" w:line="360" w:lineRule="auto"/>
              <w:ind w:left="60"/>
              <w:jc w:val="center"/>
              <w:rPr>
                <w:rFonts w:ascii="Times New Roman" w:eastAsia="Times New Roman" w:hAnsi="Times New Roman" w:cs="Times New Roman"/>
                <w:sz w:val="20"/>
                <w:szCs w:val="20"/>
              </w:rPr>
            </w:pPr>
          </w:p>
        </w:tc>
      </w:tr>
      <w:tr w:rsidR="008B4B61" w:rsidRPr="00152DAE" w14:paraId="3A15512D" w14:textId="77777777" w:rsidTr="002C0AB8">
        <w:trPr>
          <w:trHeight w:val="935"/>
        </w:trPr>
        <w:tc>
          <w:tcPr>
            <w:tcW w:w="2550" w:type="dxa"/>
            <w:tcBorders>
              <w:top w:val="single" w:sz="8" w:space="0" w:color="000000"/>
              <w:left w:val="nil"/>
              <w:bottom w:val="single" w:sz="8" w:space="0" w:color="000000"/>
              <w:right w:val="nil"/>
            </w:tcBorders>
            <w:shd w:val="clear" w:color="auto" w:fill="FFFFFF"/>
            <w:tcMar>
              <w:top w:w="100" w:type="dxa"/>
              <w:left w:w="80" w:type="dxa"/>
              <w:bottom w:w="100" w:type="dxa"/>
              <w:right w:w="80" w:type="dxa"/>
            </w:tcMar>
          </w:tcPr>
          <w:p w14:paraId="3A56CF8F" w14:textId="77777777" w:rsidR="008B4B61" w:rsidRPr="00152DAE" w:rsidRDefault="008B4B61" w:rsidP="002C0AB8">
            <w:pPr>
              <w:spacing w:before="240" w:line="360" w:lineRule="auto"/>
              <w:ind w:left="60"/>
              <w:jc w:val="center"/>
              <w:rPr>
                <w:rFonts w:ascii="Times New Roman" w:eastAsia="Times New Roman" w:hAnsi="Times New Roman" w:cs="Times New Roman"/>
                <w:b/>
                <w:i/>
                <w:sz w:val="20"/>
                <w:szCs w:val="20"/>
              </w:rPr>
            </w:pPr>
            <w:r w:rsidRPr="00152DAE">
              <w:rPr>
                <w:rFonts w:ascii="Times New Roman" w:eastAsia="Times New Roman" w:hAnsi="Times New Roman" w:cs="Times New Roman"/>
                <w:b/>
                <w:i/>
                <w:sz w:val="20"/>
                <w:szCs w:val="20"/>
              </w:rPr>
              <w:lastRenderedPageBreak/>
              <w:t>Androgen receptor</w:t>
            </w:r>
          </w:p>
        </w:tc>
        <w:tc>
          <w:tcPr>
            <w:tcW w:w="3690" w:type="dxa"/>
            <w:tcBorders>
              <w:top w:val="single" w:sz="8" w:space="0" w:color="000000"/>
              <w:left w:val="nil"/>
              <w:bottom w:val="single" w:sz="8" w:space="0" w:color="000000"/>
              <w:right w:val="nil"/>
            </w:tcBorders>
            <w:shd w:val="clear" w:color="auto" w:fill="auto"/>
            <w:tcMar>
              <w:top w:w="100" w:type="dxa"/>
              <w:left w:w="80" w:type="dxa"/>
              <w:bottom w:w="100" w:type="dxa"/>
              <w:right w:w="80" w:type="dxa"/>
            </w:tcMar>
          </w:tcPr>
          <w:p w14:paraId="2F65867A" w14:textId="77777777" w:rsidR="008B4B61" w:rsidRPr="00152DAE" w:rsidRDefault="008B4B61" w:rsidP="002C0AB8">
            <w:pPr>
              <w:spacing w:line="360" w:lineRule="auto"/>
              <w:ind w:left="60"/>
              <w:jc w:val="both"/>
              <w:rPr>
                <w:rFonts w:ascii="Times New Roman" w:eastAsia="Times New Roman" w:hAnsi="Times New Roman" w:cs="Times New Roman"/>
                <w:sz w:val="20"/>
                <w:szCs w:val="20"/>
                <w:lang w:val="en-US"/>
              </w:rPr>
            </w:pPr>
            <w:r w:rsidRPr="00152DAE">
              <w:rPr>
                <w:rFonts w:ascii="Times New Roman" w:eastAsia="Times New Roman" w:hAnsi="Times New Roman" w:cs="Times New Roman"/>
                <w:sz w:val="20"/>
                <w:szCs w:val="20"/>
                <w:lang w:val="en-US"/>
              </w:rPr>
              <w:t>Steroid-hormone activated</w:t>
            </w:r>
          </w:p>
          <w:p w14:paraId="64E4D4E1" w14:textId="77777777" w:rsidR="008B4B61" w:rsidRPr="00152DAE" w:rsidRDefault="008B4B61" w:rsidP="002C0AB8">
            <w:pPr>
              <w:spacing w:line="360" w:lineRule="auto"/>
              <w:ind w:left="60"/>
              <w:jc w:val="both"/>
              <w:rPr>
                <w:rFonts w:ascii="Times New Roman" w:eastAsia="Times New Roman" w:hAnsi="Times New Roman" w:cs="Times New Roman"/>
                <w:sz w:val="20"/>
                <w:szCs w:val="20"/>
                <w:lang w:val="en-US"/>
              </w:rPr>
            </w:pPr>
            <w:r w:rsidRPr="00152DAE">
              <w:rPr>
                <w:rFonts w:ascii="Times New Roman" w:eastAsia="Times New Roman" w:hAnsi="Times New Roman" w:cs="Times New Roman"/>
                <w:sz w:val="20"/>
                <w:szCs w:val="20"/>
                <w:lang w:val="en-US"/>
              </w:rPr>
              <w:t>transcription factor.</w:t>
            </w:r>
          </w:p>
        </w:tc>
        <w:tc>
          <w:tcPr>
            <w:tcW w:w="3030" w:type="dxa"/>
            <w:tcBorders>
              <w:top w:val="single" w:sz="8" w:space="0" w:color="000000"/>
              <w:left w:val="nil"/>
              <w:bottom w:val="single" w:sz="8" w:space="0" w:color="000000"/>
              <w:right w:val="nil"/>
            </w:tcBorders>
            <w:shd w:val="clear" w:color="auto" w:fill="auto"/>
            <w:tcMar>
              <w:top w:w="100" w:type="dxa"/>
              <w:left w:w="80" w:type="dxa"/>
              <w:bottom w:w="100" w:type="dxa"/>
              <w:right w:w="80" w:type="dxa"/>
            </w:tcMar>
          </w:tcPr>
          <w:p w14:paraId="39C79E6B" w14:textId="77777777" w:rsidR="008B4B61" w:rsidRPr="00152DAE" w:rsidRDefault="008B4B61" w:rsidP="002C0AB8">
            <w:pPr>
              <w:spacing w:before="240" w:line="360" w:lineRule="auto"/>
              <w:ind w:left="60"/>
              <w:jc w:val="center"/>
              <w:rPr>
                <w:rFonts w:ascii="Times New Roman" w:eastAsia="Times New Roman" w:hAnsi="Times New Roman" w:cs="Times New Roman"/>
                <w:sz w:val="20"/>
                <w:szCs w:val="20"/>
              </w:rPr>
            </w:pPr>
            <w:proofErr w:type="spellStart"/>
            <w:r w:rsidRPr="00152DAE">
              <w:rPr>
                <w:rFonts w:ascii="Times New Roman" w:eastAsia="Times New Roman" w:hAnsi="Times New Roman" w:cs="Times New Roman"/>
                <w:sz w:val="20"/>
                <w:szCs w:val="20"/>
              </w:rPr>
              <w:t>Stelzer</w:t>
            </w:r>
            <w:proofErr w:type="spellEnd"/>
            <w:r w:rsidRPr="00152DAE">
              <w:rPr>
                <w:rFonts w:ascii="Times New Roman" w:eastAsia="Times New Roman" w:hAnsi="Times New Roman" w:cs="Times New Roman"/>
                <w:sz w:val="20"/>
                <w:szCs w:val="20"/>
              </w:rPr>
              <w:t>, G. et al., (2016).</w:t>
            </w:r>
          </w:p>
        </w:tc>
      </w:tr>
      <w:tr w:rsidR="008B4B61" w:rsidRPr="00152DAE" w14:paraId="45B1D379" w14:textId="77777777" w:rsidTr="0057545A">
        <w:trPr>
          <w:trHeight w:val="935"/>
        </w:trPr>
        <w:tc>
          <w:tcPr>
            <w:tcW w:w="2550" w:type="dxa"/>
            <w:tcBorders>
              <w:top w:val="single" w:sz="8" w:space="0" w:color="000000"/>
              <w:left w:val="nil"/>
              <w:bottom w:val="single" w:sz="8" w:space="0" w:color="000000"/>
              <w:right w:val="nil"/>
            </w:tcBorders>
            <w:shd w:val="clear" w:color="auto" w:fill="FFFFFF"/>
            <w:tcMar>
              <w:top w:w="100" w:type="dxa"/>
              <w:left w:w="80" w:type="dxa"/>
              <w:bottom w:w="100" w:type="dxa"/>
              <w:right w:w="80" w:type="dxa"/>
            </w:tcMar>
          </w:tcPr>
          <w:p w14:paraId="5ED8112C" w14:textId="77777777" w:rsidR="008B4B61" w:rsidRPr="0057545A" w:rsidRDefault="008B4B61" w:rsidP="0057545A">
            <w:pPr>
              <w:spacing w:before="240" w:line="360" w:lineRule="auto"/>
              <w:ind w:left="60"/>
              <w:jc w:val="center"/>
              <w:rPr>
                <w:rFonts w:ascii="Times New Roman" w:eastAsia="Times New Roman" w:hAnsi="Times New Roman" w:cs="Times New Roman"/>
                <w:b/>
                <w:sz w:val="18"/>
                <w:szCs w:val="20"/>
                <w:lang w:val="en-US"/>
              </w:rPr>
            </w:pPr>
            <w:r w:rsidRPr="0057545A">
              <w:rPr>
                <w:rFonts w:ascii="Times New Roman" w:eastAsia="Times New Roman" w:hAnsi="Times New Roman" w:cs="Times New Roman"/>
                <w:b/>
                <w:i/>
                <w:sz w:val="18"/>
                <w:szCs w:val="20"/>
                <w:lang w:val="en-US"/>
              </w:rPr>
              <w:t>SREBP2</w:t>
            </w:r>
            <w:r w:rsidRPr="0057545A">
              <w:rPr>
                <w:rFonts w:ascii="Times New Roman" w:eastAsia="Times New Roman" w:hAnsi="Times New Roman" w:cs="Times New Roman"/>
                <w:b/>
                <w:sz w:val="18"/>
                <w:szCs w:val="20"/>
                <w:lang w:val="en-US"/>
              </w:rPr>
              <w:t xml:space="preserve"> precursor</w:t>
            </w:r>
          </w:p>
          <w:p w14:paraId="2217BF6B" w14:textId="77777777" w:rsidR="008B4B61" w:rsidRPr="0057545A" w:rsidRDefault="008B4B61" w:rsidP="0057545A">
            <w:pPr>
              <w:spacing w:line="360" w:lineRule="auto"/>
              <w:ind w:left="60"/>
              <w:jc w:val="center"/>
              <w:rPr>
                <w:rFonts w:ascii="Times New Roman" w:eastAsia="Times New Roman" w:hAnsi="Times New Roman" w:cs="Times New Roman"/>
                <w:sz w:val="18"/>
                <w:szCs w:val="20"/>
                <w:lang w:val="en-US"/>
              </w:rPr>
            </w:pPr>
            <w:r w:rsidRPr="0057545A">
              <w:rPr>
                <w:rFonts w:ascii="Times New Roman" w:eastAsia="Times New Roman" w:hAnsi="Times New Roman" w:cs="Times New Roman"/>
                <w:sz w:val="18"/>
                <w:szCs w:val="20"/>
                <w:highlight w:val="white"/>
                <w:lang w:val="en-US"/>
              </w:rPr>
              <w:t>sterol regulatory element binding transcription factor 2</w:t>
            </w:r>
          </w:p>
        </w:tc>
        <w:tc>
          <w:tcPr>
            <w:tcW w:w="3690" w:type="dxa"/>
            <w:tcBorders>
              <w:top w:val="single" w:sz="8" w:space="0" w:color="000000"/>
              <w:left w:val="nil"/>
              <w:bottom w:val="single" w:sz="8" w:space="0" w:color="000000"/>
              <w:right w:val="nil"/>
            </w:tcBorders>
            <w:shd w:val="clear" w:color="auto" w:fill="auto"/>
            <w:tcMar>
              <w:top w:w="100" w:type="dxa"/>
              <w:left w:w="80" w:type="dxa"/>
              <w:bottom w:w="100" w:type="dxa"/>
              <w:right w:w="80" w:type="dxa"/>
            </w:tcMar>
          </w:tcPr>
          <w:p w14:paraId="04173E12" w14:textId="77777777" w:rsidR="008B4B61" w:rsidRPr="00152DAE" w:rsidRDefault="008B4B61" w:rsidP="002C0AB8">
            <w:pPr>
              <w:spacing w:line="360" w:lineRule="auto"/>
              <w:ind w:left="60"/>
              <w:jc w:val="both"/>
              <w:rPr>
                <w:rFonts w:ascii="Times New Roman" w:eastAsia="Times New Roman" w:hAnsi="Times New Roman" w:cs="Times New Roman"/>
                <w:sz w:val="20"/>
                <w:szCs w:val="20"/>
                <w:lang w:val="en-US"/>
              </w:rPr>
            </w:pPr>
          </w:p>
          <w:p w14:paraId="0AB4F5FC" w14:textId="77777777" w:rsidR="008B4B61" w:rsidRPr="00152DAE" w:rsidRDefault="008B4B61" w:rsidP="002C0AB8">
            <w:pPr>
              <w:spacing w:line="360" w:lineRule="auto"/>
              <w:ind w:left="60"/>
              <w:jc w:val="both"/>
              <w:rPr>
                <w:rFonts w:ascii="Times New Roman" w:eastAsia="Times New Roman" w:hAnsi="Times New Roman" w:cs="Times New Roman"/>
                <w:sz w:val="20"/>
                <w:szCs w:val="20"/>
                <w:lang w:val="en-US"/>
              </w:rPr>
            </w:pPr>
            <w:r w:rsidRPr="00152DAE">
              <w:rPr>
                <w:rFonts w:ascii="Times New Roman" w:eastAsia="Times New Roman" w:hAnsi="Times New Roman" w:cs="Times New Roman"/>
                <w:sz w:val="20"/>
                <w:szCs w:val="20"/>
                <w:lang w:val="en-US"/>
              </w:rPr>
              <w:t>Related to cholesterol homeostasis by regulating the transcription of sterol-regulated genes.</w:t>
            </w:r>
          </w:p>
        </w:tc>
        <w:tc>
          <w:tcPr>
            <w:tcW w:w="3030" w:type="dxa"/>
            <w:tcBorders>
              <w:top w:val="single" w:sz="8" w:space="0" w:color="000000"/>
              <w:left w:val="nil"/>
              <w:bottom w:val="single" w:sz="8" w:space="0" w:color="000000"/>
              <w:right w:val="nil"/>
            </w:tcBorders>
            <w:shd w:val="clear" w:color="auto" w:fill="auto"/>
            <w:tcMar>
              <w:top w:w="100" w:type="dxa"/>
              <w:left w:w="80" w:type="dxa"/>
              <w:bottom w:w="100" w:type="dxa"/>
              <w:right w:w="80" w:type="dxa"/>
            </w:tcMar>
          </w:tcPr>
          <w:p w14:paraId="5B4D75EC" w14:textId="77777777" w:rsidR="008B4B61" w:rsidRPr="00152DAE" w:rsidRDefault="008B4B61" w:rsidP="002C0AB8">
            <w:pPr>
              <w:spacing w:before="240" w:line="360" w:lineRule="auto"/>
              <w:ind w:left="60"/>
              <w:jc w:val="center"/>
              <w:rPr>
                <w:rFonts w:ascii="Times New Roman" w:eastAsia="Times New Roman" w:hAnsi="Times New Roman" w:cs="Times New Roman"/>
                <w:sz w:val="20"/>
                <w:szCs w:val="20"/>
              </w:rPr>
            </w:pPr>
            <w:proofErr w:type="spellStart"/>
            <w:r w:rsidRPr="00152DAE">
              <w:rPr>
                <w:rFonts w:ascii="Times New Roman" w:eastAsia="Times New Roman" w:hAnsi="Times New Roman" w:cs="Times New Roman"/>
                <w:sz w:val="20"/>
                <w:szCs w:val="20"/>
              </w:rPr>
              <w:t>Stelzer</w:t>
            </w:r>
            <w:proofErr w:type="spellEnd"/>
            <w:r w:rsidRPr="00152DAE">
              <w:rPr>
                <w:rFonts w:ascii="Times New Roman" w:eastAsia="Times New Roman" w:hAnsi="Times New Roman" w:cs="Times New Roman"/>
                <w:sz w:val="20"/>
                <w:szCs w:val="20"/>
              </w:rPr>
              <w:t>, G. et al., (2016).</w:t>
            </w:r>
          </w:p>
        </w:tc>
      </w:tr>
    </w:tbl>
    <w:p w14:paraId="1FCC5829" w14:textId="77777777" w:rsidR="007529E0" w:rsidRPr="00493BA0" w:rsidRDefault="007529E0" w:rsidP="0057545A">
      <w:pPr>
        <w:rPr>
          <w:lang w:val="en-US"/>
        </w:rPr>
      </w:pPr>
    </w:p>
    <w:sectPr w:rsidR="007529E0" w:rsidRPr="00493BA0">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3BA0"/>
    <w:rsid w:val="00141470"/>
    <w:rsid w:val="00152DAE"/>
    <w:rsid w:val="00493BA0"/>
    <w:rsid w:val="0057545A"/>
    <w:rsid w:val="007529E0"/>
    <w:rsid w:val="00762C8E"/>
    <w:rsid w:val="008B4B61"/>
    <w:rsid w:val="00A9194D"/>
    <w:rsid w:val="00DD4B15"/>
    <w:rsid w:val="00F22FBC"/>
    <w:rsid w:val="00F25310"/>
    <w:rsid w:val="00FD1A3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E04C6"/>
  <w15:docId w15:val="{4C916DDB-825B-974D-A8F2-E233C759E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comentrio">
    <w:name w:val="annotation text"/>
    <w:basedOn w:val="Normal"/>
    <w:link w:val="TextodecomentrioChar"/>
    <w:uiPriority w:val="99"/>
    <w:unhideWhenUsed/>
    <w:rsid w:val="00493BA0"/>
    <w:rPr>
      <w:rFonts w:ascii="Arial" w:eastAsia="Arial" w:hAnsi="Arial" w:cs="Arial"/>
      <w:sz w:val="20"/>
      <w:szCs w:val="20"/>
      <w:lang w:val="en-US" w:eastAsia="pt-BR"/>
    </w:rPr>
  </w:style>
  <w:style w:type="character" w:customStyle="1" w:styleId="TextodecomentrioChar">
    <w:name w:val="Texto de comentário Char"/>
    <w:basedOn w:val="Fontepargpadro"/>
    <w:link w:val="Textodecomentrio"/>
    <w:uiPriority w:val="99"/>
    <w:rsid w:val="00493BA0"/>
    <w:rPr>
      <w:rFonts w:ascii="Arial" w:eastAsia="Arial" w:hAnsi="Arial" w:cs="Arial"/>
      <w:sz w:val="20"/>
      <w:szCs w:val="20"/>
      <w:lang w:val="en-US" w:eastAsia="pt-BR"/>
    </w:rPr>
  </w:style>
  <w:style w:type="character" w:styleId="Refdecomentrio">
    <w:name w:val="annotation reference"/>
    <w:uiPriority w:val="99"/>
    <w:semiHidden/>
    <w:unhideWhenUsed/>
    <w:rsid w:val="00493BA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380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anndiagpath.2019.01.002" TargetMode="External"/><Relationship Id="rId13" Type="http://schemas.openxmlformats.org/officeDocument/2006/relationships/hyperlink" Target="https://doi.org/10.1016/j.anndiagpath.2019.01.002" TargetMode="External"/><Relationship Id="rId3" Type="http://schemas.openxmlformats.org/officeDocument/2006/relationships/webSettings" Target="webSettings.xml"/><Relationship Id="rId7" Type="http://schemas.openxmlformats.org/officeDocument/2006/relationships/hyperlink" Target="https://doi.org/10.1016/j.anndiagpath.2019.01.002" TargetMode="External"/><Relationship Id="rId12" Type="http://schemas.openxmlformats.org/officeDocument/2006/relationships/hyperlink" Target="https://doi.org/10.1369/0022155415627681"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doi.org/10.1016/j.anndiagpath.2019.01.002" TargetMode="External"/><Relationship Id="rId11" Type="http://schemas.openxmlformats.org/officeDocument/2006/relationships/hyperlink" Target="https://www.nature.com/articles/s41467-019-09116-x" TargetMode="External"/><Relationship Id="rId5" Type="http://schemas.openxmlformats.org/officeDocument/2006/relationships/hyperlink" Target="https://doi.org/10.1016/j.metabol.2021.154705" TargetMode="External"/><Relationship Id="rId15" Type="http://schemas.openxmlformats.org/officeDocument/2006/relationships/fontTable" Target="fontTable.xml"/><Relationship Id="rId10" Type="http://schemas.openxmlformats.org/officeDocument/2006/relationships/hyperlink" Target="https://portal.genego.com/cgi/regulation/regulation_info.cgi?id=-523566610" TargetMode="External"/><Relationship Id="rId4" Type="http://schemas.openxmlformats.org/officeDocument/2006/relationships/hyperlink" Target="https://portal.genego.com/" TargetMode="External"/><Relationship Id="rId9" Type="http://schemas.openxmlformats.org/officeDocument/2006/relationships/hyperlink" Target="https://doi.org/10.1016/j.mce.2019.04.005" TargetMode="External"/><Relationship Id="rId14" Type="http://schemas.openxmlformats.org/officeDocument/2006/relationships/hyperlink" Target="https://doi.org/10.1016/j.bbrc.2008.12.101"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914</Words>
  <Characters>4940</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Aline Cesar</dc:creator>
  <cp:lastModifiedBy>Aline Cesar</cp:lastModifiedBy>
  <cp:revision>6</cp:revision>
  <dcterms:created xsi:type="dcterms:W3CDTF">2022-02-07T18:28:00Z</dcterms:created>
  <dcterms:modified xsi:type="dcterms:W3CDTF">2022-02-08T16:16:00Z</dcterms:modified>
</cp:coreProperties>
</file>