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166F6A" w:rsidP="00595A30" w:rsidRDefault="00AE717A" w14:paraId="4F7E04C4" w14:textId="2B4F6080">
      <w:pPr>
        <w:pStyle w:val="Title"/>
      </w:pPr>
      <w:r>
        <w:t xml:space="preserve">Assessment of </w:t>
      </w:r>
      <w:r w:rsidR="000C32E0">
        <w:t>perivascular space</w:t>
      </w:r>
      <w:r>
        <w:t xml:space="preserve"> </w:t>
      </w:r>
      <w:r w:rsidR="00540E10">
        <w:t>filtering</w:t>
      </w:r>
      <w:r>
        <w:t xml:space="preserve"> methods using a</w:t>
      </w:r>
      <w:r w:rsidRPr="007A7D67">
        <w:t xml:space="preserve"> three-dimensional computational model</w:t>
      </w:r>
      <w:r w:rsidR="007745EF">
        <w:t>: supplementary material</w:t>
      </w:r>
    </w:p>
    <w:p w:rsidRPr="00595A30" w:rsidR="00595A30" w:rsidP="00595A30" w:rsidRDefault="00595A30" w14:paraId="261EB147" w14:textId="77777777"/>
    <w:p w:rsidR="00595A30" w:rsidP="00C514F9" w:rsidRDefault="0000422B" w14:paraId="496673E0" w14:textId="00CAB39F">
      <w:pPr>
        <w:pStyle w:val="Heading1"/>
      </w:pPr>
      <w:r>
        <w:t xml:space="preserve">3 </w:t>
      </w:r>
      <w:r w:rsidR="00C514F9">
        <w:t>Results</w:t>
      </w:r>
    </w:p>
    <w:p w:rsidR="00505AAF" w:rsidP="00505AAF" w:rsidRDefault="00505AAF" w14:paraId="3D407EC8" w14:textId="3363EE60">
      <w:pPr>
        <w:pStyle w:val="Heading2"/>
      </w:pPr>
      <w:r>
        <w:t>3.2</w:t>
      </w:r>
      <w:r w:rsidRPr="007A7D67">
        <w:t xml:space="preserve"> E</w:t>
      </w:r>
      <w:r>
        <w:t>ffect of imaging considerations</w:t>
      </w:r>
    </w:p>
    <w:p w:rsidR="002C5F06" w:rsidP="002C5F06" w:rsidRDefault="002C5F06" w14:paraId="576BDB36" w14:textId="5CD66C22">
      <w:pPr>
        <w:pStyle w:val="Heading3"/>
      </w:pPr>
      <w:r>
        <w:t>3.2</w:t>
      </w:r>
      <w:r w:rsidRPr="007A7D67">
        <w:t>.</w:t>
      </w:r>
      <w:r>
        <w:t>1</w:t>
      </w:r>
      <w:r w:rsidRPr="007A7D67">
        <w:t xml:space="preserve"> Slice thickness</w:t>
      </w:r>
    </w:p>
    <w:p w:rsidRPr="00C14791" w:rsidR="00C14791" w:rsidP="00C14791" w:rsidRDefault="00C14791" w14:paraId="28FF353C" w14:textId="4574C5CF">
      <w:r>
        <w:t>Segmentation performance decreases with thicker slices</w:t>
      </w:r>
      <w:r w:rsidR="007A6DAF">
        <w:t xml:space="preserve"> (</w:t>
      </w:r>
      <w:r w:rsidR="007A6DAF">
        <w:fldChar w:fldCharType="begin"/>
      </w:r>
      <w:r w:rsidR="007A6DAF">
        <w:instrText xml:space="preserve"> REF _Ref96932260 \h </w:instrText>
      </w:r>
      <w:r w:rsidR="007A6DAF">
        <w:fldChar w:fldCharType="separate"/>
      </w:r>
      <w:r w:rsidR="007A6DAF">
        <w:t>Figure S</w:t>
      </w:r>
      <w:r w:rsidR="007A6DAF">
        <w:rPr>
          <w:noProof/>
        </w:rPr>
        <w:t>1</w:t>
      </w:r>
      <w:r w:rsidR="007A6DAF">
        <w:fldChar w:fldCharType="end"/>
      </w:r>
      <w:r w:rsidR="007A6DAF">
        <w:t>)</w:t>
      </w:r>
      <w:r>
        <w:t>.</w:t>
      </w:r>
      <w:r w:rsidR="007A6DAF">
        <w:t xml:space="preserve"> </w:t>
      </w:r>
      <w:r w:rsidR="0062799C">
        <w:t>W</w:t>
      </w:r>
      <w:r w:rsidR="00B22303">
        <w:t xml:space="preserve">hile </w:t>
      </w:r>
      <w:r w:rsidR="003F7086">
        <w:t xml:space="preserve">k-space </w:t>
      </w:r>
      <w:r w:rsidR="00B22303">
        <w:t>sampling hinders quantification, precision-recall curves suggest it is no source of variability (thin, almost imperceptible confidence intervals around the mean value).</w:t>
      </w:r>
    </w:p>
    <w:p w:rsidR="00893DFC" w:rsidP="00893DFC" w:rsidRDefault="00893DFC" w14:paraId="277E355F" w14:textId="77777777">
      <w:pPr>
        <w:keepNext/>
      </w:pPr>
      <w:r>
        <w:rPr>
          <w:noProof/>
          <w:lang w:eastAsia="en-GB"/>
        </w:rPr>
        <w:drawing>
          <wp:inline distT="0" distB="0" distL="0" distR="0" wp14:anchorId="3259F5C9" wp14:editId="4036DF09">
            <wp:extent cx="5731510" cy="2507615"/>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PRC_sampling.png"/>
                    <pic:cNvPicPr/>
                  </pic:nvPicPr>
                  <pic:blipFill>
                    <a:blip r:embed="rId6">
                      <a:extLst>
                        <a:ext uri="{28A0092B-C50C-407E-A947-70E740481C1C}">
                          <a14:useLocalDpi xmlns:a14="http://schemas.microsoft.com/office/drawing/2010/main" val="0"/>
                        </a:ext>
                      </a:extLst>
                    </a:blip>
                    <a:stretch>
                      <a:fillRect/>
                    </a:stretch>
                  </pic:blipFill>
                  <pic:spPr>
                    <a:xfrm>
                      <a:off x="0" y="0"/>
                      <a:ext cx="5731510" cy="2507615"/>
                    </a:xfrm>
                    <a:prstGeom prst="rect">
                      <a:avLst/>
                    </a:prstGeom>
                  </pic:spPr>
                </pic:pic>
              </a:graphicData>
            </a:graphic>
          </wp:inline>
        </w:drawing>
      </w:r>
    </w:p>
    <w:p w:rsidR="004B71FB" w:rsidP="006B1C51" w:rsidRDefault="00893DFC" w14:paraId="68C087A8" w14:textId="7BD2C5DB">
      <w:pPr>
        <w:pStyle w:val="Caption"/>
      </w:pPr>
      <w:bookmarkStart w:name="_Ref96932260" w:id="0"/>
      <w:r>
        <w:t>Figure S</w:t>
      </w:r>
      <w:r w:rsidR="00540E10">
        <w:fldChar w:fldCharType="begin"/>
      </w:r>
      <w:r w:rsidR="00540E10">
        <w:instrText xml:space="preserve"> SEQ Figure \* ARABIC </w:instrText>
      </w:r>
      <w:r w:rsidR="00540E10">
        <w:fldChar w:fldCharType="separate"/>
      </w:r>
      <w:r w:rsidR="00B40307">
        <w:rPr>
          <w:noProof/>
        </w:rPr>
        <w:t>1</w:t>
      </w:r>
      <w:r w:rsidR="00540E10">
        <w:rPr>
          <w:noProof/>
        </w:rPr>
        <w:fldChar w:fldCharType="end"/>
      </w:r>
      <w:bookmarkEnd w:id="0"/>
      <w:r>
        <w:t>. Precision-recall curve obtained by the Frangi, Jerman, and RORPO filters on a 4-mm length and 2-mm width PVS after sampling.</w:t>
      </w:r>
      <w:r w:rsidR="009F20A4">
        <w:t xml:space="preserve"> </w:t>
      </w:r>
      <w:r>
        <w:t>Lines and shadowed areas represent mean precision-recall curves and their confidence interval, respectively.</w:t>
      </w:r>
      <w:r w:rsidR="009F20A4">
        <w:t xml:space="preserve"> </w:t>
      </w:r>
      <w:r w:rsidRPr="009F20A4" w:rsidR="009F20A4">
        <w:t>We selected a PVS with such dimensions as it was found an average size in the study of reference</w:t>
      </w:r>
      <w:r w:rsidR="009F20A4">
        <w:t xml:space="preserve"> </w:t>
      </w:r>
      <w:r w:rsidR="009F20A4">
        <w:fldChar w:fldCharType="begin" w:fldLock="1"/>
      </w:r>
      <w:r w:rsidR="009F20A4">
        <w:instrText>ADDIN CSL_CITATION {"citationItems":[{"id":"ITEM-1","itemData":{"DOI":"10.1016/j.nicl.2019.102120","ISSN":"22131582","PMID":"31887717","abstract":"Background and Purpose: Perivascular Spaces (PVS), also known as Virchow-Robin spaces, seen on structural brain MRI, are important fluid drainage conduits and are associated with small vessel disease (SVD). Computational quantification of visible PVS may enable efficient analyses in large datasets and increase sensitivity to detect associations with brain disorders. We assessed the associations of computationally-derived PVS parameters with vascular factors and white matter hyperintensities (WMH), a marker of SVD. Participants: Community dwelling individuals (n = 700) from the Lothian Birth Cohort 1936 who had multimodal brain MRI at age 72.6 years (SD = 0.7). Methods: We assessed PVS computationally in the centrum semiovale and deep corona radiata on T2-weighted images. The computationally calculated measures were the total PVS volume and count per subject, and the mean individual PVS length, width and size, per subject. We assessed WMH by volume and visual Fazekas scores. We compared PVS visual rating to PVS computational metrics, and tested associations between each PVS measure and vascular risk factors (hypertension, diabetes, cholesterol), vascular history (cardiovascular disease and stroke), and WMH burden, using generalized linear models, which we compared using coefficients, confidence intervals and model fit. Results: In 533 subjects, the computational PVS measures correlated positively with visual PVS ratings (PVS count r = 0.59; PVS volume r = 0.61; PVS mean length r = 0.55; PVS mean width r = 0.52; PVS mean size r = 0.47). PVS size and width were associated with hypertension (OR 1.22, 95% CI [1.03 to 1.46] and 1.20, 95% CI [1.01 to 1.43], respectively), and stroke (OR 1.34, 95% CI [1.08 to 1.65] and 1.36, 95% CI [1.08 to 1.71], respectively). We found no association between other PVS measures and diabetes, hypercholesterolemia or cardiovascular disease history. Computational PVS volume, length, width and size were more strongly associated with WMH (PVS mean size versus WMH Fazekas score β = 0.66, 95% CI [0.59 to 0.74] and versus WMH volume β = 0.43, 95% CI [0.38 to 0.48]) than computational PVS count (WMH Fazekas score β = 0.21, 95% CI [0.11 to 0.3]; WMH volume β = 0.14, 95% CI [0.09 to 0.19]) or visual score. Individual PVS size showed the strongest association with WMH. Conclusions: Computational measures reflecting individual PVS size, length and width were more strongly associated with WMH, stroke and hypertension than computational coun…","author":[{"dropping-particle":"","family":"Ballerini","given":"Lucia","non-dropping-particle":"","parse-names":false,"suffix":""},{"dropping-particle":"","family":"Booth","given":"Tom","non-dropping-particle":"","parse-names":false,"suffix":""},{"dropping-particle":"","family":"Valdés Hernández","given":"Maria del C.","non-dropping-particle":"","parse-names":false,"suffix":""},{"dropping-particle":"","family":"Wiseman","given":"Stewart","non-dropping-particle":"","parse-names":false,"suffix":""},{"dropping-particle":"","family":"Lovreglio","given":"Ruggiero","non-dropping-particle":"","parse-names":false,"suffix":""},{"dropping-particle":"","family":"Muñoz Maniega","given":"Susana","non-dropping-particle":"","parse-names":false,"suffix":""},{"dropping-particle":"","family":"Morris","given":"Zoe","non-dropping-particle":"","parse-names":false,"suffix":""},{"dropping-particle":"","family":"Pattie","given":"Alison","non-dropping-particle":"","parse-names":false,"suffix":""},{"dropping-particle":"","family":"Corley","given":"Janie","non-dropping-particle":"","parse-names":false,"suffix":""},{"dropping-particle":"","family":"Gow","given":"Alan","non-dropping-particle":"","parse-names":false,"suffix":""},{"dropping-particle":"","family":"Bastin","given":"Mark E.","non-dropping-particle":"","parse-names":false,"suffix":""},{"dropping-particle":"","family":"Deary","given":"Ian J.","non-dropping-particle":"","parse-names":false,"suffix":""},{"dropping-particle":"","family":"Wardlaw","given":"Joanna","non-dropping-particle":"","parse-names":false,"suffix":""}],"container-title":"NeuroImage: Clinical","id":"ITEM-1","issue":"November 2019","issued":{"date-parts":[["2020"]]},"page":"102120","publisher":"Elsevier","title":"Computational quantification of brain perivascular space morphologies: Associations with vascular risk factors and white matter hyperintensities. A study in the Lothian Birth Cohort 1936","type":"article-journal","volume":"25"},"uris":["http://www.mendeley.com/documents/?uuid=53bb1dd5-4deb-4702-8ad2-8f9f7d569165"]}],"mendeley":{"formattedCitation":"(Ballerini et al., 2020)","plainTextFormattedCitation":"(Ballerini et al., 2020)","previouslyFormattedCitation":"(Ballerini et al., 2020)"},"properties":{"noteIndex":0},"schema":"https://github.com/citation-style-language/schema/raw/master/csl-citation.json"}</w:instrText>
      </w:r>
      <w:r w:rsidR="009F20A4">
        <w:fldChar w:fldCharType="separate"/>
      </w:r>
      <w:r w:rsidRPr="00B97F10" w:rsidR="009F20A4">
        <w:rPr>
          <w:noProof/>
        </w:rPr>
        <w:t>(Ballerini et al., 2020)</w:t>
      </w:r>
      <w:r w:rsidR="009F20A4">
        <w:fldChar w:fldCharType="end"/>
      </w:r>
      <w:r w:rsidR="009F20A4">
        <w:t>.</w:t>
      </w:r>
    </w:p>
    <w:p w:rsidR="007922B1" w:rsidP="007922B1" w:rsidRDefault="00B219F6" w14:paraId="14BEF7BC" w14:textId="088D9245">
      <w:pPr>
        <w:pStyle w:val="Heading3"/>
      </w:pPr>
      <w:r>
        <w:t>High in-plane resolution but thicker slices</w:t>
      </w:r>
    </w:p>
    <w:p w:rsidR="00B219F6" w:rsidP="00D002E9" w:rsidRDefault="008C627B" w14:paraId="533BF5FC" w14:textId="0DB06C0B">
      <w:pPr>
        <w:jc w:val="both"/>
      </w:pPr>
      <w:r>
        <w:t>We considered an additional experiment with even thicker slices and higher in-plane resolution, 0.5 x 0.5 x 5 mm, as often found in clinical settings.</w:t>
      </w:r>
      <w:r w:rsidR="00D002E9">
        <w:t xml:space="preserve"> Our experimental results suggest such configuration is not ideal for </w:t>
      </w:r>
      <w:r w:rsidR="006E5F87">
        <w:t xml:space="preserve">3D </w:t>
      </w:r>
      <w:r w:rsidR="00D002E9">
        <w:t>PVS segmentation (</w:t>
      </w:r>
      <w:r w:rsidR="00D002E9">
        <w:fldChar w:fldCharType="begin"/>
      </w:r>
      <w:r w:rsidR="00D002E9">
        <w:instrText xml:space="preserve"> REF _Ref107433327 \h </w:instrText>
      </w:r>
      <w:r w:rsidR="00D002E9">
        <w:fldChar w:fldCharType="separate"/>
      </w:r>
      <w:r w:rsidR="00D002E9">
        <w:t>Figure S</w:t>
      </w:r>
      <w:r w:rsidR="00D002E9">
        <w:rPr>
          <w:noProof/>
        </w:rPr>
        <w:t>2</w:t>
      </w:r>
      <w:r w:rsidR="00D002E9">
        <w:fldChar w:fldCharType="end"/>
      </w:r>
      <w:r w:rsidR="00D002E9">
        <w:t>). We noted that in most cases the portion of the PVS that laid in plane was segmented appropriately, but not that running diagonal to it.</w:t>
      </w:r>
    </w:p>
    <w:p w:rsidR="009C192D" w:rsidP="009C192D" w:rsidRDefault="00E729E4" w14:paraId="1A9C4069" w14:textId="686F8F7F">
      <w:pPr>
        <w:keepNext/>
      </w:pPr>
      <w:r w:rsidRPr="00E729E4">
        <w:rPr>
          <w:noProof/>
          <w:lang w:eastAsia="en-GB"/>
        </w:rPr>
        <w:lastRenderedPageBreak/>
        <w:drawing>
          <wp:inline distT="0" distB="0" distL="0" distR="0" wp14:anchorId="1AE0F6FF" wp14:editId="5510B653">
            <wp:extent cx="5731510" cy="2865755"/>
            <wp:effectExtent l="0" t="0" r="254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7"/>
                    <a:stretch>
                      <a:fillRect/>
                    </a:stretch>
                  </pic:blipFill>
                  <pic:spPr>
                    <a:xfrm>
                      <a:off x="0" y="0"/>
                      <a:ext cx="5731510" cy="2865755"/>
                    </a:xfrm>
                    <a:prstGeom prst="rect">
                      <a:avLst/>
                    </a:prstGeom>
                  </pic:spPr>
                </pic:pic>
              </a:graphicData>
            </a:graphic>
          </wp:inline>
        </w:drawing>
      </w:r>
    </w:p>
    <w:p w:rsidRPr="007A7D67" w:rsidR="009C192D" w:rsidP="009C192D" w:rsidRDefault="009C192D" w14:paraId="7B81F7D5" w14:textId="33132622">
      <w:pPr>
        <w:pStyle w:val="Caption"/>
        <w:rPr>
          <w:noProof/>
        </w:rPr>
      </w:pPr>
      <w:bookmarkStart w:name="_Ref107433327" w:id="1"/>
      <w:r>
        <w:t xml:space="preserve">Figure </w:t>
      </w:r>
      <w:r w:rsidR="00014041">
        <w:t>S</w:t>
      </w:r>
      <w:r w:rsidR="00540E10">
        <w:fldChar w:fldCharType="begin"/>
      </w:r>
      <w:r w:rsidR="00540E10">
        <w:instrText xml:space="preserve"> SEQ Figure \* ARABIC </w:instrText>
      </w:r>
      <w:r w:rsidR="00540E10">
        <w:fldChar w:fldCharType="separate"/>
      </w:r>
      <w:r w:rsidR="00B40307">
        <w:rPr>
          <w:noProof/>
        </w:rPr>
        <w:t>2</w:t>
      </w:r>
      <w:r w:rsidR="00540E10">
        <w:rPr>
          <w:noProof/>
        </w:rPr>
        <w:fldChar w:fldCharType="end"/>
      </w:r>
      <w:bookmarkEnd w:id="1"/>
      <w:r>
        <w:t>.</w:t>
      </w:r>
      <w:r>
        <w:rPr>
          <w:noProof/>
        </w:rPr>
        <w:t xml:space="preserve"> High in-plane resolution but thicker slices </w:t>
      </w:r>
      <w:r w:rsidR="00504E3F">
        <w:rPr>
          <w:noProof/>
        </w:rPr>
        <w:t>is</w:t>
      </w:r>
      <w:r>
        <w:rPr>
          <w:noProof/>
        </w:rPr>
        <w:t xml:space="preserve"> not convenient for </w:t>
      </w:r>
      <w:r w:rsidR="00E729E4">
        <w:rPr>
          <w:noProof/>
        </w:rPr>
        <w:t xml:space="preserve">3D </w:t>
      </w:r>
      <w:r>
        <w:rPr>
          <w:noProof/>
        </w:rPr>
        <w:t>PVS quantification</w:t>
      </w:r>
      <w:r w:rsidRPr="006E1932">
        <w:rPr>
          <w:noProof/>
        </w:rPr>
        <w:t xml:space="preserve">. </w:t>
      </w:r>
      <w:r w:rsidRPr="007A7D67" w:rsidR="00873C80">
        <w:t>White regions represent cases that were not considered (width &gt;= length, eccentricity &lt; 0.8, or lack of PVS visibility).</w:t>
      </w:r>
      <w:r w:rsidR="00873C80">
        <w:t xml:space="preserve"> </w:t>
      </w:r>
      <w:r w:rsidR="00873C80">
        <w:rPr>
          <w:noProof/>
        </w:rPr>
        <w:t xml:space="preserve">Similar to our previous findings with </w:t>
      </w:r>
      <w:r w:rsidRPr="007A7D67" w:rsidR="00873C80">
        <w:t>1 × 1 × 1</w:t>
      </w:r>
      <w:r w:rsidR="00873C80">
        <w:t xml:space="preserve"> </w:t>
      </w:r>
      <w:r w:rsidRPr="007A7D67" w:rsidR="00873C80">
        <w:t xml:space="preserve">and 1 × 1 × 2 </w:t>
      </w:r>
      <w:r w:rsidR="00873C80">
        <w:t>mm scans</w:t>
      </w:r>
      <w:r w:rsidR="00873C80">
        <w:rPr>
          <w:noProof/>
        </w:rPr>
        <w:t xml:space="preserve">, </w:t>
      </w:r>
      <w:r w:rsidRPr="002642D1" w:rsidR="00873C80">
        <w:t>PVS with lengths and widths less than 2 and 1 mm, respectively, canno</w:t>
      </w:r>
      <w:r w:rsidR="000C5D6B">
        <w:t xml:space="preserve">t be properly quantified </w:t>
      </w:r>
      <w:r w:rsidRPr="002642D1" w:rsidR="00873C80">
        <w:t>(bottom left corner of each panel).</w:t>
      </w:r>
      <w:r w:rsidR="00873C80">
        <w:t xml:space="preserve"> </w:t>
      </w:r>
      <w:r w:rsidR="00C720A1">
        <w:t>Also, t</w:t>
      </w:r>
      <w:r w:rsidR="00873C80">
        <w:t xml:space="preserve">he performance of each filter tended to increase with the size of a PVS </w:t>
      </w:r>
      <w:r w:rsidRPr="00A24EE5" w:rsidR="00873C80">
        <w:t>(in each panel, AURPC scores tended to rise from</w:t>
      </w:r>
      <w:r w:rsidR="00873C80">
        <w:t xml:space="preserve"> left to right and</w:t>
      </w:r>
      <w:r w:rsidRPr="00A24EE5" w:rsidR="00873C80">
        <w:t xml:space="preserve"> bottom to top)</w:t>
      </w:r>
      <w:r w:rsidR="00873C80">
        <w:t xml:space="preserve">. </w:t>
      </w:r>
      <w:r>
        <w:t>Imaging considerations: k-space sampling.</w:t>
      </w:r>
    </w:p>
    <w:p w:rsidRPr="007922B1" w:rsidR="007922B1" w:rsidP="007922B1" w:rsidRDefault="007922B1" w14:paraId="682B5DBB" w14:textId="77777777"/>
    <w:p w:rsidR="009733EC" w:rsidP="009733EC" w:rsidRDefault="009733EC" w14:paraId="578B3309" w14:textId="418C4CA9">
      <w:pPr>
        <w:pStyle w:val="Heading3"/>
      </w:pPr>
      <w:r>
        <w:t>3.2.2</w:t>
      </w:r>
      <w:r w:rsidRPr="007A7D67">
        <w:t xml:space="preserve"> </w:t>
      </w:r>
      <w:r>
        <w:t>M</w:t>
      </w:r>
      <w:r w:rsidRPr="007A7D67">
        <w:t>otion artefacts</w:t>
      </w:r>
    </w:p>
    <w:p w:rsidRPr="00C14791" w:rsidR="000529DC" w:rsidP="006E2AD3" w:rsidRDefault="007A6DAF" w14:paraId="4378C4D9" w14:textId="11913BD5">
      <w:r>
        <w:t>Segmentation performance decreases with motion artefacts (</w:t>
      </w:r>
      <w:r>
        <w:fldChar w:fldCharType="begin"/>
      </w:r>
      <w:r>
        <w:instrText xml:space="preserve"> REF _Ref96953346 \h </w:instrText>
      </w:r>
      <w:r>
        <w:fldChar w:fldCharType="separate"/>
      </w:r>
      <w:r>
        <w:t>Figure S</w:t>
      </w:r>
      <w:r>
        <w:rPr>
          <w:noProof/>
        </w:rPr>
        <w:t>3</w:t>
      </w:r>
      <w:r>
        <w:fldChar w:fldCharType="end"/>
      </w:r>
      <w:r>
        <w:t xml:space="preserve">). </w:t>
      </w:r>
      <w:r w:rsidR="004E67E7">
        <w:t>P</w:t>
      </w:r>
      <w:r w:rsidR="000529DC">
        <w:t xml:space="preserve">recision-recall curves suggest </w:t>
      </w:r>
      <w:r w:rsidR="000B5B59">
        <w:t xml:space="preserve">motion </w:t>
      </w:r>
      <w:r w:rsidR="000529DC">
        <w:t xml:space="preserve">is </w:t>
      </w:r>
      <w:r w:rsidR="00491465">
        <w:t xml:space="preserve">indeed </w:t>
      </w:r>
      <w:r w:rsidR="000529DC">
        <w:t>a source of variability</w:t>
      </w:r>
      <w:r w:rsidR="006E2AD3">
        <w:t>.</w:t>
      </w:r>
    </w:p>
    <w:p w:rsidRPr="007A6DAF" w:rsidR="007A6DAF" w:rsidP="007A6DAF" w:rsidRDefault="007A6DAF" w14:paraId="3E65BC1F" w14:textId="740D761A"/>
    <w:p w:rsidR="002C7178" w:rsidP="002C7178" w:rsidRDefault="002C7178" w14:paraId="5DED1F0E" w14:textId="77777777">
      <w:pPr>
        <w:keepNext/>
      </w:pPr>
      <w:r>
        <w:rPr>
          <w:noProof/>
          <w:lang w:eastAsia="en-GB"/>
        </w:rPr>
        <w:lastRenderedPageBreak/>
        <w:drawing>
          <wp:inline distT="0" distB="0" distL="0" distR="0" wp14:anchorId="176C98D7" wp14:editId="3C303EDB">
            <wp:extent cx="5731509" cy="2507535"/>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PRC_motion.png"/>
                    <pic:cNvPicPr/>
                  </pic:nvPicPr>
                  <pic:blipFill>
                    <a:blip r:embed="rId8">
                      <a:extLst>
                        <a:ext uri="{28A0092B-C50C-407E-A947-70E740481C1C}">
                          <a14:useLocalDpi xmlns:a14="http://schemas.microsoft.com/office/drawing/2010/main" val="0"/>
                        </a:ext>
                      </a:extLst>
                    </a:blip>
                    <a:stretch>
                      <a:fillRect/>
                    </a:stretch>
                  </pic:blipFill>
                  <pic:spPr>
                    <a:xfrm>
                      <a:off x="0" y="0"/>
                      <a:ext cx="5731509" cy="2507535"/>
                    </a:xfrm>
                    <a:prstGeom prst="rect">
                      <a:avLst/>
                    </a:prstGeom>
                  </pic:spPr>
                </pic:pic>
              </a:graphicData>
            </a:graphic>
          </wp:inline>
        </w:drawing>
      </w:r>
    </w:p>
    <w:p w:rsidRPr="00B40307" w:rsidR="00B40307" w:rsidP="000B5B59" w:rsidRDefault="002C7178" w14:paraId="7A190887" w14:textId="7F4443FD">
      <w:pPr>
        <w:pStyle w:val="Caption"/>
      </w:pPr>
      <w:bookmarkStart w:name="_Ref96953346" w:id="2"/>
      <w:r>
        <w:t>Figure S</w:t>
      </w:r>
      <w:r>
        <w:fldChar w:fldCharType="begin"/>
      </w:r>
      <w:r>
        <w:instrText>SEQ Figure \* ARABIC</w:instrText>
      </w:r>
      <w:r>
        <w:fldChar w:fldCharType="separate"/>
      </w:r>
      <w:r w:rsidR="00B40307">
        <w:rPr>
          <w:noProof/>
        </w:rPr>
        <w:t>3</w:t>
      </w:r>
      <w:r>
        <w:fldChar w:fldCharType="end"/>
      </w:r>
      <w:bookmarkEnd w:id="2"/>
      <w:r>
        <w:t xml:space="preserve">. Precision-recall curve obtained by the Frangi, Jerman, and RORPO filters on </w:t>
      </w:r>
      <w:r w:rsidRPr="00E008B3">
        <w:t xml:space="preserve">a </w:t>
      </w:r>
      <w:r>
        <w:t xml:space="preserve">4-mm length and 2-mm width </w:t>
      </w:r>
      <w:r w:rsidRPr="00E008B3">
        <w:t>PVS</w:t>
      </w:r>
      <w:r>
        <w:t xml:space="preserve"> after sampling and incorporating motion artefacts. Lines and shadowed areas represent mean precision-recall curves and their confidence interval, respectively.</w:t>
      </w:r>
      <w:r w:rsidR="009F20A4">
        <w:t xml:space="preserve"> </w:t>
      </w:r>
      <w:r w:rsidRPr="009F20A4" w:rsidR="009F20A4">
        <w:t>We selected a PVS with such dimensions as it was found an average size in the study of reference</w:t>
      </w:r>
      <w:r w:rsidR="009F20A4">
        <w:t xml:space="preserve"> </w:t>
      </w:r>
      <w:r w:rsidR="009F20A4">
        <w:fldChar w:fldCharType="begin" w:fldLock="1"/>
      </w:r>
      <w:r w:rsidR="009F20A4">
        <w:instrText>ADDIN CSL_CITATION {"citationItems":[{"id":"ITEM-1","itemData":{"DOI":"10.1016/j.nicl.2019.102120","ISSN":"22131582","PMID":"31887717","abstract":"Background and Purpose: Perivascular Spaces (PVS), also known as Virchow-Robin spaces, seen on structural brain MRI, are important fluid drainage conduits and are associated with small vessel disease (SVD). Computational quantification of visible PVS may enable efficient analyses in large datasets and increase sensitivity to detect associations with brain disorders. We assessed the associations of computationally-derived PVS parameters with vascular factors and white matter hyperintensities (WMH), a marker of SVD. Participants: Community dwelling individuals (n = 700) from the Lothian Birth Cohort 1936 who had multimodal brain MRI at age 72.6 years (SD = 0.7). Methods: We assessed PVS computationally in the centrum semiovale and deep corona radiata on T2-weighted images. The computationally calculated measures were the total PVS volume and count per subject, and the mean individual PVS length, width and size, per subject. We assessed WMH by volume and visual Fazekas scores. We compared PVS visual rating to PVS computational metrics, and tested associations between each PVS measure and vascular risk factors (hypertension, diabetes, cholesterol), vascular history (cardiovascular disease and stroke), and WMH burden, using generalized linear models, which we compared using coefficients, confidence intervals and model fit. Results: In 533 subjects, the computational PVS measures correlated positively with visual PVS ratings (PVS count r = 0.59; PVS volume r = 0.61; PVS mean length r = 0.55; PVS mean width r = 0.52; PVS mean size r = 0.47). PVS size and width were associated with hypertension (OR 1.22, 95% CI [1.03 to 1.46] and 1.20, 95% CI [1.01 to 1.43], respectively), and stroke (OR 1.34, 95% CI [1.08 to 1.65] and 1.36, 95% CI [1.08 to 1.71], respectively). We found no association between other PVS measures and diabetes, hypercholesterolemia or cardiovascular disease history. Computational PVS volume, length, width and size were more strongly associated with WMH (PVS mean size versus WMH Fazekas score β = 0.66, 95% CI [0.59 to 0.74] and versus WMH volume β = 0.43, 95% CI [0.38 to 0.48]) than computational PVS count (WMH Fazekas score β = 0.21, 95% CI [0.11 to 0.3]; WMH volume β = 0.14, 95% CI [0.09 to 0.19]) or visual score. Individual PVS size showed the strongest association with WMH. Conclusions: Computational measures reflecting individual PVS size, length and width were more strongly associated with WMH, stroke and hypertension than computational coun…","author":[{"dropping-particle":"","family":"Ballerini","given":"Lucia","non-dropping-particle":"","parse-names":false,"suffix":""},{"dropping-particle":"","family":"Booth","given":"Tom","non-dropping-particle":"","parse-names":false,"suffix":""},{"dropping-particle":"","family":"Valdés Hernández","given":"Maria del C.","non-dropping-particle":"","parse-names":false,"suffix":""},{"dropping-particle":"","family":"Wiseman","given":"Stewart","non-dropping-particle":"","parse-names":false,"suffix":""},{"dropping-particle":"","family":"Lovreglio","given":"Ruggiero","non-dropping-particle":"","parse-names":false,"suffix":""},{"dropping-particle":"","family":"Muñoz Maniega","given":"Susana","non-dropping-particle":"","parse-names":false,"suffix":""},{"dropping-particle":"","family":"Morris","given":"Zoe","non-dropping-particle":"","parse-names":false,"suffix":""},{"dropping-particle":"","family":"Pattie","given":"Alison","non-dropping-particle":"","parse-names":false,"suffix":""},{"dropping-particle":"","family":"Corley","given":"Janie","non-dropping-particle":"","parse-names":false,"suffix":""},{"dropping-particle":"","family":"Gow","given":"Alan","non-dropping-particle":"","parse-names":false,"suffix":""},{"dropping-particle":"","family":"Bastin","given":"Mark E.","non-dropping-particle":"","parse-names":false,"suffix":""},{"dropping-particle":"","family":"Deary","given":"Ian J.","non-dropping-particle":"","parse-names":false,"suffix":""},{"dropping-particle":"","family":"Wardlaw","given":"Joanna","non-dropping-particle":"","parse-names":false,"suffix":""}],"container-title":"NeuroImage: Clinical","id":"ITEM-1","issue":"November 2019","issued":{"date-parts":[["2020"]]},"page":"102120","publisher":"Elsevier","title":"Computational quantification of brain perivascular space morphologies: Associations with vascular risk factors and white matter hyperintensities. A study in the Lothian Birth Cohort 1936","type":"article-journal","volume":"25"},"uris":["http://www.mendeley.com/documents/?uuid=53bb1dd5-4deb-4702-8ad2-8f9f7d569165"]}],"mendeley":{"formattedCitation":"(Ballerini et al., 2020)","plainTextFormattedCitation":"(Ballerini et al., 2020)","previouslyFormattedCitation":"(Ballerini et al., 2020)"},"properties":{"noteIndex":0},"schema":"https://github.com/citation-style-language/schema/raw/master/csl-citation.json"}</w:instrText>
      </w:r>
      <w:r w:rsidR="009F20A4">
        <w:fldChar w:fldCharType="separate"/>
      </w:r>
      <w:r w:rsidRPr="00B97F10" w:rsidR="009F20A4">
        <w:rPr>
          <w:noProof/>
        </w:rPr>
        <w:t>(Ballerini et al., 2020)</w:t>
      </w:r>
      <w:r w:rsidR="009F20A4">
        <w:fldChar w:fldCharType="end"/>
      </w:r>
      <w:r w:rsidR="009F20A4">
        <w:t>.</w:t>
      </w:r>
    </w:p>
    <w:p w:rsidR="009733F4" w:rsidP="009733F4" w:rsidRDefault="009733F4" w14:paraId="79AB8F61" w14:textId="77777777">
      <w:pPr>
        <w:pStyle w:val="Heading3"/>
      </w:pPr>
      <w:r>
        <w:t>3.2</w:t>
      </w:r>
      <w:r w:rsidRPr="007A7D67">
        <w:t>.</w:t>
      </w:r>
      <w:r>
        <w:t>3</w:t>
      </w:r>
      <w:r w:rsidRPr="007A7D67">
        <w:t xml:space="preserve"> Rician noise</w:t>
      </w:r>
    </w:p>
    <w:p w:rsidR="00AD01E7" w:rsidP="00AD01E7" w:rsidRDefault="00AD01E7" w14:paraId="31B105EA" w14:textId="77777777">
      <w:pPr>
        <w:keepNext/>
      </w:pPr>
      <w:r>
        <w:rPr>
          <w:noProof/>
          <w:lang w:eastAsia="en-GB"/>
        </w:rPr>
        <w:drawing>
          <wp:inline distT="0" distB="0" distL="0" distR="0" wp14:anchorId="03E054F8" wp14:editId="50287174">
            <wp:extent cx="5731510" cy="2507535"/>
            <wp:effectExtent l="0" t="0" r="254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UPRC_noise.png"/>
                    <pic:cNvPicPr/>
                  </pic:nvPicPr>
                  <pic:blipFill>
                    <a:blip r:embed="rId9">
                      <a:extLst>
                        <a:ext uri="{28A0092B-C50C-407E-A947-70E740481C1C}">
                          <a14:useLocalDpi xmlns:a14="http://schemas.microsoft.com/office/drawing/2010/main" val="0"/>
                        </a:ext>
                      </a:extLst>
                    </a:blip>
                    <a:stretch>
                      <a:fillRect/>
                    </a:stretch>
                  </pic:blipFill>
                  <pic:spPr>
                    <a:xfrm>
                      <a:off x="0" y="0"/>
                      <a:ext cx="5731510" cy="2507535"/>
                    </a:xfrm>
                    <a:prstGeom prst="rect">
                      <a:avLst/>
                    </a:prstGeom>
                  </pic:spPr>
                </pic:pic>
              </a:graphicData>
            </a:graphic>
          </wp:inline>
        </w:drawing>
      </w:r>
    </w:p>
    <w:p w:rsidRPr="00AD01E7" w:rsidR="00AD01E7" w:rsidP="00AD01E7" w:rsidRDefault="00AD01E7" w14:paraId="0D8F8E5E" w14:textId="0DBFB647">
      <w:pPr>
        <w:pStyle w:val="Caption"/>
      </w:pPr>
      <w:bookmarkStart w:name="_Ref97310407" w:id="3"/>
      <w:r>
        <w:t xml:space="preserve">Figure </w:t>
      </w:r>
      <w:r w:rsidR="00F00444">
        <w:t>S</w:t>
      </w:r>
      <w:r>
        <w:fldChar w:fldCharType="begin"/>
      </w:r>
      <w:r>
        <w:instrText>SEQ Figure \* ARABIC</w:instrText>
      </w:r>
      <w:r>
        <w:fldChar w:fldCharType="separate"/>
      </w:r>
      <w:r w:rsidR="00347FC8">
        <w:rPr>
          <w:noProof/>
        </w:rPr>
        <w:t>4</w:t>
      </w:r>
      <w:r>
        <w:fldChar w:fldCharType="end"/>
      </w:r>
      <w:bookmarkEnd w:id="3"/>
      <w:r>
        <w:t xml:space="preserve">. </w:t>
      </w:r>
      <w:r w:rsidRPr="00E008B3">
        <w:t xml:space="preserve">Precision-recall curve obtained by the Frangi, Jerman, and RORPO filters on a </w:t>
      </w:r>
      <w:r>
        <w:t xml:space="preserve">4-mm length and 2-mm width </w:t>
      </w:r>
      <w:r w:rsidRPr="00E008B3">
        <w:t xml:space="preserve">PVS </w:t>
      </w:r>
      <w:r>
        <w:t>after sampling and adding Rician noise</w:t>
      </w:r>
      <w:r w:rsidRPr="00E008B3">
        <w:t>. Lines and shadowed areas represent mean precision-recall curves and their</w:t>
      </w:r>
      <w:r>
        <w:t xml:space="preserve"> confidence interval, respectively.</w:t>
      </w:r>
      <w:r w:rsidR="009F20A4">
        <w:t xml:space="preserve"> </w:t>
      </w:r>
      <w:r w:rsidRPr="009F20A4" w:rsidR="009F20A4">
        <w:t>We selected a PVS with such dimensions as it was found an average size in the study of reference</w:t>
      </w:r>
      <w:r w:rsidR="009F20A4">
        <w:t xml:space="preserve"> </w:t>
      </w:r>
      <w:r w:rsidR="009F20A4">
        <w:fldChar w:fldCharType="begin" w:fldLock="1"/>
      </w:r>
      <w:r w:rsidR="009F20A4">
        <w:instrText>ADDIN CSL_CITATION {"citationItems":[{"id":"ITEM-1","itemData":{"DOI":"10.1016/j.nicl.2019.102120","ISSN":"22131582","PMID":"31887717","abstract":"Background and Purpose: Perivascular Spaces (PVS), also known as Virchow-Robin spaces, seen on structural brain MRI, are important fluid drainage conduits and are associated with small vessel disease (SVD). Computational quantification of visible PVS may enable efficient analyses in large datasets and increase sensitivity to detect associations with brain disorders. We assessed the associations of computationally-derived PVS parameters with vascular factors and white matter hyperintensities (WMH), a marker of SVD. Participants: Community dwelling individuals (n = 700) from the Lothian Birth Cohort 1936 who had multimodal brain MRI at age 72.6 years (SD = 0.7). Methods: We assessed PVS computationally in the centrum semiovale and deep corona radiata on T2-weighted images. The computationally calculated measures were the total PVS volume and count per subject, and the mean individual PVS length, width and size, per subject. We assessed WMH by volume and visual Fazekas scores. We compared PVS visual rating to PVS computational metrics, and tested associations between each PVS measure and vascular risk factors (hypertension, diabetes, cholesterol), vascular history (cardiovascular disease and stroke), and WMH burden, using generalized linear models, which we compared using coefficients, confidence intervals and model fit. Results: In 533 subjects, the computational PVS measures correlated positively with visual PVS ratings (PVS count r = 0.59; PVS volume r = 0.61; PVS mean length r = 0.55; PVS mean width r = 0.52; PVS mean size r = 0.47). PVS size and width were associated with hypertension (OR 1.22, 95% CI [1.03 to 1.46] and 1.20, 95% CI [1.01 to 1.43], respectively), and stroke (OR 1.34, 95% CI [1.08 to 1.65] and 1.36, 95% CI [1.08 to 1.71], respectively). We found no association between other PVS measures and diabetes, hypercholesterolemia or cardiovascular disease history. Computational PVS volume, length, width and size were more strongly associated with WMH (PVS mean size versus WMH Fazekas score β = 0.66, 95% CI [0.59 to 0.74] and versus WMH volume β = 0.43, 95% CI [0.38 to 0.48]) than computational PVS count (WMH Fazekas score β = 0.21, 95% CI [0.11 to 0.3]; WMH volume β = 0.14, 95% CI [0.09 to 0.19]) or visual score. Individual PVS size showed the strongest association with WMH. Conclusions: Computational measures reflecting individual PVS size, length and width were more strongly associated with WMH, stroke and hypertension than computational coun…","author":[{"dropping-particle":"","family":"Ballerini","given":"Lucia","non-dropping-particle":"","parse-names":false,"suffix":""},{"dropping-particle":"","family":"Booth","given":"Tom","non-dropping-particle":"","parse-names":false,"suffix":""},{"dropping-particle":"","family":"Valdés Hernández","given":"Maria del C.","non-dropping-particle":"","parse-names":false,"suffix":""},{"dropping-particle":"","family":"Wiseman","given":"Stewart","non-dropping-particle":"","parse-names":false,"suffix":""},{"dropping-particle":"","family":"Lovreglio","given":"Ruggiero","non-dropping-particle":"","parse-names":false,"suffix":""},{"dropping-particle":"","family":"Muñoz Maniega","given":"Susana","non-dropping-particle":"","parse-names":false,"suffix":""},{"dropping-particle":"","family":"Morris","given":"Zoe","non-dropping-particle":"","parse-names":false,"suffix":""},{"dropping-particle":"","family":"Pattie","given":"Alison","non-dropping-particle":"","parse-names":false,"suffix":""},{"dropping-particle":"","family":"Corley","given":"Janie","non-dropping-particle":"","parse-names":false,"suffix":""},{"dropping-particle":"","family":"Gow","given":"Alan","non-dropping-particle":"","parse-names":false,"suffix":""},{"dropping-particle":"","family":"Bastin","given":"Mark E.","non-dropping-particle":"","parse-names":false,"suffix":""},{"dropping-particle":"","family":"Deary","given":"Ian J.","non-dropping-particle":"","parse-names":false,"suffix":""},{"dropping-particle":"","family":"Wardlaw","given":"Joanna","non-dropping-particle":"","parse-names":false,"suffix":""}],"container-title":"NeuroImage: Clinical","id":"ITEM-1","issue":"November 2019","issued":{"date-parts":[["2020"]]},"page":"102120","publisher":"Elsevier","title":"Computational quantification of brain perivascular space morphologies: Associations with vascular risk factors and white matter hyperintensities. A study in the Lothian Birth Cohort 1936","type":"article-journal","volume":"25"},"uris":["http://www.mendeley.com/documents/?uuid=53bb1dd5-4deb-4702-8ad2-8f9f7d569165"]}],"mendeley":{"formattedCitation":"(Ballerini et al., 2020)","plainTextFormattedCitation":"(Ballerini et al., 2020)","previouslyFormattedCitation":"(Ballerini et al., 2020)"},"properties":{"noteIndex":0},"schema":"https://github.com/citation-style-language/schema/raw/master/csl-citation.json"}</w:instrText>
      </w:r>
      <w:r w:rsidR="009F20A4">
        <w:fldChar w:fldCharType="separate"/>
      </w:r>
      <w:r w:rsidRPr="00B97F10" w:rsidR="009F20A4">
        <w:rPr>
          <w:noProof/>
        </w:rPr>
        <w:t>(Ballerini et al., 2020)</w:t>
      </w:r>
      <w:r w:rsidR="009F20A4">
        <w:fldChar w:fldCharType="end"/>
      </w:r>
      <w:r w:rsidR="009F20A4">
        <w:t>.</w:t>
      </w:r>
    </w:p>
    <w:p w:rsidR="002C7178" w:rsidP="0003351D" w:rsidRDefault="0000422B" w14:paraId="3B2ABF8F" w14:textId="594A7BAF">
      <w:pPr>
        <w:pStyle w:val="Heading2"/>
        <w:rPr>
          <w:rStyle w:val="Heading2Char"/>
        </w:rPr>
      </w:pPr>
      <w:r w:rsidRPr="007A7D67">
        <w:t>3</w:t>
      </w:r>
      <w:r>
        <w:t>.3</w:t>
      </w:r>
      <w:r w:rsidRPr="007A7D67">
        <w:t xml:space="preserve"> Effect of pathological </w:t>
      </w:r>
      <w:r w:rsidRPr="000326BB">
        <w:rPr>
          <w:rStyle w:val="Heading2Char"/>
        </w:rPr>
        <w:t>regions</w:t>
      </w:r>
    </w:p>
    <w:p w:rsidRPr="0003351D" w:rsidR="0003351D" w:rsidP="0003351D" w:rsidRDefault="0003351D" w14:paraId="1977DF30" w14:textId="77777777"/>
    <w:p w:rsidR="00987441" w:rsidP="00987441" w:rsidRDefault="00987441" w14:paraId="61F93EF4" w14:textId="77777777">
      <w:pPr>
        <w:keepNext/>
      </w:pPr>
      <w:r>
        <w:rPr>
          <w:noProof/>
          <w:lang w:eastAsia="en-GB"/>
        </w:rPr>
        <w:lastRenderedPageBreak/>
        <w:drawing>
          <wp:inline distT="0" distB="0" distL="0" distR="0" wp14:anchorId="6CEAA406" wp14:editId="4142A1AA">
            <wp:extent cx="5731510" cy="25076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PRC_WMH.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2507615"/>
                    </a:xfrm>
                    <a:prstGeom prst="rect">
                      <a:avLst/>
                    </a:prstGeom>
                  </pic:spPr>
                </pic:pic>
              </a:graphicData>
            </a:graphic>
          </wp:inline>
        </w:drawing>
      </w:r>
    </w:p>
    <w:p w:rsidR="00987441" w:rsidP="00987441" w:rsidRDefault="00987441" w14:paraId="3D345973" w14:textId="569CB47E">
      <w:pPr>
        <w:pStyle w:val="Caption"/>
        <w:jc w:val="left"/>
      </w:pPr>
      <w:r>
        <w:t xml:space="preserve">Figure </w:t>
      </w:r>
      <w:r w:rsidR="008B0A1C">
        <w:t>S</w:t>
      </w:r>
      <w:r>
        <w:fldChar w:fldCharType="begin"/>
      </w:r>
      <w:r>
        <w:instrText>SEQ Figure \* ARABIC</w:instrText>
      </w:r>
      <w:r>
        <w:fldChar w:fldCharType="separate"/>
      </w:r>
      <w:r w:rsidR="00347FC8">
        <w:rPr>
          <w:noProof/>
        </w:rPr>
        <w:t>5</w:t>
      </w:r>
      <w:r>
        <w:fldChar w:fldCharType="end"/>
      </w:r>
      <w:r>
        <w:t>.</w:t>
      </w:r>
      <w:r w:rsidRPr="00987441">
        <w:t xml:space="preserve"> </w:t>
      </w:r>
      <w:r w:rsidRPr="00E008B3">
        <w:t xml:space="preserve">Precision-recall curve obtained by the Frangi, Jerman, and RORPO filters on a </w:t>
      </w:r>
      <w:r>
        <w:t xml:space="preserve">4-mm length and 2-mm width </w:t>
      </w:r>
      <w:r w:rsidRPr="00E008B3">
        <w:t xml:space="preserve">PVS </w:t>
      </w:r>
      <w:r w:rsidR="00E732E6">
        <w:t>after sampling, noise, and WMH</w:t>
      </w:r>
      <w:r w:rsidRPr="00E008B3">
        <w:t>. Lines and shadowed areas represent mean precision-recall curves and their</w:t>
      </w:r>
      <w:r>
        <w:t xml:space="preserve"> confidence interval, respectively.</w:t>
      </w:r>
      <w:r w:rsidR="009F20A4">
        <w:t xml:space="preserve"> </w:t>
      </w:r>
      <w:r w:rsidRPr="009F20A4" w:rsidR="009F20A4">
        <w:t>We selected a PVS with such dimensions as it was found an average size in the study of reference</w:t>
      </w:r>
      <w:r w:rsidR="009F20A4">
        <w:t xml:space="preserve"> </w:t>
      </w:r>
      <w:r w:rsidR="009F20A4">
        <w:fldChar w:fldCharType="begin" w:fldLock="1"/>
      </w:r>
      <w:r w:rsidR="009F20A4">
        <w:instrText>ADDIN CSL_CITATION {"citationItems":[{"id":"ITEM-1","itemData":{"DOI":"10.1016/j.nicl.2019.102120","ISSN":"22131582","PMID":"31887717","abstract":"Background and Purpose: Perivascular Spaces (PVS), also known as Virchow-Robin spaces, seen on structural brain MRI, are important fluid drainage conduits and are associated with small vessel disease (SVD). Computational quantification of visible PVS may enable efficient analyses in large datasets and increase sensitivity to detect associations with brain disorders. We assessed the associations of computationally-derived PVS parameters with vascular factors and white matter hyperintensities (WMH), a marker of SVD. Participants: Community dwelling individuals (n = 700) from the Lothian Birth Cohort 1936 who had multimodal brain MRI at age 72.6 years (SD = 0.7). Methods: We assessed PVS computationally in the centrum semiovale and deep corona radiata on T2-weighted images. The computationally calculated measures were the total PVS volume and count per subject, and the mean individual PVS length, width and size, per subject. We assessed WMH by volume and visual Fazekas scores. We compared PVS visual rating to PVS computational metrics, and tested associations between each PVS measure and vascular risk factors (hypertension, diabetes, cholesterol), vascular history (cardiovascular disease and stroke), and WMH burden, using generalized linear models, which we compared using coefficients, confidence intervals and model fit. Results: In 533 subjects, the computational PVS measures correlated positively with visual PVS ratings (PVS count r = 0.59; PVS volume r = 0.61; PVS mean length r = 0.55; PVS mean width r = 0.52; PVS mean size r = 0.47). PVS size and width were associated with hypertension (OR 1.22, 95% CI [1.03 to 1.46] and 1.20, 95% CI [1.01 to 1.43], respectively), and stroke (OR 1.34, 95% CI [1.08 to 1.65] and 1.36, 95% CI [1.08 to 1.71], respectively). We found no association between other PVS measures and diabetes, hypercholesterolemia or cardiovascular disease history. Computational PVS volume, length, width and size were more strongly associated with WMH (PVS mean size versus WMH Fazekas score β = 0.66, 95% CI [0.59 to 0.74] and versus WMH volume β = 0.43, 95% CI [0.38 to 0.48]) than computational PVS count (WMH Fazekas score β = 0.21, 95% CI [0.11 to 0.3]; WMH volume β = 0.14, 95% CI [0.09 to 0.19]) or visual score. Individual PVS size showed the strongest association with WMH. Conclusions: Computational measures reflecting individual PVS size, length and width were more strongly associated with WMH, stroke and hypertension than computational coun…","author":[{"dropping-particle":"","family":"Ballerini","given":"Lucia","non-dropping-particle":"","parse-names":false,"suffix":""},{"dropping-particle":"","family":"Booth","given":"Tom","non-dropping-particle":"","parse-names":false,"suffix":""},{"dropping-particle":"","family":"Valdés Hernández","given":"Maria del C.","non-dropping-particle":"","parse-names":false,"suffix":""},{"dropping-particle":"","family":"Wiseman","given":"Stewart","non-dropping-particle":"","parse-names":false,"suffix":""},{"dropping-particle":"","family":"Lovreglio","given":"Ruggiero","non-dropping-particle":"","parse-names":false,"suffix":""},{"dropping-particle":"","family":"Muñoz Maniega","given":"Susana","non-dropping-particle":"","parse-names":false,"suffix":""},{"dropping-particle":"","family":"Morris","given":"Zoe","non-dropping-particle":"","parse-names":false,"suffix":""},{"dropping-particle":"","family":"Pattie","given":"Alison","non-dropping-particle":"","parse-names":false,"suffix":""},{"dropping-particle":"","family":"Corley","given":"Janie","non-dropping-particle":"","parse-names":false,"suffix":""},{"dropping-particle":"","family":"Gow","given":"Alan","non-dropping-particle":"","parse-names":false,"suffix":""},{"dropping-particle":"","family":"Bastin","given":"Mark E.","non-dropping-particle":"","parse-names":false,"suffix":""},{"dropping-particle":"","family":"Deary","given":"Ian J.","non-dropping-particle":"","parse-names":false,"suffix":""},{"dropping-particle":"","family":"Wardlaw","given":"Joanna","non-dropping-particle":"","parse-names":false,"suffix":""}],"container-title":"NeuroImage: Clinical","id":"ITEM-1","issue":"November 2019","issued":{"date-parts":[["2020"]]},"page":"102120","publisher":"Elsevier","title":"Computational quantification of brain perivascular space morphologies: Associations with vascular risk factors and white matter hyperintensities. A study in the Lothian Birth Cohort 1936","type":"article-journal","volume":"25"},"uris":["http://www.mendeley.com/documents/?uuid=53bb1dd5-4deb-4702-8ad2-8f9f7d569165"]}],"mendeley":{"formattedCitation":"(Ballerini et al., 2020)","plainTextFormattedCitation":"(Ballerini et al., 2020)","previouslyFormattedCitation":"(Ballerini et al., 2020)"},"properties":{"noteIndex":0},"schema":"https://github.com/citation-style-language/schema/raw/master/csl-citation.json"}</w:instrText>
      </w:r>
      <w:r w:rsidR="009F20A4">
        <w:fldChar w:fldCharType="separate"/>
      </w:r>
      <w:r w:rsidRPr="00B97F10" w:rsidR="009F20A4">
        <w:rPr>
          <w:noProof/>
        </w:rPr>
        <w:t>(Ballerini et al., 2020)</w:t>
      </w:r>
      <w:r w:rsidR="009F20A4">
        <w:fldChar w:fldCharType="end"/>
      </w:r>
      <w:r w:rsidR="009F20A4">
        <w:t>.</w:t>
      </w:r>
    </w:p>
    <w:p w:rsidR="00A05344" w:rsidP="00A05344" w:rsidRDefault="003E0A99" w14:paraId="6CA7BC10" w14:textId="7EB24B8D">
      <w:pPr>
        <w:keepNext/>
      </w:pPr>
      <w:r w:rsidRPr="003E0A99">
        <w:rPr>
          <w:noProof/>
          <w:lang w:eastAsia="en-GB"/>
        </w:rPr>
        <w:drawing>
          <wp:inline distT="0" distB="0" distL="0" distR="0" wp14:anchorId="19095078" wp14:editId="55AD517F">
            <wp:extent cx="5731510" cy="4309745"/>
            <wp:effectExtent l="0" t="0" r="254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stretch>
                      <a:fillRect/>
                    </a:stretch>
                  </pic:blipFill>
                  <pic:spPr>
                    <a:xfrm>
                      <a:off x="0" y="0"/>
                      <a:ext cx="5731510" cy="4309745"/>
                    </a:xfrm>
                    <a:prstGeom prst="rect">
                      <a:avLst/>
                    </a:prstGeom>
                  </pic:spPr>
                </pic:pic>
              </a:graphicData>
            </a:graphic>
          </wp:inline>
        </w:drawing>
      </w:r>
    </w:p>
    <w:p w:rsidRPr="00505AAF" w:rsidR="00505AAF" w:rsidP="0070090A" w:rsidRDefault="00A05344" w14:paraId="799F7C93" w14:textId="7B492D0F">
      <w:pPr>
        <w:pStyle w:val="Caption"/>
      </w:pPr>
      <w:r w:rsidR="00A05344">
        <w:rPr/>
        <w:t xml:space="preserve">Figure </w:t>
      </w:r>
      <w:r w:rsidR="001D7426">
        <w:rPr/>
        <w:t>S</w:t>
      </w:r>
      <w:r>
        <w:fldChar w:fldCharType="begin"/>
      </w:r>
      <w:r>
        <w:instrText xml:space="preserve"> SEQ Figure \* ARABIC </w:instrText>
      </w:r>
      <w:r>
        <w:fldChar w:fldCharType="separate"/>
      </w:r>
      <w:r w:rsidRPr="3992AD7A" w:rsidR="00347FC8">
        <w:rPr>
          <w:noProof/>
        </w:rPr>
        <w:t>6</w:t>
      </w:r>
      <w:r w:rsidRPr="3992AD7A">
        <w:rPr>
          <w:noProof/>
        </w:rPr>
        <w:fldChar w:fldCharType="end"/>
      </w:r>
      <w:r w:rsidR="00A05344">
        <w:rPr/>
        <w:t>.</w:t>
      </w:r>
      <w:r w:rsidR="00A05344">
        <w:rPr/>
        <w:t xml:space="preserve"> </w:t>
      </w:r>
      <w:r w:rsidR="00E05FC2">
        <w:rPr/>
        <w:t>Standard deviation of</w:t>
      </w:r>
      <w:r w:rsidR="00E05FC2">
        <w:rPr/>
        <w:t xml:space="preserve"> AUPRC (colour bar) in relation to PVS dimensions (width: x-axis; height: y-axis</w:t>
      </w:r>
      <w:r w:rsidR="00A81C3A">
        <w:rPr/>
        <w:t xml:space="preserve">), </w:t>
      </w:r>
      <w:r w:rsidR="00E05FC2">
        <w:rPr/>
        <w:t>slice thickness (bottom row:</w:t>
      </w:r>
      <w:r w:rsidR="00E05FC2">
        <w:rPr/>
        <w:t xml:space="preserve"> 1 </w:t>
      </w:r>
      <w:r w:rsidR="00E05FC2">
        <w:rPr/>
        <w:t>mm; top row:</w:t>
      </w:r>
      <w:r w:rsidR="00E05FC2">
        <w:rPr/>
        <w:t xml:space="preserve"> 2</w:t>
      </w:r>
      <w:r w:rsidR="00E05FC2">
        <w:rPr/>
        <w:t xml:space="preserve"> mm)</w:t>
      </w:r>
      <w:r w:rsidR="00A81C3A">
        <w:rPr/>
        <w:t>, and white matter hyperintensities</w:t>
      </w:r>
      <w:r w:rsidR="00E77771">
        <w:rPr/>
        <w:t>.</w:t>
      </w:r>
      <w:r w:rsidR="00A05344">
        <w:rPr/>
        <w:t xml:space="preserve"> </w:t>
      </w:r>
      <w:bookmarkStart w:name="_GoBack" w:id="4"/>
      <w:bookmarkEnd w:id="4"/>
      <w:r w:rsidR="00A05344">
        <w:rPr/>
        <w:t xml:space="preserve">White regions represent cases that were not considered (width &gt;= length, eccentricity </w:t>
      </w:r>
      <w:r w:rsidR="00A05344">
        <w:rPr/>
        <w:t>&lt; 0.8, or lack of PVS visibility).</w:t>
      </w:r>
      <w:r w:rsidR="00CE0895">
        <w:rPr/>
        <w:t xml:space="preserve"> </w:t>
      </w:r>
      <w:r w:rsidR="00ED7531">
        <w:rPr/>
        <w:t>T</w:t>
      </w:r>
      <w:r w:rsidR="00CE0895">
        <w:rPr/>
        <w:t>he int</w:t>
      </w:r>
      <w:r w:rsidR="00E44AE7">
        <w:rPr/>
        <w:t xml:space="preserve">roduction of WMH caused variability </w:t>
      </w:r>
      <w:r w:rsidR="00CE0895">
        <w:rPr/>
        <w:t>in AUPRC values (observe, for example, pockets of higher standard deviations in PVS with approximately 2mm width, increasing at higher lengths).</w:t>
      </w:r>
      <w:r w:rsidR="00A05344">
        <w:rPr/>
        <w:t xml:space="preserve"> </w:t>
      </w:r>
      <w:r w:rsidR="0094012C">
        <w:rPr/>
        <w:t>Imaging considerations: k-space sampling.</w:t>
      </w:r>
    </w:p>
    <w:p w:rsidRPr="00540E10" w:rsidR="00B97F10" w:rsidP="00C514F9" w:rsidRDefault="00B97F10" w14:paraId="3A02570E" w14:textId="5C5211CD">
      <w:pPr>
        <w:pStyle w:val="Heading1"/>
        <w:rPr>
          <w:lang w:val="es-CO"/>
        </w:rPr>
      </w:pPr>
      <w:r w:rsidRPr="00540E10">
        <w:rPr>
          <w:lang w:val="es-CO"/>
        </w:rPr>
        <w:t>R</w:t>
      </w:r>
      <w:r w:rsidRPr="00540E10" w:rsidR="00AC2500">
        <w:rPr>
          <w:lang w:val="es-CO"/>
        </w:rPr>
        <w:t>eferen</w:t>
      </w:r>
      <w:r w:rsidRPr="00540E10">
        <w:rPr>
          <w:lang w:val="es-CO"/>
        </w:rPr>
        <w:t>ces</w:t>
      </w:r>
    </w:p>
    <w:p w:rsidRPr="00B97F10" w:rsidR="00B97F10" w:rsidP="00B97F10" w:rsidRDefault="00B97F10" w14:paraId="20523CE7" w14:textId="2060BB68">
      <w:pPr>
        <w:widowControl w:val="0"/>
        <w:autoSpaceDE w:val="0"/>
        <w:autoSpaceDN w:val="0"/>
        <w:adjustRightInd w:val="0"/>
        <w:spacing w:line="240" w:lineRule="auto"/>
        <w:ind w:left="480" w:hanging="480"/>
        <w:rPr>
          <w:rFonts w:ascii="Calibri" w:hAnsi="Calibri" w:cs="Calibri"/>
          <w:noProof/>
        </w:rPr>
      </w:pPr>
      <w:r>
        <w:fldChar w:fldCharType="begin" w:fldLock="1"/>
      </w:r>
      <w:r w:rsidRPr="00540E10">
        <w:rPr>
          <w:lang w:val="es-CO"/>
        </w:rPr>
        <w:instrText xml:space="preserve">ADDIN Mendeley Bibliography CSL_BIBLIOGRAPHY </w:instrText>
      </w:r>
      <w:r>
        <w:fldChar w:fldCharType="separate"/>
      </w:r>
      <w:r w:rsidRPr="00540E10">
        <w:rPr>
          <w:rFonts w:ascii="Calibri" w:hAnsi="Calibri" w:cs="Calibri"/>
          <w:noProof/>
          <w:szCs w:val="24"/>
          <w:lang w:val="es-CO"/>
        </w:rPr>
        <w:t xml:space="preserve">Ballerini, L., Booth, T., Valdés Hernández, M. del C., Wiseman, S., Lovreglio, R., Muñoz Maniega, S., … </w:t>
      </w:r>
      <w:r w:rsidRPr="00B97F10">
        <w:rPr>
          <w:rFonts w:ascii="Calibri" w:hAnsi="Calibri" w:cs="Calibri"/>
          <w:noProof/>
          <w:szCs w:val="24"/>
        </w:rPr>
        <w:t xml:space="preserve">Wardlaw, J. (2020). Computational quantification of brain perivascular space morphologies: Associations with vascular risk factors and white matter hyperintensities. A study in the Lothian Birth Cohort 1936. </w:t>
      </w:r>
      <w:r w:rsidRPr="00B97F10">
        <w:rPr>
          <w:rFonts w:ascii="Calibri" w:hAnsi="Calibri" w:cs="Calibri"/>
          <w:i/>
          <w:iCs/>
          <w:noProof/>
          <w:szCs w:val="24"/>
        </w:rPr>
        <w:t>NeuroImage: Clinical</w:t>
      </w:r>
      <w:r w:rsidRPr="00B97F10">
        <w:rPr>
          <w:rFonts w:ascii="Calibri" w:hAnsi="Calibri" w:cs="Calibri"/>
          <w:noProof/>
          <w:szCs w:val="24"/>
        </w:rPr>
        <w:t xml:space="preserve">, </w:t>
      </w:r>
      <w:r w:rsidRPr="00B97F10">
        <w:rPr>
          <w:rFonts w:ascii="Calibri" w:hAnsi="Calibri" w:cs="Calibri"/>
          <w:i/>
          <w:iCs/>
          <w:noProof/>
          <w:szCs w:val="24"/>
        </w:rPr>
        <w:t>25</w:t>
      </w:r>
      <w:r w:rsidRPr="00B97F10">
        <w:rPr>
          <w:rFonts w:ascii="Calibri" w:hAnsi="Calibri" w:cs="Calibri"/>
          <w:noProof/>
          <w:szCs w:val="24"/>
        </w:rPr>
        <w:t>(November 2019), 102120. https://doi.org/10.1016/j.nicl.2019.102120</w:t>
      </w:r>
    </w:p>
    <w:p w:rsidRPr="00893DFC" w:rsidR="004E492B" w:rsidP="00893DFC" w:rsidRDefault="00B97F10" w14:paraId="2A74974E" w14:textId="0DF73539">
      <w:r>
        <w:fldChar w:fldCharType="end"/>
      </w:r>
    </w:p>
    <w:sectPr w:rsidRPr="00893DFC" w:rsidR="004E492B">
      <w:pgSz w:w="11906" w:h="16838" w:orient="portrait"/>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7772178" w16cex:dateUtc="2022-03-23T21:52:54.675Z"/>
  <w16cex:commentExtensible w16cex:durableId="176C2BB3" w16cex:dateUtc="2022-03-23T21:54:39.064Z"/>
</w16cex:commentsExtensible>
</file>

<file path=word/commentsIds.xml><?xml version="1.0" encoding="utf-8"?>
<w16cid:commentsIds xmlns:mc="http://schemas.openxmlformats.org/markup-compatibility/2006" xmlns:w16cid="http://schemas.microsoft.com/office/word/2016/wordml/cid" mc:Ignorable="w16cid">
  <w16cid:commentId w16cid:paraId="21027612" w16cid:durableId="77772178"/>
  <w16cid:commentId w16cid:paraId="47BAC15F" w16cid:durableId="176C2B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3F07"/>
    <w:multiLevelType w:val="hybridMultilevel"/>
    <w:tmpl w:val="30EADEE0"/>
    <w:lvl w:ilvl="0" w:tplc="692E76F0">
      <w:start w:val="3"/>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lang="en-GB" w:vendorID="64" w:dllVersion="131078" w:nlCheck="1" w:checkStyle="1" w:appName="MSWord"/>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23"/>
    <w:rsid w:val="0000422B"/>
    <w:rsid w:val="00014041"/>
    <w:rsid w:val="0003351D"/>
    <w:rsid w:val="000529DC"/>
    <w:rsid w:val="000B5B59"/>
    <w:rsid w:val="000C32E0"/>
    <w:rsid w:val="000C5D6B"/>
    <w:rsid w:val="00114C0B"/>
    <w:rsid w:val="00166F6A"/>
    <w:rsid w:val="001D7426"/>
    <w:rsid w:val="0022779F"/>
    <w:rsid w:val="002C5F06"/>
    <w:rsid w:val="002C7178"/>
    <w:rsid w:val="0032219A"/>
    <w:rsid w:val="00347FC8"/>
    <w:rsid w:val="003709C8"/>
    <w:rsid w:val="003C2DC9"/>
    <w:rsid w:val="003E0A99"/>
    <w:rsid w:val="003F7086"/>
    <w:rsid w:val="0040373B"/>
    <w:rsid w:val="00491465"/>
    <w:rsid w:val="004B2334"/>
    <w:rsid w:val="004B71FB"/>
    <w:rsid w:val="004E492B"/>
    <w:rsid w:val="004E67E7"/>
    <w:rsid w:val="00500E3C"/>
    <w:rsid w:val="00504E3F"/>
    <w:rsid w:val="00505AAF"/>
    <w:rsid w:val="00540E10"/>
    <w:rsid w:val="00572F66"/>
    <w:rsid w:val="00595A30"/>
    <w:rsid w:val="005F0B83"/>
    <w:rsid w:val="00625FC5"/>
    <w:rsid w:val="0062799C"/>
    <w:rsid w:val="0064060F"/>
    <w:rsid w:val="0064199E"/>
    <w:rsid w:val="006B1C51"/>
    <w:rsid w:val="006C59F3"/>
    <w:rsid w:val="006E2AD3"/>
    <w:rsid w:val="006E5F87"/>
    <w:rsid w:val="006E7234"/>
    <w:rsid w:val="006F4A7A"/>
    <w:rsid w:val="0070090A"/>
    <w:rsid w:val="00701437"/>
    <w:rsid w:val="00710EAD"/>
    <w:rsid w:val="00726189"/>
    <w:rsid w:val="007745EF"/>
    <w:rsid w:val="0078740E"/>
    <w:rsid w:val="007922B1"/>
    <w:rsid w:val="007A6DAF"/>
    <w:rsid w:val="007F2B70"/>
    <w:rsid w:val="00800CB9"/>
    <w:rsid w:val="00830B64"/>
    <w:rsid w:val="00873C80"/>
    <w:rsid w:val="00893DFC"/>
    <w:rsid w:val="008B0A1C"/>
    <w:rsid w:val="008B4DC2"/>
    <w:rsid w:val="008C627B"/>
    <w:rsid w:val="009102B3"/>
    <w:rsid w:val="0094012C"/>
    <w:rsid w:val="009733EC"/>
    <w:rsid w:val="009733F4"/>
    <w:rsid w:val="00975ADB"/>
    <w:rsid w:val="00987441"/>
    <w:rsid w:val="009C192D"/>
    <w:rsid w:val="009E5323"/>
    <w:rsid w:val="009F20A4"/>
    <w:rsid w:val="00A05344"/>
    <w:rsid w:val="00A32960"/>
    <w:rsid w:val="00A45E9D"/>
    <w:rsid w:val="00A81C3A"/>
    <w:rsid w:val="00AC2500"/>
    <w:rsid w:val="00AD01E7"/>
    <w:rsid w:val="00AE717A"/>
    <w:rsid w:val="00AF0AFF"/>
    <w:rsid w:val="00B219F6"/>
    <w:rsid w:val="00B22303"/>
    <w:rsid w:val="00B304A1"/>
    <w:rsid w:val="00B40307"/>
    <w:rsid w:val="00B544B9"/>
    <w:rsid w:val="00B75747"/>
    <w:rsid w:val="00B97F10"/>
    <w:rsid w:val="00BE5D2D"/>
    <w:rsid w:val="00C03651"/>
    <w:rsid w:val="00C14791"/>
    <w:rsid w:val="00C514F9"/>
    <w:rsid w:val="00C720A1"/>
    <w:rsid w:val="00CE0895"/>
    <w:rsid w:val="00D002E9"/>
    <w:rsid w:val="00D3022B"/>
    <w:rsid w:val="00D36CD0"/>
    <w:rsid w:val="00DC343B"/>
    <w:rsid w:val="00E05FC2"/>
    <w:rsid w:val="00E44AE7"/>
    <w:rsid w:val="00E729E4"/>
    <w:rsid w:val="00E732E6"/>
    <w:rsid w:val="00E77771"/>
    <w:rsid w:val="00ED7531"/>
    <w:rsid w:val="00F00444"/>
    <w:rsid w:val="00F246BF"/>
    <w:rsid w:val="00F266CD"/>
    <w:rsid w:val="00FB4748"/>
    <w:rsid w:val="0B232799"/>
    <w:rsid w:val="15DD10B7"/>
    <w:rsid w:val="17DBD05C"/>
    <w:rsid w:val="2F2EE0EC"/>
    <w:rsid w:val="3992AD7A"/>
    <w:rsid w:val="4DBB0C9C"/>
    <w:rsid w:val="6852A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B9AA"/>
  <w15:chartTrackingRefBased/>
  <w15:docId w15:val="{682FFDE8-CDF8-4085-BA13-E1D9AEDC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166F6A"/>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2334"/>
    <w:pPr>
      <w:keepNext/>
      <w:keepLines/>
      <w:spacing w:before="40" w:after="0"/>
      <w:jc w:val="both"/>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C5F06"/>
    <w:pPr>
      <w:keepNext/>
      <w:keepLines/>
      <w:spacing w:before="40" w:after="0" w:line="360" w:lineRule="auto"/>
      <w:jc w:val="both"/>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B71FB"/>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4B2334"/>
    <w:rPr>
      <w:rFonts w:asciiTheme="majorHAnsi" w:hAnsiTheme="majorHAnsi" w:eastAsiaTheme="majorEastAsia" w:cstheme="majorBidi"/>
      <w:color w:val="2E74B5" w:themeColor="accent1" w:themeShade="BF"/>
      <w:sz w:val="26"/>
      <w:szCs w:val="26"/>
    </w:rPr>
  </w:style>
  <w:style w:type="table" w:styleId="TableGrid">
    <w:name w:val="Table Grid"/>
    <w:basedOn w:val="TableNormal"/>
    <w:uiPriority w:val="39"/>
    <w:rsid w:val="004B233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4B233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B2334"/>
    <w:rPr>
      <w:rFonts w:ascii="Segoe UI" w:hAnsi="Segoe UI" w:cs="Segoe UI"/>
      <w:sz w:val="18"/>
      <w:szCs w:val="18"/>
    </w:rPr>
  </w:style>
  <w:style w:type="paragraph" w:styleId="Caption">
    <w:name w:val="caption"/>
    <w:basedOn w:val="Normal"/>
    <w:next w:val="Normal"/>
    <w:unhideWhenUsed/>
    <w:qFormat/>
    <w:rsid w:val="00893DFC"/>
    <w:pPr>
      <w:spacing w:after="360" w:line="360" w:lineRule="auto"/>
      <w:jc w:val="both"/>
    </w:pPr>
    <w:rPr>
      <w:rFonts w:ascii="Arial" w:hAnsi="Arial"/>
      <w:i/>
      <w:iCs/>
      <w:color w:val="000000" w:themeColor="text1"/>
      <w:sz w:val="20"/>
      <w:szCs w:val="18"/>
    </w:rPr>
  </w:style>
  <w:style w:type="character" w:styleId="CommentReference">
    <w:name w:val="annotation reference"/>
    <w:basedOn w:val="DefaultParagraphFont"/>
    <w:uiPriority w:val="99"/>
    <w:semiHidden/>
    <w:unhideWhenUsed/>
    <w:rsid w:val="002C7178"/>
    <w:rPr>
      <w:sz w:val="16"/>
      <w:szCs w:val="16"/>
    </w:rPr>
  </w:style>
  <w:style w:type="paragraph" w:styleId="CommentText">
    <w:name w:val="annotation text"/>
    <w:basedOn w:val="Normal"/>
    <w:link w:val="CommentTextChar"/>
    <w:uiPriority w:val="99"/>
    <w:unhideWhenUsed/>
    <w:rsid w:val="002C7178"/>
    <w:pPr>
      <w:spacing w:line="240" w:lineRule="auto"/>
      <w:jc w:val="both"/>
    </w:pPr>
    <w:rPr>
      <w:sz w:val="20"/>
      <w:szCs w:val="20"/>
    </w:rPr>
  </w:style>
  <w:style w:type="character" w:styleId="CommentTextChar" w:customStyle="1">
    <w:name w:val="Comment Text Char"/>
    <w:basedOn w:val="DefaultParagraphFont"/>
    <w:link w:val="CommentText"/>
    <w:uiPriority w:val="99"/>
    <w:rsid w:val="002C7178"/>
    <w:rPr>
      <w:sz w:val="20"/>
      <w:szCs w:val="20"/>
    </w:rPr>
  </w:style>
  <w:style w:type="paragraph" w:styleId="Title">
    <w:name w:val="Title"/>
    <w:basedOn w:val="Normal"/>
    <w:next w:val="Normal"/>
    <w:link w:val="TitleChar"/>
    <w:uiPriority w:val="10"/>
    <w:qFormat/>
    <w:rsid w:val="00166F6A"/>
    <w:pPr>
      <w:spacing w:after="0" w:line="240" w:lineRule="auto"/>
      <w:contextualSpacing/>
      <w:jc w:val="both"/>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66F6A"/>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166F6A"/>
    <w:rPr>
      <w:rFonts w:asciiTheme="majorHAnsi" w:hAnsiTheme="majorHAnsi" w:eastAsiaTheme="majorEastAsia" w:cstheme="majorBidi"/>
      <w:color w:val="2E74B5" w:themeColor="accent1" w:themeShade="BF"/>
      <w:sz w:val="32"/>
      <w:szCs w:val="32"/>
    </w:rPr>
  </w:style>
  <w:style w:type="character" w:styleId="Heading3Char" w:customStyle="1">
    <w:name w:val="Heading 3 Char"/>
    <w:basedOn w:val="DefaultParagraphFont"/>
    <w:link w:val="Heading3"/>
    <w:uiPriority w:val="9"/>
    <w:rsid w:val="002C5F06"/>
    <w:rPr>
      <w:rFonts w:asciiTheme="majorHAnsi" w:hAnsiTheme="majorHAnsi" w:eastAsiaTheme="majorEastAsia" w:cstheme="majorBidi"/>
      <w:color w:val="1F4D78" w:themeColor="accent1" w:themeShade="7F"/>
      <w:sz w:val="24"/>
      <w:szCs w:val="24"/>
    </w:rPr>
  </w:style>
  <w:style w:type="paragraph" w:styleId="CommentSubject">
    <w:name w:val="annotation subject"/>
    <w:basedOn w:val="CommentText"/>
    <w:next w:val="CommentText"/>
    <w:link w:val="CommentSubjectChar"/>
    <w:uiPriority w:val="99"/>
    <w:semiHidden/>
    <w:unhideWhenUsed/>
    <w:rsid w:val="00701437"/>
    <w:pPr>
      <w:jc w:val="left"/>
    </w:pPr>
    <w:rPr>
      <w:b/>
      <w:bCs/>
    </w:rPr>
  </w:style>
  <w:style w:type="character" w:styleId="CommentSubjectChar" w:customStyle="1">
    <w:name w:val="Comment Subject Char"/>
    <w:basedOn w:val="CommentTextChar"/>
    <w:link w:val="CommentSubject"/>
    <w:uiPriority w:val="99"/>
    <w:semiHidden/>
    <w:rsid w:val="00701437"/>
    <w:rPr>
      <w:b/>
      <w:bCs/>
      <w:sz w:val="20"/>
      <w:szCs w:val="20"/>
    </w:rPr>
  </w:style>
  <w:style w:type="character" w:styleId="Heading4Char" w:customStyle="1">
    <w:name w:val="Heading 4 Char"/>
    <w:basedOn w:val="DefaultParagraphFont"/>
    <w:link w:val="Heading4"/>
    <w:uiPriority w:val="9"/>
    <w:rsid w:val="004B71FB"/>
    <w:rPr>
      <w:rFonts w:asciiTheme="majorHAnsi" w:hAnsiTheme="majorHAnsi" w:eastAsiaTheme="majorEastAsia" w:cstheme="majorBidi"/>
      <w:i/>
      <w:iCs/>
      <w:color w:val="2E74B5" w:themeColor="accent1" w:themeShade="BF"/>
    </w:rPr>
  </w:style>
  <w:style w:type="paragraph" w:styleId="ListParagraph">
    <w:name w:val="List Paragraph"/>
    <w:basedOn w:val="Normal"/>
    <w:uiPriority w:val="34"/>
    <w:qFormat/>
    <w:rsid w:val="00A32960"/>
    <w:pPr>
      <w:ind w:left="720"/>
      <w:contextualSpacing/>
    </w:pPr>
  </w:style>
  <w:style w:type="character" w:styleId="PlaceholderText">
    <w:name w:val="Placeholder Text"/>
    <w:basedOn w:val="DefaultParagraphFont"/>
    <w:uiPriority w:val="99"/>
    <w:semiHidden/>
    <w:rsid w:val="00B403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image" Target="media/image2.png"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image" Target="media/image6.png" Id="rId11" /><Relationship Type="http://schemas.microsoft.com/office/2016/09/relationships/commentsIds" Target="commentsIds.xml" Id="R5d4e93e7a8c14811" /><Relationship Type="http://schemas.microsoft.com/office/2018/08/relationships/commentsExtensible" Target="commentsExtensible.xml" Id="Rcd14e0da69ac4362" /><Relationship Type="http://schemas.openxmlformats.org/officeDocument/2006/relationships/webSettings" Target="webSettings.xml" Id="rId5" /><Relationship Type="http://schemas.openxmlformats.org/officeDocument/2006/relationships/image" Target="media/image5.png" Id="rId10" /><Relationship Type="http://schemas.openxmlformats.org/officeDocument/2006/relationships/settings" Target="settings.xml" Id="rId4" /><Relationship Type="http://schemas.openxmlformats.org/officeDocument/2006/relationships/image" Target="media/image4.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6714F4D-0B88-486F-88F0-C16F44F28B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BERNAL MOYANO Jose</dc:creator>
  <keywords/>
  <dc:description/>
  <lastModifiedBy>VALDES HERNANDEZ Maria</lastModifiedBy>
  <revision>101</revision>
  <lastPrinted>2022-04-10T08:47:00.0000000Z</lastPrinted>
  <dcterms:created xsi:type="dcterms:W3CDTF">2022-02-27T10:27:00.0000000Z</dcterms:created>
  <dcterms:modified xsi:type="dcterms:W3CDTF">2022-07-19T08:36:39.5002765Z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http://www.zotero.org/styles/neuroimage</vt:lpwstr>
  </property>
  <property fmtid="{D5CDD505-2E9C-101B-9397-08002B2CF9AE}" pid="21" name="Mendeley Recent Style Name 9_1">
    <vt:lpwstr>NeuroImage</vt:lpwstr>
  </property>
  <property fmtid="{D5CDD505-2E9C-101B-9397-08002B2CF9AE}" pid="22" name="Mendeley Document_1">
    <vt:lpwstr>True</vt:lpwstr>
  </property>
  <property fmtid="{D5CDD505-2E9C-101B-9397-08002B2CF9AE}" pid="23" name="Mendeley Unique User Id_1">
    <vt:lpwstr>993c13c3-6482-3320-9467-76ff802aa182</vt:lpwstr>
  </property>
  <property fmtid="{D5CDD505-2E9C-101B-9397-08002B2CF9AE}" pid="24" name="Mendeley Citation Style_1">
    <vt:lpwstr>http://www.zotero.org/styles/apa</vt:lpwstr>
  </property>
</Properties>
</file>