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4B60B7" w:rsidR="00612219" w:rsidP="00612219" w:rsidRDefault="00612219" w14:paraId="05BD80D0" w14:textId="57EC0F9E">
      <w:pPr>
        <w:spacing w:after="0" w:line="240" w:lineRule="auto"/>
        <w:rPr>
          <w:rFonts w:ascii="Calibri" w:hAnsi="Calibri" w:eastAsia="Calibri" w:cs="Calibri"/>
        </w:rPr>
      </w:pPr>
      <w:r w:rsidRPr="2FB5EBAA" w:rsidR="00612219">
        <w:rPr>
          <w:rFonts w:ascii="Calibri" w:hAnsi="Calibri" w:eastAsia="Calibri" w:cs="Calibri"/>
          <w:b w:val="1"/>
          <w:bCs w:val="1"/>
        </w:rPr>
        <w:t>Ta</w:t>
      </w:r>
      <w:r w:rsidRPr="2FB5EBAA" w:rsidR="00612219">
        <w:rPr>
          <w:rFonts w:ascii="Calibri" w:hAnsi="Calibri" w:eastAsia="Calibri" w:cs="Calibri"/>
          <w:b w:val="1"/>
          <w:bCs w:val="1"/>
        </w:rPr>
        <w:t>ble S3</w:t>
      </w:r>
      <w:bookmarkStart w:name="_GoBack" w:id="0"/>
      <w:bookmarkEnd w:id="0"/>
      <w:r w:rsidRPr="2FB5EBAA" w:rsidR="00612219">
        <w:rPr>
          <w:rFonts w:ascii="Calibri" w:hAnsi="Calibri" w:eastAsia="Calibri" w:cs="Calibri"/>
        </w:rPr>
        <w:t xml:space="preserve">. Physical Activity Factors, Categories, and Definitions  </w:t>
      </w:r>
      <w:r w:rsidRPr="2FB5EBAA" w:rsidR="00612219">
        <w:rPr>
          <w:rFonts w:ascii="Calibri" w:hAnsi="Calibri" w:eastAsia="Calibri" w:cs="Calibri"/>
        </w:rPr>
        <w:t xml:space="preserve">         </w:t>
      </w: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1476"/>
        <w:gridCol w:w="1759"/>
        <w:gridCol w:w="6125"/>
      </w:tblGrid>
      <w:tr w:rsidRPr="0032232C" w:rsidR="00612219" w:rsidTr="00B170B3" w14:paraId="1DF0DB68" w14:textId="77777777">
        <w:tc>
          <w:tcPr>
            <w:tcW w:w="1476" w:type="dxa"/>
          </w:tcPr>
          <w:p w:rsidRPr="0032232C" w:rsidR="00612219" w:rsidP="00B170B3" w:rsidRDefault="00612219" w14:paraId="52034F01" w14:textId="77777777">
            <w:pPr>
              <w:rPr>
                <w:rFonts w:ascii="Calibri" w:hAnsi="Calibri" w:eastAsia="Calibri" w:cs="Calibri"/>
                <w:b/>
                <w:sz w:val="20"/>
                <w:szCs w:val="20"/>
              </w:rPr>
            </w:pPr>
            <w:r w:rsidRPr="0032232C">
              <w:rPr>
                <w:rFonts w:ascii="Calibri" w:hAnsi="Calibri" w:eastAsia="Calibri" w:cs="Calibri"/>
                <w:b/>
                <w:sz w:val="20"/>
                <w:szCs w:val="20"/>
              </w:rPr>
              <w:t>Activity factors</w:t>
            </w:r>
          </w:p>
        </w:tc>
        <w:tc>
          <w:tcPr>
            <w:tcW w:w="1759" w:type="dxa"/>
          </w:tcPr>
          <w:p w:rsidRPr="0032232C" w:rsidR="00612219" w:rsidP="00B170B3" w:rsidRDefault="00612219" w14:paraId="63FAAFFB" w14:textId="77777777">
            <w:pPr>
              <w:rPr>
                <w:rFonts w:ascii="Calibri" w:hAnsi="Calibri" w:eastAsia="Calibri" w:cs="Calibri"/>
                <w:b/>
                <w:sz w:val="20"/>
                <w:szCs w:val="20"/>
              </w:rPr>
            </w:pPr>
            <w:r w:rsidRPr="0032232C">
              <w:rPr>
                <w:rFonts w:ascii="Calibri" w:hAnsi="Calibri" w:eastAsia="Calibri" w:cs="Calibri"/>
                <w:b/>
                <w:sz w:val="20"/>
                <w:szCs w:val="20"/>
              </w:rPr>
              <w:t>Physical Activity Category</w:t>
            </w:r>
          </w:p>
        </w:tc>
        <w:tc>
          <w:tcPr>
            <w:tcW w:w="6125" w:type="dxa"/>
          </w:tcPr>
          <w:p w:rsidRPr="0032232C" w:rsidR="00612219" w:rsidP="00B170B3" w:rsidRDefault="00612219" w14:paraId="233E0920" w14:textId="77777777">
            <w:pPr>
              <w:rPr>
                <w:rFonts w:ascii="Calibri" w:hAnsi="Calibri" w:eastAsia="Calibri" w:cs="Calibri"/>
                <w:b/>
                <w:sz w:val="20"/>
                <w:szCs w:val="20"/>
              </w:rPr>
            </w:pPr>
            <w:r w:rsidRPr="0032232C">
              <w:rPr>
                <w:rFonts w:ascii="Calibri" w:hAnsi="Calibri" w:eastAsia="Calibri" w:cs="Calibri"/>
                <w:b/>
                <w:sz w:val="20"/>
                <w:szCs w:val="20"/>
              </w:rPr>
              <w:t>Definition</w:t>
            </w:r>
            <w:r w:rsidRPr="00BB5A83">
              <w:rPr>
                <w:rFonts w:ascii="Calibri" w:hAnsi="Calibri" w:eastAsia="Calibri" w:cs="Calibri"/>
                <w:b/>
                <w:sz w:val="20"/>
                <w:szCs w:val="20"/>
                <w:vertAlign w:val="superscript"/>
              </w:rPr>
              <w:t>1</w:t>
            </w:r>
            <w:r w:rsidRPr="0032232C">
              <w:rPr>
                <w:rFonts w:ascii="Calibri" w:hAnsi="Calibri" w:eastAsia="Calibri" w:cs="Calibri"/>
                <w:b/>
                <w:sz w:val="20"/>
                <w:szCs w:val="20"/>
              </w:rPr>
              <w:t xml:space="preserve"> </w:t>
            </w:r>
          </w:p>
        </w:tc>
      </w:tr>
      <w:tr w:rsidRPr="0032232C" w:rsidR="00612219" w:rsidTr="00B170B3" w14:paraId="7E7081AE" w14:textId="77777777">
        <w:tc>
          <w:tcPr>
            <w:tcW w:w="1476" w:type="dxa"/>
          </w:tcPr>
          <w:p w:rsidRPr="0032232C" w:rsidR="00612219" w:rsidP="00B170B3" w:rsidRDefault="00612219" w14:paraId="3C1DE2E6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 w:rsidRPr="0032232C">
              <w:rPr>
                <w:rFonts w:ascii="Calibri" w:hAnsi="Calibri" w:eastAsia="Calibri" w:cs="Calibri"/>
                <w:sz w:val="20"/>
                <w:szCs w:val="20"/>
              </w:rPr>
              <w:t>1.3</w:t>
            </w:r>
          </w:p>
        </w:tc>
        <w:tc>
          <w:tcPr>
            <w:tcW w:w="1759" w:type="dxa"/>
          </w:tcPr>
          <w:p w:rsidRPr="0032232C" w:rsidR="00612219" w:rsidP="00B170B3" w:rsidRDefault="00612219" w14:paraId="61965B48" w14:textId="77777777">
            <w:pPr>
              <w:spacing w:line="259" w:lineRule="auto"/>
              <w:rPr>
                <w:rFonts w:ascii="Calibri" w:hAnsi="Calibri" w:eastAsia="Calibri" w:cs="Calibri"/>
                <w:sz w:val="20"/>
                <w:szCs w:val="20"/>
              </w:rPr>
            </w:pPr>
            <w:r w:rsidRPr="0032232C">
              <w:rPr>
                <w:rFonts w:ascii="Calibri" w:hAnsi="Calibri" w:eastAsia="Calibri" w:cs="Calibri"/>
                <w:sz w:val="20"/>
                <w:szCs w:val="20"/>
              </w:rPr>
              <w:t>Sedentary</w:t>
            </w:r>
          </w:p>
        </w:tc>
        <w:tc>
          <w:tcPr>
            <w:tcW w:w="6125" w:type="dxa"/>
          </w:tcPr>
          <w:p w:rsidRPr="0032232C" w:rsidR="00612219" w:rsidP="00B170B3" w:rsidRDefault="00612219" w14:paraId="6038CF2B" w14:textId="77777777">
            <w:pPr>
              <w:spacing w:line="259" w:lineRule="auto"/>
              <w:rPr>
                <w:rFonts w:ascii="Calibri" w:hAnsi="Calibri" w:eastAsia="Calibri" w:cs="Calibri"/>
                <w:sz w:val="20"/>
                <w:szCs w:val="20"/>
              </w:rPr>
            </w:pPr>
            <w:r w:rsidRPr="0032232C">
              <w:rPr>
                <w:rFonts w:ascii="Calibri" w:hAnsi="Calibri" w:eastAsia="Calibri" w:cs="Calibri"/>
                <w:sz w:val="20"/>
                <w:szCs w:val="20"/>
              </w:rPr>
              <w:t>Activity only associated with typical day-to-day life.</w:t>
            </w:r>
          </w:p>
        </w:tc>
      </w:tr>
      <w:tr w:rsidRPr="0032232C" w:rsidR="00612219" w:rsidTr="00B170B3" w14:paraId="42179DCB" w14:textId="77777777">
        <w:tc>
          <w:tcPr>
            <w:tcW w:w="1476" w:type="dxa"/>
          </w:tcPr>
          <w:p w:rsidRPr="0032232C" w:rsidR="00612219" w:rsidP="00B170B3" w:rsidRDefault="00612219" w14:paraId="3D2BE0FB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 w:rsidRPr="0032232C">
              <w:rPr>
                <w:rFonts w:ascii="Calibri" w:hAnsi="Calibri" w:eastAsia="Calibri" w:cs="Calibri"/>
                <w:sz w:val="20"/>
                <w:szCs w:val="20"/>
              </w:rPr>
              <w:t>1.4</w:t>
            </w:r>
          </w:p>
        </w:tc>
        <w:tc>
          <w:tcPr>
            <w:tcW w:w="1759" w:type="dxa"/>
          </w:tcPr>
          <w:p w:rsidRPr="0032232C" w:rsidR="00612219" w:rsidP="00B170B3" w:rsidRDefault="00612219" w14:paraId="5762BEE5" w14:textId="77777777">
            <w:pPr>
              <w:spacing w:line="259" w:lineRule="auto"/>
              <w:rPr>
                <w:sz w:val="20"/>
                <w:szCs w:val="20"/>
              </w:rPr>
            </w:pPr>
            <w:r w:rsidRPr="0032232C">
              <w:rPr>
                <w:rFonts w:ascii="Calibri" w:hAnsi="Calibri" w:eastAsia="Calibri" w:cs="Calibri"/>
                <w:sz w:val="20"/>
                <w:szCs w:val="20"/>
              </w:rPr>
              <w:t>Low</w:t>
            </w:r>
          </w:p>
        </w:tc>
        <w:tc>
          <w:tcPr>
            <w:tcW w:w="6125" w:type="dxa"/>
          </w:tcPr>
          <w:p w:rsidRPr="0032232C" w:rsidR="00612219" w:rsidP="00B170B3" w:rsidRDefault="00612219" w14:paraId="02423C80" w14:textId="77777777">
            <w:pPr>
              <w:spacing w:line="259" w:lineRule="auto"/>
              <w:rPr>
                <w:sz w:val="20"/>
                <w:szCs w:val="20"/>
              </w:rPr>
            </w:pPr>
            <w:r w:rsidRPr="0032232C">
              <w:rPr>
                <w:rFonts w:ascii="Calibri" w:hAnsi="Calibri" w:eastAsia="Calibri" w:cs="Calibri"/>
                <w:sz w:val="20"/>
                <w:szCs w:val="20"/>
              </w:rPr>
              <w:t xml:space="preserve">Not meeting any of the criteria for either of the moderate or high category. </w:t>
            </w:r>
          </w:p>
        </w:tc>
      </w:tr>
      <w:tr w:rsidRPr="0032232C" w:rsidR="00612219" w:rsidTr="00B170B3" w14:paraId="6FA43287" w14:textId="77777777">
        <w:tc>
          <w:tcPr>
            <w:tcW w:w="1476" w:type="dxa"/>
          </w:tcPr>
          <w:p w:rsidRPr="0032232C" w:rsidR="00612219" w:rsidP="00B170B3" w:rsidRDefault="00612219" w14:paraId="1F0D3D6E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 w:rsidRPr="0032232C">
              <w:rPr>
                <w:rFonts w:ascii="Calibri" w:hAnsi="Calibri" w:eastAsia="Calibri" w:cs="Calibri"/>
                <w:sz w:val="20"/>
                <w:szCs w:val="20"/>
              </w:rPr>
              <w:t>1.5</w:t>
            </w:r>
          </w:p>
        </w:tc>
        <w:tc>
          <w:tcPr>
            <w:tcW w:w="1759" w:type="dxa"/>
          </w:tcPr>
          <w:p w:rsidRPr="0032232C" w:rsidR="00612219" w:rsidP="00B170B3" w:rsidRDefault="00612219" w14:paraId="59FA76C8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 w:rsidRPr="0032232C">
              <w:rPr>
                <w:rFonts w:ascii="Calibri" w:hAnsi="Calibri" w:eastAsia="Calibri" w:cs="Calibri"/>
                <w:sz w:val="20"/>
                <w:szCs w:val="20"/>
              </w:rPr>
              <w:t>Moderate</w:t>
            </w:r>
          </w:p>
        </w:tc>
        <w:tc>
          <w:tcPr>
            <w:tcW w:w="6125" w:type="dxa"/>
          </w:tcPr>
          <w:p w:rsidRPr="0032232C" w:rsidR="00612219" w:rsidP="00B170B3" w:rsidRDefault="00612219" w14:paraId="78ABBDFB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 w:rsidRPr="0032232C">
              <w:rPr>
                <w:rFonts w:ascii="Calibri" w:hAnsi="Calibri" w:eastAsia="Calibri" w:cs="Calibri"/>
                <w:sz w:val="20"/>
                <w:szCs w:val="20"/>
              </w:rPr>
              <w:t>Doing some activity. It is a level of activity equivalent to half an hour of at least moderate-intensity physical activity on most days.</w:t>
            </w:r>
          </w:p>
        </w:tc>
      </w:tr>
      <w:tr w:rsidRPr="0032232C" w:rsidR="00612219" w:rsidTr="00B170B3" w14:paraId="3C03B409" w14:textId="77777777">
        <w:tc>
          <w:tcPr>
            <w:tcW w:w="1476" w:type="dxa"/>
          </w:tcPr>
          <w:p w:rsidRPr="0032232C" w:rsidR="00612219" w:rsidP="00B170B3" w:rsidRDefault="00612219" w14:paraId="09335810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 w:rsidRPr="0032232C">
              <w:rPr>
                <w:rFonts w:ascii="Calibri" w:hAnsi="Calibri" w:eastAsia="Calibri" w:cs="Calibri"/>
                <w:sz w:val="20"/>
                <w:szCs w:val="20"/>
              </w:rPr>
              <w:t>1.6</w:t>
            </w:r>
          </w:p>
        </w:tc>
        <w:tc>
          <w:tcPr>
            <w:tcW w:w="1759" w:type="dxa"/>
          </w:tcPr>
          <w:p w:rsidRPr="0032232C" w:rsidR="00612219" w:rsidP="00B170B3" w:rsidRDefault="00612219" w14:paraId="11C60A66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 w:rsidRPr="0032232C">
              <w:rPr>
                <w:rFonts w:ascii="Calibri" w:hAnsi="Calibri" w:eastAsia="Calibri" w:cs="Calibri"/>
                <w:sz w:val="20"/>
                <w:szCs w:val="20"/>
              </w:rPr>
              <w:t>High</w:t>
            </w:r>
          </w:p>
        </w:tc>
        <w:tc>
          <w:tcPr>
            <w:tcW w:w="6125" w:type="dxa"/>
          </w:tcPr>
          <w:p w:rsidRPr="0032232C" w:rsidR="00612219" w:rsidP="00B170B3" w:rsidRDefault="00612219" w14:paraId="7589A173" w14:textId="77777777">
            <w:pPr>
              <w:rPr>
                <w:rFonts w:ascii="Calibri" w:hAnsi="Calibri" w:eastAsia="Calibri" w:cs="Calibri"/>
                <w:sz w:val="20"/>
                <w:szCs w:val="20"/>
              </w:rPr>
            </w:pPr>
            <w:r w:rsidRPr="0032232C">
              <w:rPr>
                <w:rFonts w:ascii="Calibri" w:hAnsi="Calibri" w:eastAsia="Calibri" w:cs="Calibri"/>
                <w:sz w:val="20"/>
                <w:szCs w:val="20"/>
              </w:rPr>
              <w:t xml:space="preserve">Requiring higher levels of participation. It is a level of activity equivalent to at least one hour of moderate-intensity physical per day or at least half an hour of vigorous-intensity activity per day. </w:t>
            </w:r>
          </w:p>
        </w:tc>
      </w:tr>
    </w:tbl>
    <w:p w:rsidRPr="00BB5A83" w:rsidR="00612219" w:rsidP="00612219" w:rsidRDefault="00612219" w14:paraId="751E8F77" w14:textId="0D0419DC">
      <w:pPr>
        <w:rPr>
          <w:sz w:val="20"/>
          <w:szCs w:val="20"/>
        </w:rPr>
      </w:pPr>
      <w:r w:rsidRPr="6D6D0EF7" w:rsidR="00612219">
        <w:rPr>
          <w:sz w:val="20"/>
          <w:szCs w:val="20"/>
        </w:rPr>
        <w:t xml:space="preserve">1 Committee on Diet and Health, National Research Council. Diet and health: implications for reducing chronic disease risk. ISBN: 0-309-58831-6 (1989) </w:t>
      </w:r>
      <w:hyperlink r:id="R28dc66f3379e40fe">
        <w:r w:rsidRPr="6D6D0EF7" w:rsidR="00612219">
          <w:rPr>
            <w:rStyle w:val="Hyperlink"/>
            <w:sz w:val="20"/>
            <w:szCs w:val="20"/>
          </w:rPr>
          <w:t>https://www.ncbi.nlm.nih.gov/books/NBK218743/pdf/Bookshelf_NBK218743.pdf</w:t>
        </w:r>
      </w:hyperlink>
      <w:r w:rsidRPr="6D6D0EF7" w:rsidR="00612219">
        <w:rPr>
          <w:sz w:val="20"/>
          <w:szCs w:val="20"/>
        </w:rPr>
        <w:t>, Accessed February 14, 2021.</w:t>
      </w:r>
    </w:p>
    <w:p w:rsidR="00475A30" w:rsidRDefault="00475A30" w14:paraId="3072AC09" w14:textId="77777777"/>
    <w:sectPr w:rsidR="00475A30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1dd240b0fdfb44e2"/>
      <w:footerReference w:type="default" r:id="R16c27df4e34c43a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FB5EBAA" w:rsidTr="2FB5EBAA" w14:paraId="0C43ADB5">
      <w:tc>
        <w:tcPr>
          <w:tcW w:w="3120" w:type="dxa"/>
          <w:tcMar/>
        </w:tcPr>
        <w:p w:rsidR="2FB5EBAA" w:rsidP="2FB5EBAA" w:rsidRDefault="2FB5EBAA" w14:paraId="630524D9" w14:textId="056160D5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2FB5EBAA" w:rsidP="2FB5EBAA" w:rsidRDefault="2FB5EBAA" w14:paraId="522A3891" w14:textId="58E8702A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2FB5EBAA" w:rsidP="2FB5EBAA" w:rsidRDefault="2FB5EBAA" w14:paraId="2B4AA571" w14:textId="76BBB32C">
          <w:pPr>
            <w:pStyle w:val="Header"/>
            <w:bidi w:val="0"/>
            <w:ind w:right="-115"/>
            <w:jc w:val="right"/>
          </w:pPr>
        </w:p>
      </w:tc>
    </w:tr>
  </w:tbl>
  <w:p w:rsidR="2FB5EBAA" w:rsidP="2FB5EBAA" w:rsidRDefault="2FB5EBAA" w14:paraId="2487E96A" w14:textId="463A4F08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FB5EBAA" w:rsidTr="2FB5EBAA" w14:paraId="0BEC3EEC">
      <w:tc>
        <w:tcPr>
          <w:tcW w:w="3120" w:type="dxa"/>
          <w:tcMar/>
        </w:tcPr>
        <w:p w:rsidR="2FB5EBAA" w:rsidP="2FB5EBAA" w:rsidRDefault="2FB5EBAA" w14:paraId="0CC0AAA1" w14:textId="74CDFBE7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2FB5EBAA" w:rsidP="2FB5EBAA" w:rsidRDefault="2FB5EBAA" w14:paraId="235766D6" w14:textId="33C51058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2FB5EBAA" w:rsidP="2FB5EBAA" w:rsidRDefault="2FB5EBAA" w14:paraId="1A62C930" w14:textId="43D349D0">
          <w:pPr>
            <w:pStyle w:val="Header"/>
            <w:bidi w:val="0"/>
            <w:ind w:right="-115"/>
            <w:jc w:val="right"/>
          </w:pPr>
        </w:p>
      </w:tc>
    </w:tr>
  </w:tbl>
  <w:p w:rsidR="2FB5EBAA" w:rsidP="2FB5EBAA" w:rsidRDefault="2FB5EBAA" w14:paraId="2FA5292B" w14:textId="5538C707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63"/>
    <w:rsid w:val="00475A30"/>
    <w:rsid w:val="00612219"/>
    <w:rsid w:val="00B97163"/>
    <w:rsid w:val="00F50F50"/>
    <w:rsid w:val="2FB5EBAA"/>
    <w:rsid w:val="48BF095B"/>
    <w:rsid w:val="5DFEF89B"/>
    <w:rsid w:val="6D6D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2EBB8"/>
  <w15:chartTrackingRefBased/>
  <w15:docId w15:val="{C41ED572-FC64-4855-B7BC-76851C5E1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12219"/>
    <w:rPr>
      <w:rFonts w:eastAsia="SimSu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0F50"/>
    <w:pPr>
      <w:spacing w:after="240" w:line="240" w:lineRule="auto"/>
      <w:outlineLvl w:val="0"/>
    </w:pPr>
    <w:rPr>
      <w:rFonts w:ascii="Arial" w:hAnsi="Arial" w:eastAsiaTheme="minorHAnsi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0F50"/>
    <w:pPr>
      <w:keepNext/>
      <w:keepLines/>
      <w:spacing w:after="120" w:line="240" w:lineRule="auto"/>
      <w:outlineLvl w:val="1"/>
    </w:pPr>
    <w:rPr>
      <w:rFonts w:ascii="Arial" w:hAnsi="Arial" w:eastAsiaTheme="majorEastAsia" w:cstheme="majorBidi"/>
      <w:b/>
      <w:szCs w:val="26"/>
      <w:u w:val="singl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F50F50"/>
    <w:rPr>
      <w:rFonts w:ascii="Arial" w:hAnsi="Arial"/>
      <w:b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F50F50"/>
    <w:rPr>
      <w:rFonts w:ascii="Arial" w:hAnsi="Arial" w:eastAsiaTheme="majorEastAsia" w:cstheme="majorBidi"/>
      <w:b/>
      <w:szCs w:val="26"/>
      <w:u w:val="single"/>
    </w:rPr>
  </w:style>
  <w:style w:type="table" w:styleId="TableGrid">
    <w:name w:val="Table Grid"/>
    <w:basedOn w:val="TableNormal"/>
    <w:uiPriority w:val="59"/>
    <w:rsid w:val="00612219"/>
    <w:pPr>
      <w:spacing w:after="0" w:line="240" w:lineRule="auto"/>
    </w:pPr>
    <w:rPr>
      <w:rFonts w:eastAsia="SimSu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612219"/>
    <w:rPr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s://www.ncbi.nlm.nih.gov/books/NBK218743/pdf/Bookshelf_NBK218743.pdf" TargetMode="External" Id="R28dc66f3379e40fe" /><Relationship Type="http://schemas.openxmlformats.org/officeDocument/2006/relationships/header" Target="header.xml" Id="R1dd240b0fdfb44e2" /><Relationship Type="http://schemas.openxmlformats.org/officeDocument/2006/relationships/footer" Target="footer.xml" Id="R16c27df4e34c43a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Johns Hopkins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Nisa Maruthur</dc:creator>
  <keywords/>
  <dc:description/>
  <lastModifiedBy>Julie Kurtz</lastModifiedBy>
  <revision>5</revision>
  <dcterms:created xsi:type="dcterms:W3CDTF">2021-07-17T15:28:00.0000000Z</dcterms:created>
  <dcterms:modified xsi:type="dcterms:W3CDTF">2022-08-04T20:01:10.1562432Z</dcterms:modified>
</coreProperties>
</file>