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DE168" w14:textId="5C2469E9" w:rsidR="00187977" w:rsidRDefault="00187977" w:rsidP="00187977">
      <w:pPr>
        <w:adjustRightInd w:val="0"/>
        <w:snapToGrid w:val="0"/>
      </w:pPr>
      <w:r>
        <w:rPr>
          <w:rFonts w:hint="eastAsia"/>
        </w:rPr>
        <w:t>Supple</w:t>
      </w:r>
      <w:r w:rsidR="003D2038">
        <w:rPr>
          <w:rFonts w:hint="eastAsia"/>
        </w:rPr>
        <w:t>m</w:t>
      </w:r>
      <w:r w:rsidR="003D2038">
        <w:t>entary</w:t>
      </w:r>
      <w:r>
        <w:rPr>
          <w:rFonts w:hint="eastAsia"/>
        </w:rPr>
        <w:t xml:space="preserve"> </w:t>
      </w:r>
      <w:r>
        <w:t>Table1.</w:t>
      </w:r>
      <w:r w:rsidR="001B6213">
        <w:t xml:space="preserve"> </w:t>
      </w:r>
      <w:r w:rsidRPr="00187977">
        <w:t>Characteristics of subjects</w:t>
      </w:r>
      <w:r w:rsidR="001B6213">
        <w:t xml:space="preserve"> (Those T-SPOT was measured)</w:t>
      </w:r>
    </w:p>
    <w:p w14:paraId="50B16C18" w14:textId="77777777" w:rsidR="00187977" w:rsidRDefault="00187977" w:rsidP="006E43CB">
      <w:pPr>
        <w:adjustRightInd w:val="0"/>
        <w:snapToGrid w:val="0"/>
      </w:pPr>
    </w:p>
    <w:tbl>
      <w:tblPr>
        <w:tblStyle w:val="3"/>
        <w:tblW w:w="6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9"/>
        <w:gridCol w:w="1260"/>
        <w:gridCol w:w="982"/>
        <w:gridCol w:w="954"/>
      </w:tblGrid>
      <w:tr w:rsidR="006B0023" w:rsidRPr="00DF4614" w14:paraId="2A7F1AD6" w14:textId="77777777" w:rsidTr="006B0023">
        <w:trPr>
          <w:trHeight w:val="232"/>
        </w:trPr>
        <w:tc>
          <w:tcPr>
            <w:tcW w:w="2899" w:type="dxa"/>
            <w:tcBorders>
              <w:top w:val="single" w:sz="4" w:space="0" w:color="auto"/>
              <w:bottom w:val="double" w:sz="4" w:space="0" w:color="auto"/>
            </w:tcBorders>
            <w:noWrap/>
            <w:hideMark/>
          </w:tcPr>
          <w:p w14:paraId="132C89E4" w14:textId="77777777" w:rsidR="006B0023" w:rsidRPr="00DF4614" w:rsidRDefault="006B0023" w:rsidP="007B64E5">
            <w:pPr>
              <w:adjustRightInd w:val="0"/>
              <w:snapToGrid w:val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noWrap/>
            <w:vAlign w:val="center"/>
            <w:hideMark/>
          </w:tcPr>
          <w:p w14:paraId="2EB2A135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Control group</w:t>
            </w:r>
          </w:p>
          <w:p w14:paraId="15DF3CA2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(n=48)</w:t>
            </w: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noWrap/>
            <w:vAlign w:val="center"/>
            <w:hideMark/>
          </w:tcPr>
          <w:p w14:paraId="3025C62E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HD group</w:t>
            </w:r>
          </w:p>
          <w:p w14:paraId="34309672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(n=64)</w:t>
            </w: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noWrap/>
            <w:vAlign w:val="center"/>
            <w:hideMark/>
          </w:tcPr>
          <w:p w14:paraId="4708750C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F4614">
              <w:rPr>
                <w:rFonts w:ascii="Times New Roman" w:hAnsi="Times New Roman"/>
                <w:i/>
                <w:iCs/>
                <w:sz w:val="20"/>
                <w:szCs w:val="20"/>
              </w:rPr>
              <w:t>ｐ</w:t>
            </w:r>
            <w:r w:rsidRPr="00DF4614">
              <w:rPr>
                <w:rFonts w:ascii="Times New Roman" w:hAnsi="Times New Roman"/>
                <w:i/>
                <w:iCs/>
                <w:sz w:val="20"/>
                <w:szCs w:val="20"/>
              </w:rPr>
              <w:t>-value</w:t>
            </w:r>
          </w:p>
        </w:tc>
      </w:tr>
      <w:tr w:rsidR="006B0023" w:rsidRPr="00DF4614" w14:paraId="039D93A9" w14:textId="77777777" w:rsidTr="006B0023">
        <w:trPr>
          <w:trHeight w:val="316"/>
        </w:trPr>
        <w:tc>
          <w:tcPr>
            <w:tcW w:w="2899" w:type="dxa"/>
            <w:tcBorders>
              <w:top w:val="double" w:sz="4" w:space="0" w:color="auto"/>
            </w:tcBorders>
            <w:noWrap/>
            <w:hideMark/>
          </w:tcPr>
          <w:p w14:paraId="69355689" w14:textId="77777777" w:rsidR="006B0023" w:rsidRPr="00DF4614" w:rsidRDefault="006B0023" w:rsidP="007B64E5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Males (n, (%))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3E45BAF5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32(66.7)</w:t>
            </w:r>
          </w:p>
        </w:tc>
        <w:tc>
          <w:tcPr>
            <w:tcW w:w="982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14222625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37(57.8)</w:t>
            </w:r>
          </w:p>
        </w:tc>
        <w:tc>
          <w:tcPr>
            <w:tcW w:w="954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7D1E0472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0.43</w:t>
            </w:r>
          </w:p>
        </w:tc>
      </w:tr>
      <w:tr w:rsidR="006B0023" w:rsidRPr="00DF4614" w14:paraId="7AD3210D" w14:textId="77777777" w:rsidTr="006B0023">
        <w:trPr>
          <w:trHeight w:val="316"/>
        </w:trPr>
        <w:tc>
          <w:tcPr>
            <w:tcW w:w="2899" w:type="dxa"/>
            <w:noWrap/>
            <w:hideMark/>
          </w:tcPr>
          <w:p w14:paraId="4F3672D1" w14:textId="77777777" w:rsidR="006B0023" w:rsidRPr="00DF4614" w:rsidRDefault="006B0023" w:rsidP="007B64E5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Age (</w:t>
            </w:r>
            <w:proofErr w:type="spellStart"/>
            <w:r w:rsidRPr="00DF4614">
              <w:rPr>
                <w:rFonts w:ascii="Times New Roman" w:hAnsi="Times New Roman"/>
                <w:sz w:val="20"/>
                <w:szCs w:val="20"/>
              </w:rPr>
              <w:t>year-old±SD</w:t>
            </w:r>
            <w:proofErr w:type="spellEnd"/>
            <w:r w:rsidRPr="00DF46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60" w:type="dxa"/>
            <w:noWrap/>
            <w:vAlign w:val="center"/>
            <w:hideMark/>
          </w:tcPr>
          <w:p w14:paraId="76DF8D25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63.4±8.2</w:t>
            </w:r>
          </w:p>
        </w:tc>
        <w:tc>
          <w:tcPr>
            <w:tcW w:w="982" w:type="dxa"/>
            <w:noWrap/>
            <w:vAlign w:val="center"/>
            <w:hideMark/>
          </w:tcPr>
          <w:p w14:paraId="7936C0BF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69.2±4.8</w:t>
            </w:r>
          </w:p>
        </w:tc>
        <w:tc>
          <w:tcPr>
            <w:tcW w:w="954" w:type="dxa"/>
            <w:noWrap/>
            <w:vAlign w:val="center"/>
            <w:hideMark/>
          </w:tcPr>
          <w:p w14:paraId="448D466A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0.0002</w:t>
            </w:r>
          </w:p>
        </w:tc>
      </w:tr>
      <w:tr w:rsidR="006B0023" w:rsidRPr="00DF4614" w14:paraId="7C81BD67" w14:textId="77777777" w:rsidTr="006B0023">
        <w:trPr>
          <w:trHeight w:val="316"/>
        </w:trPr>
        <w:tc>
          <w:tcPr>
            <w:tcW w:w="2899" w:type="dxa"/>
            <w:noWrap/>
            <w:hideMark/>
          </w:tcPr>
          <w:p w14:paraId="10A7FA0B" w14:textId="77777777" w:rsidR="006B0023" w:rsidRPr="00DF4614" w:rsidRDefault="006B0023" w:rsidP="007B64E5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BMI (kg/m</w:t>
            </w:r>
            <w:r w:rsidRPr="00DF461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F4614">
              <w:rPr>
                <w:rFonts w:ascii="Times New Roman" w:hAnsi="Times New Roman"/>
                <w:sz w:val="20"/>
                <w:szCs w:val="20"/>
              </w:rPr>
              <w:t>±SD)</w:t>
            </w:r>
          </w:p>
        </w:tc>
        <w:tc>
          <w:tcPr>
            <w:tcW w:w="1260" w:type="dxa"/>
            <w:noWrap/>
            <w:vAlign w:val="center"/>
            <w:hideMark/>
          </w:tcPr>
          <w:p w14:paraId="17303777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24.2±4.8</w:t>
            </w:r>
          </w:p>
        </w:tc>
        <w:tc>
          <w:tcPr>
            <w:tcW w:w="982" w:type="dxa"/>
            <w:noWrap/>
            <w:vAlign w:val="center"/>
            <w:hideMark/>
          </w:tcPr>
          <w:p w14:paraId="2FCC7DF0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22.5±4.3</w:t>
            </w:r>
          </w:p>
        </w:tc>
        <w:tc>
          <w:tcPr>
            <w:tcW w:w="954" w:type="dxa"/>
            <w:noWrap/>
            <w:vAlign w:val="center"/>
            <w:hideMark/>
          </w:tcPr>
          <w:p w14:paraId="53083262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0.020</w:t>
            </w:r>
          </w:p>
        </w:tc>
      </w:tr>
      <w:tr w:rsidR="006B0023" w:rsidRPr="00DF4614" w14:paraId="29712362" w14:textId="77777777" w:rsidTr="006B0023">
        <w:trPr>
          <w:trHeight w:val="316"/>
        </w:trPr>
        <w:tc>
          <w:tcPr>
            <w:tcW w:w="2899" w:type="dxa"/>
            <w:noWrap/>
            <w:hideMark/>
          </w:tcPr>
          <w:p w14:paraId="184C1686" w14:textId="77777777" w:rsidR="006B0023" w:rsidRPr="00DF4614" w:rsidRDefault="006B0023" w:rsidP="007B64E5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Diabetes mellitus (n, (%))</w:t>
            </w:r>
          </w:p>
        </w:tc>
        <w:tc>
          <w:tcPr>
            <w:tcW w:w="1260" w:type="dxa"/>
            <w:noWrap/>
            <w:vAlign w:val="center"/>
            <w:hideMark/>
          </w:tcPr>
          <w:p w14:paraId="3A08E121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9(18.8)</w:t>
            </w:r>
          </w:p>
        </w:tc>
        <w:tc>
          <w:tcPr>
            <w:tcW w:w="982" w:type="dxa"/>
            <w:noWrap/>
            <w:vAlign w:val="center"/>
            <w:hideMark/>
          </w:tcPr>
          <w:p w14:paraId="01B18FA6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21(32.8)</w:t>
            </w:r>
          </w:p>
        </w:tc>
        <w:tc>
          <w:tcPr>
            <w:tcW w:w="954" w:type="dxa"/>
            <w:noWrap/>
            <w:vAlign w:val="center"/>
            <w:hideMark/>
          </w:tcPr>
          <w:p w14:paraId="13E092EC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0.13</w:t>
            </w:r>
          </w:p>
        </w:tc>
      </w:tr>
      <w:tr w:rsidR="006B0023" w:rsidRPr="00DF4614" w14:paraId="3474FAF9" w14:textId="77777777" w:rsidTr="006B0023">
        <w:trPr>
          <w:trHeight w:val="316"/>
        </w:trPr>
        <w:tc>
          <w:tcPr>
            <w:tcW w:w="2899" w:type="dxa"/>
            <w:noWrap/>
            <w:hideMark/>
          </w:tcPr>
          <w:p w14:paraId="74672131" w14:textId="77777777" w:rsidR="006B0023" w:rsidRPr="00DF4614" w:rsidRDefault="006B0023" w:rsidP="007B64E5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Hypertension (n, (%))</w:t>
            </w:r>
          </w:p>
        </w:tc>
        <w:tc>
          <w:tcPr>
            <w:tcW w:w="1260" w:type="dxa"/>
            <w:noWrap/>
            <w:vAlign w:val="center"/>
            <w:hideMark/>
          </w:tcPr>
          <w:p w14:paraId="337156A7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25(52.1)</w:t>
            </w:r>
          </w:p>
        </w:tc>
        <w:tc>
          <w:tcPr>
            <w:tcW w:w="982" w:type="dxa"/>
            <w:noWrap/>
            <w:vAlign w:val="center"/>
            <w:hideMark/>
          </w:tcPr>
          <w:p w14:paraId="1E161644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22(34.4)</w:t>
            </w:r>
          </w:p>
        </w:tc>
        <w:tc>
          <w:tcPr>
            <w:tcW w:w="954" w:type="dxa"/>
            <w:noWrap/>
            <w:vAlign w:val="center"/>
            <w:hideMark/>
          </w:tcPr>
          <w:p w14:paraId="50610120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0.08</w:t>
            </w:r>
          </w:p>
        </w:tc>
      </w:tr>
      <w:tr w:rsidR="006B0023" w:rsidRPr="00DF4614" w14:paraId="776E7E87" w14:textId="77777777" w:rsidTr="006B0023">
        <w:trPr>
          <w:trHeight w:val="316"/>
        </w:trPr>
        <w:tc>
          <w:tcPr>
            <w:tcW w:w="2899" w:type="dxa"/>
            <w:noWrap/>
            <w:hideMark/>
          </w:tcPr>
          <w:p w14:paraId="06CCEDD7" w14:textId="77777777" w:rsidR="006B0023" w:rsidRPr="00DF4614" w:rsidRDefault="006B0023" w:rsidP="007B64E5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Malignant tumor (n, (%))</w:t>
            </w:r>
          </w:p>
        </w:tc>
        <w:tc>
          <w:tcPr>
            <w:tcW w:w="1260" w:type="dxa"/>
            <w:noWrap/>
            <w:vAlign w:val="center"/>
            <w:hideMark/>
          </w:tcPr>
          <w:p w14:paraId="7ECCFA3D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6(12.5)</w:t>
            </w:r>
          </w:p>
        </w:tc>
        <w:tc>
          <w:tcPr>
            <w:tcW w:w="982" w:type="dxa"/>
            <w:noWrap/>
            <w:vAlign w:val="center"/>
            <w:hideMark/>
          </w:tcPr>
          <w:p w14:paraId="18A8EBA7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13(20.3)</w:t>
            </w:r>
          </w:p>
        </w:tc>
        <w:tc>
          <w:tcPr>
            <w:tcW w:w="954" w:type="dxa"/>
            <w:noWrap/>
            <w:vAlign w:val="center"/>
            <w:hideMark/>
          </w:tcPr>
          <w:p w14:paraId="236511F4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0.32</w:t>
            </w:r>
          </w:p>
        </w:tc>
      </w:tr>
      <w:tr w:rsidR="006B0023" w:rsidRPr="00DF4614" w14:paraId="2CDDCE3C" w14:textId="77777777" w:rsidTr="006B0023">
        <w:trPr>
          <w:trHeight w:val="316"/>
        </w:trPr>
        <w:tc>
          <w:tcPr>
            <w:tcW w:w="2899" w:type="dxa"/>
            <w:noWrap/>
            <w:hideMark/>
          </w:tcPr>
          <w:p w14:paraId="64F8E66B" w14:textId="77777777" w:rsidR="006B0023" w:rsidRPr="00DF4614" w:rsidRDefault="006B0023" w:rsidP="007B64E5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Cerebrovascular disease (n, (%))</w:t>
            </w:r>
          </w:p>
        </w:tc>
        <w:tc>
          <w:tcPr>
            <w:tcW w:w="1260" w:type="dxa"/>
            <w:noWrap/>
            <w:vAlign w:val="center"/>
            <w:hideMark/>
          </w:tcPr>
          <w:p w14:paraId="3BAC8DEF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1(2.1)</w:t>
            </w:r>
          </w:p>
        </w:tc>
        <w:tc>
          <w:tcPr>
            <w:tcW w:w="982" w:type="dxa"/>
            <w:noWrap/>
            <w:vAlign w:val="center"/>
            <w:hideMark/>
          </w:tcPr>
          <w:p w14:paraId="65CDD55A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11(17.2)</w:t>
            </w:r>
          </w:p>
        </w:tc>
        <w:tc>
          <w:tcPr>
            <w:tcW w:w="954" w:type="dxa"/>
            <w:noWrap/>
            <w:vAlign w:val="center"/>
            <w:hideMark/>
          </w:tcPr>
          <w:p w14:paraId="247EBB22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0.012</w:t>
            </w:r>
          </w:p>
        </w:tc>
      </w:tr>
      <w:tr w:rsidR="006B0023" w:rsidRPr="00DF4614" w14:paraId="4B634C0A" w14:textId="77777777" w:rsidTr="006B0023">
        <w:trPr>
          <w:trHeight w:val="316"/>
        </w:trPr>
        <w:tc>
          <w:tcPr>
            <w:tcW w:w="2899" w:type="dxa"/>
            <w:noWrap/>
            <w:hideMark/>
          </w:tcPr>
          <w:p w14:paraId="543DA731" w14:textId="77777777" w:rsidR="006B0023" w:rsidRPr="00DF4614" w:rsidRDefault="006B0023" w:rsidP="007B64E5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Cardiovascular disease (n, (%))</w:t>
            </w:r>
          </w:p>
        </w:tc>
        <w:tc>
          <w:tcPr>
            <w:tcW w:w="1260" w:type="dxa"/>
            <w:noWrap/>
            <w:vAlign w:val="center"/>
            <w:hideMark/>
          </w:tcPr>
          <w:p w14:paraId="5C43E302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1(2.1)</w:t>
            </w:r>
          </w:p>
        </w:tc>
        <w:tc>
          <w:tcPr>
            <w:tcW w:w="982" w:type="dxa"/>
            <w:noWrap/>
            <w:vAlign w:val="center"/>
            <w:hideMark/>
          </w:tcPr>
          <w:p w14:paraId="3368A642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14(21.9)</w:t>
            </w:r>
          </w:p>
        </w:tc>
        <w:tc>
          <w:tcPr>
            <w:tcW w:w="954" w:type="dxa"/>
            <w:noWrap/>
            <w:vAlign w:val="center"/>
            <w:hideMark/>
          </w:tcPr>
          <w:p w14:paraId="50BF0658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0.002</w:t>
            </w:r>
          </w:p>
        </w:tc>
      </w:tr>
      <w:tr w:rsidR="006B0023" w:rsidRPr="00DF4614" w14:paraId="5EBF3461" w14:textId="77777777" w:rsidTr="006B0023">
        <w:trPr>
          <w:trHeight w:val="316"/>
        </w:trPr>
        <w:tc>
          <w:tcPr>
            <w:tcW w:w="2899" w:type="dxa"/>
            <w:tcBorders>
              <w:bottom w:val="single" w:sz="4" w:space="0" w:color="auto"/>
            </w:tcBorders>
            <w:noWrap/>
            <w:hideMark/>
          </w:tcPr>
          <w:p w14:paraId="3B68EEF4" w14:textId="77777777" w:rsidR="006B0023" w:rsidRPr="00DF4614" w:rsidRDefault="006B0023" w:rsidP="007B64E5">
            <w:pPr>
              <w:adjustRightInd w:val="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COPD (n, (%))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3A3DFE1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3(6.3)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0D0A165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4(6.3)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ECC4D52" w14:textId="77777777" w:rsidR="006B0023" w:rsidRPr="00DF4614" w:rsidRDefault="006B0023" w:rsidP="007B64E5">
            <w:pPr>
              <w:adjustRightInd w:val="0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4614">
              <w:rPr>
                <w:rFonts w:ascii="Times New Roman" w:hAnsi="Times New Roman"/>
                <w:sz w:val="20"/>
                <w:szCs w:val="20"/>
              </w:rPr>
              <w:t>＞</w:t>
            </w:r>
            <w:r w:rsidRPr="00DF4614">
              <w:rPr>
                <w:rFonts w:ascii="Times New Roman" w:hAnsi="Times New Roman"/>
                <w:sz w:val="20"/>
                <w:szCs w:val="20"/>
              </w:rPr>
              <w:t>0.99</w:t>
            </w:r>
          </w:p>
        </w:tc>
      </w:tr>
    </w:tbl>
    <w:p w14:paraId="501992B4" w14:textId="77777777" w:rsidR="00187977" w:rsidRDefault="00187977" w:rsidP="006E43CB">
      <w:pPr>
        <w:adjustRightInd w:val="0"/>
        <w:snapToGrid w:val="0"/>
      </w:pPr>
    </w:p>
    <w:p w14:paraId="14A5F325" w14:textId="77777777" w:rsidR="00187977" w:rsidRDefault="00187977" w:rsidP="006E43CB">
      <w:pPr>
        <w:adjustRightInd w:val="0"/>
        <w:snapToGrid w:val="0"/>
      </w:pPr>
    </w:p>
    <w:p w14:paraId="2CD73280" w14:textId="77777777" w:rsidR="00187977" w:rsidRDefault="00187977" w:rsidP="006E43CB">
      <w:pPr>
        <w:adjustRightInd w:val="0"/>
        <w:snapToGrid w:val="0"/>
      </w:pPr>
    </w:p>
    <w:p w14:paraId="169F89E1" w14:textId="77777777" w:rsidR="00187977" w:rsidRDefault="00187977" w:rsidP="006E43CB">
      <w:pPr>
        <w:adjustRightInd w:val="0"/>
        <w:snapToGrid w:val="0"/>
      </w:pPr>
    </w:p>
    <w:p w14:paraId="237785EB" w14:textId="77777777" w:rsidR="00187977" w:rsidRDefault="00187977" w:rsidP="006E43CB">
      <w:pPr>
        <w:adjustRightInd w:val="0"/>
        <w:snapToGrid w:val="0"/>
      </w:pPr>
    </w:p>
    <w:p w14:paraId="6CDD8886" w14:textId="77777777" w:rsidR="00187977" w:rsidRDefault="00187977" w:rsidP="006E43CB">
      <w:pPr>
        <w:adjustRightInd w:val="0"/>
        <w:snapToGrid w:val="0"/>
      </w:pPr>
    </w:p>
    <w:p w14:paraId="5D0FEC9B" w14:textId="269621D4" w:rsidR="00187977" w:rsidRDefault="00187977" w:rsidP="006E43CB">
      <w:pPr>
        <w:adjustRightInd w:val="0"/>
        <w:snapToGrid w:val="0"/>
      </w:pPr>
    </w:p>
    <w:p w14:paraId="689C88BF" w14:textId="5836F335" w:rsidR="00252CF2" w:rsidRDefault="00252CF2" w:rsidP="006E43CB">
      <w:pPr>
        <w:adjustRightInd w:val="0"/>
        <w:snapToGrid w:val="0"/>
      </w:pPr>
    </w:p>
    <w:p w14:paraId="4F1D20B4" w14:textId="2B7C7B2C" w:rsidR="00252CF2" w:rsidRDefault="00252CF2" w:rsidP="006E43CB">
      <w:pPr>
        <w:adjustRightInd w:val="0"/>
        <w:snapToGrid w:val="0"/>
      </w:pPr>
    </w:p>
    <w:p w14:paraId="618E2265" w14:textId="24CA6D9C" w:rsidR="00252CF2" w:rsidRDefault="00252CF2" w:rsidP="006E43CB">
      <w:pPr>
        <w:adjustRightInd w:val="0"/>
        <w:snapToGrid w:val="0"/>
      </w:pPr>
    </w:p>
    <w:p w14:paraId="04DBC940" w14:textId="7EC44BFA" w:rsidR="00252CF2" w:rsidRDefault="00252CF2" w:rsidP="006E43CB">
      <w:pPr>
        <w:adjustRightInd w:val="0"/>
        <w:snapToGrid w:val="0"/>
      </w:pPr>
    </w:p>
    <w:p w14:paraId="4BA3AAB5" w14:textId="60D8C961" w:rsidR="00252CF2" w:rsidRDefault="00252CF2" w:rsidP="006E43CB">
      <w:pPr>
        <w:adjustRightInd w:val="0"/>
        <w:snapToGrid w:val="0"/>
      </w:pPr>
    </w:p>
    <w:p w14:paraId="77B27017" w14:textId="13832B1A" w:rsidR="00252CF2" w:rsidRDefault="00252CF2" w:rsidP="006E43CB">
      <w:pPr>
        <w:adjustRightInd w:val="0"/>
        <w:snapToGrid w:val="0"/>
      </w:pPr>
    </w:p>
    <w:p w14:paraId="33D9920B" w14:textId="3CC478FA" w:rsidR="00BF1D45" w:rsidRDefault="00BF1D45" w:rsidP="006E43CB">
      <w:pPr>
        <w:adjustRightInd w:val="0"/>
        <w:snapToGrid w:val="0"/>
      </w:pPr>
    </w:p>
    <w:p w14:paraId="5861E583" w14:textId="3EAEB280" w:rsidR="00BF1D45" w:rsidRDefault="00BF1D45" w:rsidP="006E43CB">
      <w:pPr>
        <w:adjustRightInd w:val="0"/>
        <w:snapToGrid w:val="0"/>
      </w:pPr>
    </w:p>
    <w:p w14:paraId="4F029F28" w14:textId="32A0A663" w:rsidR="00BF1D45" w:rsidRDefault="00BF1D45" w:rsidP="006E43CB">
      <w:pPr>
        <w:adjustRightInd w:val="0"/>
        <w:snapToGrid w:val="0"/>
      </w:pPr>
    </w:p>
    <w:p w14:paraId="581BEA2C" w14:textId="41F37B64" w:rsidR="00BF1D45" w:rsidRDefault="00BF1D45" w:rsidP="006E43CB">
      <w:pPr>
        <w:adjustRightInd w:val="0"/>
        <w:snapToGrid w:val="0"/>
      </w:pPr>
    </w:p>
    <w:p w14:paraId="34D18A43" w14:textId="65B20B7F" w:rsidR="00BF1D45" w:rsidRDefault="00BF1D45" w:rsidP="006E43CB">
      <w:pPr>
        <w:adjustRightInd w:val="0"/>
        <w:snapToGrid w:val="0"/>
      </w:pPr>
    </w:p>
    <w:p w14:paraId="7A6FFB33" w14:textId="3504BB3B" w:rsidR="00BF1D45" w:rsidRDefault="00BF1D45" w:rsidP="006E43CB">
      <w:pPr>
        <w:adjustRightInd w:val="0"/>
        <w:snapToGrid w:val="0"/>
      </w:pPr>
    </w:p>
    <w:p w14:paraId="118F88E6" w14:textId="4A839773" w:rsidR="00BF1D45" w:rsidRDefault="00BF1D45" w:rsidP="006E43CB">
      <w:pPr>
        <w:adjustRightInd w:val="0"/>
        <w:snapToGrid w:val="0"/>
      </w:pPr>
    </w:p>
    <w:p w14:paraId="355603F3" w14:textId="3FE24DB4" w:rsidR="00BF1D45" w:rsidRDefault="00BF1D45" w:rsidP="006E43CB">
      <w:pPr>
        <w:adjustRightInd w:val="0"/>
        <w:snapToGrid w:val="0"/>
      </w:pPr>
    </w:p>
    <w:p w14:paraId="67CBD6B8" w14:textId="11F93301" w:rsidR="00BF1D45" w:rsidRDefault="00BF1D45" w:rsidP="006E43CB">
      <w:pPr>
        <w:adjustRightInd w:val="0"/>
        <w:snapToGrid w:val="0"/>
      </w:pPr>
    </w:p>
    <w:p w14:paraId="20265EE5" w14:textId="77777777" w:rsidR="00BF1D45" w:rsidRDefault="00BF1D45" w:rsidP="006E43CB">
      <w:pPr>
        <w:adjustRightInd w:val="0"/>
        <w:snapToGrid w:val="0"/>
      </w:pPr>
    </w:p>
    <w:sectPr w:rsidR="00BF1D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8BD71" w14:textId="77777777" w:rsidR="00582339" w:rsidRDefault="00582339" w:rsidP="00187977">
      <w:r>
        <w:separator/>
      </w:r>
    </w:p>
  </w:endnote>
  <w:endnote w:type="continuationSeparator" w:id="0">
    <w:p w14:paraId="03739575" w14:textId="77777777" w:rsidR="00582339" w:rsidRDefault="00582339" w:rsidP="0018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6DF7F" w14:textId="77777777" w:rsidR="00582339" w:rsidRDefault="00582339" w:rsidP="00187977">
      <w:r>
        <w:separator/>
      </w:r>
    </w:p>
  </w:footnote>
  <w:footnote w:type="continuationSeparator" w:id="0">
    <w:p w14:paraId="2F57EDB6" w14:textId="77777777" w:rsidR="00582339" w:rsidRDefault="00582339" w:rsidP="00187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11C"/>
    <w:rsid w:val="00051AE5"/>
    <w:rsid w:val="0007619A"/>
    <w:rsid w:val="00187977"/>
    <w:rsid w:val="001912EF"/>
    <w:rsid w:val="001B6213"/>
    <w:rsid w:val="00243924"/>
    <w:rsid w:val="00252CF2"/>
    <w:rsid w:val="003D2038"/>
    <w:rsid w:val="00582339"/>
    <w:rsid w:val="006B0023"/>
    <w:rsid w:val="006E43CB"/>
    <w:rsid w:val="00797C82"/>
    <w:rsid w:val="009C21B4"/>
    <w:rsid w:val="009F3BB2"/>
    <w:rsid w:val="00A5133C"/>
    <w:rsid w:val="00A65F14"/>
    <w:rsid w:val="00BC4AF2"/>
    <w:rsid w:val="00BF1D45"/>
    <w:rsid w:val="00C8187E"/>
    <w:rsid w:val="00D5011C"/>
    <w:rsid w:val="00D562A7"/>
    <w:rsid w:val="00DA466D"/>
    <w:rsid w:val="00F7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,"/>
  <w:listSeparator w:val=","/>
  <w14:docId w14:val="3089CB92"/>
  <w15:chartTrackingRefBased/>
  <w15:docId w15:val="{8C0B1B52-2E9F-4AF5-B13A-D73FD8C7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5011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18797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87977"/>
  </w:style>
  <w:style w:type="paragraph" w:styleId="Footer">
    <w:name w:val="footer"/>
    <w:basedOn w:val="Normal"/>
    <w:link w:val="FooterChar"/>
    <w:uiPriority w:val="99"/>
    <w:unhideWhenUsed/>
    <w:rsid w:val="0018797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87977"/>
  </w:style>
  <w:style w:type="table" w:customStyle="1" w:styleId="3">
    <w:name w:val="表 (格子)3"/>
    <w:basedOn w:val="TableNormal"/>
    <w:next w:val="TableGrid"/>
    <w:uiPriority w:val="39"/>
    <w:rsid w:val="006B0023"/>
    <w:rPr>
      <w:rFonts w:ascii="Yu Mincho" w:eastAsia="Yu Mincho" w:hAnsi="Yu Mincho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Ayumi Yoshifuji</dc:creator>
  <cp:keywords/>
  <dc:description/>
  <cp:lastModifiedBy>Ｙｏｓｈｉｆｕｊｉ Ａｙｕｍｉ</cp:lastModifiedBy>
  <cp:revision>2</cp:revision>
  <dcterms:created xsi:type="dcterms:W3CDTF">2022-09-04T03:15:00Z</dcterms:created>
  <dcterms:modified xsi:type="dcterms:W3CDTF">2022-09-04T03:15:00Z</dcterms:modified>
</cp:coreProperties>
</file>